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before="1"/>
        <w:ind w:left="0"/>
        <w:rPr>
          <w:rFonts w:ascii="宋?" w:hAnsi="宋?" w:cs="宋?"/>
          <w:b w:val="0"/>
          <w:bCs w:val="0"/>
          <w:color w:val="0000FF"/>
          <w:kern w:val="0"/>
          <w:sz w:val="52"/>
          <w:szCs w:val="52"/>
        </w:rPr>
      </w:pPr>
    </w:p>
    <w:p>
      <w:pPr>
        <w:pStyle w:val="7"/>
        <w:spacing w:before="1"/>
        <w:ind w:left="0"/>
        <w:rPr>
          <w:rFonts w:ascii="宋?" w:hAnsi="宋?" w:cs="宋?"/>
          <w:b w:val="0"/>
          <w:bCs w:val="0"/>
          <w:color w:val="0000FF"/>
          <w:kern w:val="0"/>
          <w:sz w:val="52"/>
          <w:szCs w:val="52"/>
        </w:rPr>
      </w:pPr>
    </w:p>
    <w:p>
      <w:pPr>
        <w:pStyle w:val="7"/>
        <w:spacing w:before="1"/>
        <w:ind w:left="0"/>
        <w:jc w:val="center"/>
        <w:rPr>
          <w:rFonts w:ascii="宋?" w:hAnsi="宋?" w:cs="宋?"/>
          <w:b w:val="0"/>
          <w:bCs w:val="0"/>
          <w:color w:val="000000" w:themeColor="text1"/>
          <w:kern w:val="0"/>
          <w:sz w:val="52"/>
          <w:szCs w:val="52"/>
          <w:shd w:val="clear" w:color="auto" w:fill="auto"/>
        </w:rPr>
      </w:pPr>
    </w:p>
    <w:p>
      <w:pPr>
        <w:pStyle w:val="7"/>
        <w:spacing w:before="1"/>
        <w:ind w:left="0"/>
        <w:jc w:val="center"/>
        <w:rPr>
          <w:rFonts w:ascii="宋?" w:hAnsi="宋?" w:cs="宋?"/>
          <w:b w:val="0"/>
          <w:bCs w:val="0"/>
          <w:color w:val="000000" w:themeColor="text1"/>
          <w:kern w:val="0"/>
          <w:sz w:val="52"/>
          <w:szCs w:val="52"/>
          <w:shd w:val="clear" w:color="auto" w:fill="auto"/>
        </w:rPr>
      </w:pPr>
      <w:r>
        <w:rPr>
          <w:rFonts w:ascii="宋?" w:hAnsi="宋?" w:cs="宋?"/>
          <w:b w:val="0"/>
          <w:bCs w:val="0"/>
          <w:color w:val="000000" w:themeColor="text1"/>
          <w:kern w:val="0"/>
          <w:sz w:val="52"/>
          <w:szCs w:val="52"/>
          <w:shd w:val="clear" w:color="auto" w:fill="auto"/>
        </w:rPr>
        <w:t>莎车县孜热甫夏提良种繁育中心</w:t>
      </w:r>
    </w:p>
    <w:p>
      <w:pPr>
        <w:pStyle w:val="7"/>
        <w:spacing w:before="1"/>
        <w:ind w:left="0"/>
        <w:jc w:val="center"/>
        <w:rPr>
          <w:rFonts w:ascii="宋?" w:hAnsi="宋?" w:cs="宋?"/>
          <w:b w:val="0"/>
          <w:bCs w:val="0"/>
          <w:color w:val="000000" w:themeColor="text1"/>
          <w:kern w:val="0"/>
          <w:sz w:val="52"/>
          <w:szCs w:val="52"/>
          <w:shd w:val="clear" w:color="auto" w:fill="auto"/>
        </w:rPr>
      </w:pPr>
      <w:r>
        <w:rPr>
          <w:rFonts w:ascii="宋?" w:hAnsi="宋?" w:cs="宋?"/>
          <w:b w:val="0"/>
          <w:bCs w:val="0"/>
          <w:color w:val="000000" w:themeColor="text1"/>
          <w:kern w:val="0"/>
          <w:sz w:val="52"/>
          <w:szCs w:val="52"/>
          <w:shd w:val="clear" w:color="auto" w:fill="auto"/>
        </w:rPr>
        <w:t>建设项目</w:t>
      </w:r>
    </w:p>
    <w:p>
      <w:pPr>
        <w:pStyle w:val="7"/>
        <w:spacing w:before="1"/>
        <w:ind w:left="0"/>
        <w:jc w:val="center"/>
        <w:rPr>
          <w:rFonts w:ascii="宋?" w:hAnsi="宋?" w:cs="宋?"/>
          <w:b w:val="0"/>
          <w:bCs w:val="0"/>
          <w:color w:val="000000" w:themeColor="text1"/>
          <w:kern w:val="0"/>
          <w:sz w:val="48"/>
          <w:szCs w:val="48"/>
          <w:shd w:val="clear" w:color="auto" w:fill="auto"/>
        </w:rPr>
      </w:pPr>
    </w:p>
    <w:p>
      <w:pPr>
        <w:pStyle w:val="7"/>
        <w:spacing w:before="1"/>
        <w:ind w:left="0"/>
        <w:jc w:val="center"/>
        <w:rPr>
          <w:rFonts w:ascii="宋?" w:hAnsi="宋?" w:cs="宋?"/>
          <w:b w:val="0"/>
          <w:bCs w:val="0"/>
          <w:color w:val="000000" w:themeColor="text1"/>
          <w:kern w:val="0"/>
          <w:sz w:val="48"/>
          <w:szCs w:val="48"/>
          <w:shd w:val="clear" w:color="auto" w:fill="auto"/>
        </w:rPr>
      </w:pPr>
    </w:p>
    <w:p>
      <w:pPr>
        <w:pStyle w:val="7"/>
        <w:spacing w:before="1"/>
        <w:ind w:left="0"/>
        <w:jc w:val="center"/>
        <w:rPr>
          <w:rFonts w:ascii="宋?" w:hAnsi="宋?" w:cs="宋?"/>
          <w:b w:val="0"/>
          <w:bCs w:val="0"/>
          <w:color w:val="000000" w:themeColor="text1"/>
          <w:kern w:val="0"/>
          <w:sz w:val="48"/>
          <w:szCs w:val="48"/>
          <w:shd w:val="clear" w:color="auto" w:fill="auto"/>
        </w:rPr>
      </w:pPr>
    </w:p>
    <w:p>
      <w:pPr>
        <w:pStyle w:val="7"/>
        <w:spacing w:before="1"/>
        <w:ind w:left="0"/>
        <w:jc w:val="center"/>
        <w:rPr>
          <w:rFonts w:ascii="宋?" w:hAnsi="宋?" w:cs="宋?"/>
          <w:b w:val="0"/>
          <w:bCs w:val="0"/>
          <w:color w:val="000000" w:themeColor="text1"/>
          <w:kern w:val="0"/>
          <w:sz w:val="48"/>
          <w:szCs w:val="48"/>
          <w:shd w:val="clear" w:color="auto" w:fill="auto"/>
        </w:rPr>
      </w:pPr>
    </w:p>
    <w:p>
      <w:pPr>
        <w:pStyle w:val="7"/>
        <w:spacing w:before="1"/>
        <w:ind w:left="0"/>
        <w:jc w:val="center"/>
        <w:rPr>
          <w:rFonts w:ascii="宋?" w:hAnsi="宋?" w:cs="宋?"/>
          <w:b w:val="0"/>
          <w:bCs w:val="0"/>
          <w:color w:val="000000" w:themeColor="text1"/>
          <w:kern w:val="0"/>
          <w:sz w:val="48"/>
          <w:szCs w:val="48"/>
          <w:shd w:val="clear" w:color="auto" w:fill="auto"/>
        </w:rPr>
      </w:pPr>
    </w:p>
    <w:p>
      <w:pPr>
        <w:pStyle w:val="7"/>
        <w:spacing w:before="1"/>
        <w:ind w:left="0"/>
        <w:jc w:val="center"/>
        <w:rPr>
          <w:rFonts w:hint="eastAsia" w:ascii="宋?" w:hAnsi="宋?" w:cs="宋?"/>
          <w:b w:val="0"/>
          <w:bCs w:val="0"/>
          <w:color w:val="000000" w:themeColor="text1"/>
          <w:kern w:val="0"/>
          <w:sz w:val="72"/>
          <w:szCs w:val="72"/>
          <w:shd w:val="clear" w:color="auto" w:fill="auto"/>
          <w:lang w:val="en-US" w:eastAsia="zh-CN"/>
        </w:rPr>
      </w:pPr>
      <w:r>
        <w:rPr>
          <w:rFonts w:hint="eastAsia" w:ascii="宋?" w:hAnsi="宋?" w:cs="宋?"/>
          <w:b w:val="0"/>
          <w:bCs w:val="0"/>
          <w:color w:val="000000" w:themeColor="text1"/>
          <w:kern w:val="0"/>
          <w:sz w:val="72"/>
          <w:szCs w:val="72"/>
          <w:shd w:val="clear" w:color="auto" w:fill="auto"/>
          <w:lang w:val="en-US" w:eastAsia="zh-CN"/>
        </w:rPr>
        <w:t>环境影响报告书</w:t>
      </w:r>
    </w:p>
    <w:p>
      <w:pPr>
        <w:pStyle w:val="7"/>
        <w:spacing w:before="1"/>
        <w:ind w:left="0"/>
        <w:jc w:val="center"/>
        <w:rPr>
          <w:rFonts w:hint="eastAsia" w:ascii="宋?" w:hAnsi="宋?" w:cs="宋?"/>
          <w:b w:val="0"/>
          <w:bCs w:val="0"/>
          <w:color w:val="000000" w:themeColor="text1"/>
          <w:kern w:val="0"/>
          <w:sz w:val="72"/>
          <w:szCs w:val="72"/>
          <w:shd w:val="clear" w:color="auto" w:fill="auto"/>
          <w:lang w:val="en-US" w:eastAsia="zh-CN"/>
        </w:rPr>
      </w:pPr>
    </w:p>
    <w:p>
      <w:pPr>
        <w:pStyle w:val="7"/>
        <w:spacing w:before="1"/>
        <w:ind w:left="0"/>
        <w:jc w:val="center"/>
        <w:rPr>
          <w:rFonts w:hint="eastAsia" w:ascii="宋?" w:hAnsi="宋?" w:cs="宋?"/>
          <w:b w:val="0"/>
          <w:bCs w:val="0"/>
          <w:color w:val="000000" w:themeColor="text1"/>
          <w:kern w:val="0"/>
          <w:sz w:val="72"/>
          <w:szCs w:val="72"/>
          <w:shd w:val="clear" w:color="auto" w:fill="auto"/>
          <w:lang w:val="en-US" w:eastAsia="zh-CN"/>
        </w:rPr>
      </w:pPr>
    </w:p>
    <w:p>
      <w:pPr>
        <w:pStyle w:val="7"/>
        <w:spacing w:before="1"/>
        <w:ind w:left="0"/>
        <w:jc w:val="center"/>
        <w:rPr>
          <w:rFonts w:hint="eastAsia" w:ascii="宋?" w:hAnsi="宋?" w:cs="宋?"/>
          <w:b w:val="0"/>
          <w:bCs w:val="0"/>
          <w:color w:val="000000" w:themeColor="text1"/>
          <w:kern w:val="0"/>
          <w:sz w:val="72"/>
          <w:szCs w:val="72"/>
          <w:shd w:val="clear" w:color="auto" w:fill="auto"/>
          <w:lang w:val="en-US" w:eastAsia="zh-CN"/>
        </w:rPr>
      </w:pPr>
    </w:p>
    <w:p>
      <w:pPr>
        <w:pStyle w:val="7"/>
        <w:spacing w:before="1"/>
        <w:ind w:left="0"/>
        <w:jc w:val="center"/>
        <w:rPr>
          <w:rFonts w:hint="eastAsia" w:ascii="宋?" w:hAnsi="宋?" w:cs="宋?"/>
          <w:b w:val="0"/>
          <w:bCs w:val="0"/>
          <w:color w:val="000000" w:themeColor="text1"/>
          <w:kern w:val="0"/>
          <w:sz w:val="72"/>
          <w:szCs w:val="72"/>
          <w:shd w:val="clear" w:color="auto" w:fill="auto"/>
          <w:lang w:val="en-US" w:eastAsia="zh-CN"/>
        </w:rPr>
      </w:pPr>
    </w:p>
    <w:p>
      <w:pPr>
        <w:pStyle w:val="7"/>
        <w:spacing w:before="1"/>
        <w:ind w:left="0"/>
        <w:jc w:val="center"/>
        <w:rPr>
          <w:rFonts w:hint="eastAsia" w:ascii="宋?" w:hAnsi="宋?" w:cs="宋?"/>
          <w:b w:val="0"/>
          <w:bCs w:val="0"/>
          <w:color w:val="000000" w:themeColor="text1"/>
          <w:kern w:val="0"/>
          <w:sz w:val="72"/>
          <w:szCs w:val="72"/>
          <w:shd w:val="clear" w:color="auto" w:fill="auto"/>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firstLine="960" w:firstLineChars="300"/>
        <w:jc w:val="both"/>
        <w:textAlignment w:val="auto"/>
        <w:rPr>
          <w:rFonts w:hint="eastAsia" w:asciiTheme="minorEastAsia" w:hAnsiTheme="minorEastAsia" w:eastAsiaTheme="minorEastAsia" w:cstheme="minorEastAsia"/>
          <w:b w:val="0"/>
          <w:bCs w:val="0"/>
          <w:color w:val="000000" w:themeColor="text1"/>
          <w:kern w:val="0"/>
          <w:sz w:val="32"/>
          <w:szCs w:val="32"/>
          <w:shd w:val="clear" w:color="auto" w:fill="auto"/>
          <w:lang w:val="en-US" w:eastAsia="zh-CN"/>
        </w:rPr>
      </w:pPr>
      <w:r>
        <w:rPr>
          <w:rFonts w:hint="eastAsia" w:asciiTheme="minorEastAsia" w:hAnsiTheme="minorEastAsia" w:eastAsiaTheme="minorEastAsia" w:cstheme="minorEastAsia"/>
          <w:b w:val="0"/>
          <w:bCs w:val="0"/>
          <w:color w:val="000000" w:themeColor="text1"/>
          <w:kern w:val="0"/>
          <w:sz w:val="32"/>
          <w:szCs w:val="32"/>
          <w:shd w:val="clear" w:color="auto" w:fill="auto"/>
          <w:lang w:val="en-US" w:eastAsia="zh-CN"/>
        </w:rPr>
        <w:t>建设单位：莎车县畜牧兽医局</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0"/>
        <w:jc w:val="center"/>
        <w:textAlignment w:val="auto"/>
        <w:rPr>
          <w:rFonts w:hint="eastAsia" w:asciiTheme="minorEastAsia" w:hAnsiTheme="minorEastAsia" w:eastAsiaTheme="minorEastAsia" w:cstheme="minorEastAsia"/>
          <w:b w:val="0"/>
          <w:bCs w:val="0"/>
          <w:color w:val="000000" w:themeColor="text1"/>
          <w:kern w:val="0"/>
          <w:sz w:val="32"/>
          <w:szCs w:val="32"/>
          <w:shd w:val="clear" w:color="auto" w:fill="auto"/>
          <w:lang w:val="en-US" w:eastAsia="zh-CN"/>
        </w:rPr>
      </w:pPr>
      <w:r>
        <w:rPr>
          <w:rFonts w:hint="eastAsia" w:asciiTheme="minorEastAsia" w:hAnsiTheme="minorEastAsia" w:eastAsiaTheme="minorEastAsia" w:cstheme="minorEastAsia"/>
          <w:b w:val="0"/>
          <w:bCs w:val="0"/>
          <w:color w:val="000000" w:themeColor="text1"/>
          <w:kern w:val="0"/>
          <w:sz w:val="32"/>
          <w:szCs w:val="32"/>
          <w:shd w:val="clear" w:color="auto" w:fill="auto"/>
          <w:lang w:val="en-US" w:eastAsia="zh-CN"/>
        </w:rPr>
        <w:t xml:space="preserve">  编制单位：新疆新农丽景环境工程咨询有限公司</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0" w:firstLine="3200" w:firstLineChars="1000"/>
        <w:jc w:val="both"/>
        <w:textAlignment w:val="auto"/>
        <w:rPr>
          <w:rFonts w:hint="default" w:asciiTheme="minorEastAsia" w:hAnsiTheme="minorEastAsia" w:eastAsiaTheme="minorEastAsia" w:cstheme="minorEastAsia"/>
          <w:b w:val="0"/>
          <w:bCs w:val="0"/>
          <w:color w:val="000000" w:themeColor="text1"/>
          <w:kern w:val="0"/>
          <w:sz w:val="32"/>
          <w:szCs w:val="32"/>
          <w:shd w:val="clear" w:color="auto" w:fill="auto"/>
          <w:lang w:val="en-US" w:eastAsia="zh-CN"/>
        </w:rPr>
        <w:sectPr>
          <w:headerReference r:id="rId3" w:type="default"/>
          <w:footerReference r:id="rId4" w:type="default"/>
          <w:pgSz w:w="11910" w:h="16840"/>
          <w:pgMar w:top="1360" w:right="1220" w:bottom="1300" w:left="1260" w:header="897" w:footer="1116" w:gutter="0"/>
          <w:pgBorders>
            <w:top w:val="none" w:sz="0" w:space="0"/>
            <w:left w:val="none" w:sz="0" w:space="0"/>
            <w:bottom w:val="none" w:sz="0" w:space="0"/>
            <w:right w:val="none" w:sz="0" w:space="0"/>
          </w:pgBorders>
          <w:pgNumType w:fmt="decimal" w:start="1"/>
          <w:titlePg/>
        </w:sectPr>
      </w:pPr>
      <w:r>
        <w:rPr>
          <w:rFonts w:hint="eastAsia" w:asciiTheme="minorEastAsia" w:hAnsiTheme="minorEastAsia" w:eastAsiaTheme="minorEastAsia" w:cstheme="minorEastAsia"/>
          <w:b w:val="0"/>
          <w:bCs w:val="0"/>
          <w:color w:val="000000" w:themeColor="text1"/>
          <w:kern w:val="0"/>
          <w:sz w:val="32"/>
          <w:szCs w:val="32"/>
          <w:shd w:val="clear" w:color="auto" w:fill="auto"/>
          <w:lang w:val="en-US" w:eastAsia="zh-CN"/>
        </w:rPr>
        <w:t>编制时间：2020年6月</w:t>
      </w:r>
    </w:p>
    <w:p>
      <w:pPr>
        <w:pStyle w:val="7"/>
        <w:spacing w:before="1"/>
        <w:ind w:left="0"/>
        <w:rPr>
          <w:rFonts w:ascii="Times New Roman"/>
          <w:sz w:val="10"/>
        </w:rPr>
        <w:sectPr>
          <w:headerReference r:id="rId6" w:type="first"/>
          <w:footerReference r:id="rId7" w:type="first"/>
          <w:headerReference r:id="rId5" w:type="default"/>
          <w:pgSz w:w="11910" w:h="16840"/>
          <w:pgMar w:top="1360" w:right="1220" w:bottom="1300" w:left="1260" w:header="897" w:footer="1116" w:gutter="0"/>
          <w:pgBorders>
            <w:top w:val="none" w:sz="0" w:space="0"/>
            <w:left w:val="none" w:sz="0" w:space="0"/>
            <w:bottom w:val="none" w:sz="0" w:space="0"/>
            <w:right w:val="none" w:sz="0" w:space="0"/>
          </w:pgBorders>
          <w:pgNumType w:fmt="decimal" w:start="1"/>
          <w:titlePg/>
        </w:sectPr>
      </w:pPr>
    </w:p>
    <w:p>
      <w:pPr>
        <w:pStyle w:val="7"/>
        <w:spacing w:before="1"/>
        <w:ind w:left="0"/>
        <w:rPr>
          <w:rFonts w:ascii="Times New Roman"/>
          <w:sz w:val="10"/>
        </w:rPr>
      </w:pPr>
    </w:p>
    <w:p>
      <w:pPr>
        <w:pStyle w:val="7"/>
        <w:bidi w:val="0"/>
        <w:jc w:val="center"/>
      </w:pPr>
      <w:bookmarkStart w:id="0" w:name="_Toc158"/>
      <w:r>
        <w:t>目</w:t>
      </w:r>
      <w:r>
        <w:tab/>
      </w:r>
      <w:r>
        <w:t>录</w:t>
      </w:r>
      <w:bookmarkEnd w:id="0"/>
    </w:p>
    <w:sdt>
      <w:sdtPr>
        <w:rPr>
          <w:rFonts w:ascii="宋体" w:hAnsi="宋体" w:eastAsia="宋体" w:cs="宋体"/>
          <w:sz w:val="21"/>
          <w:szCs w:val="22"/>
          <w:lang w:val="zh-CN" w:eastAsia="zh-CN" w:bidi="zh-CN"/>
        </w:rPr>
        <w:id w:val="147477534"/>
        <w15:color w:val="DBDBDB"/>
        <w:docPartObj>
          <w:docPartGallery w:val="Table of Contents"/>
          <w:docPartUnique/>
        </w:docPartObj>
      </w:sdtPr>
      <w:sdtEndPr>
        <w:rPr>
          <w:rFonts w:ascii="宋体" w:hAnsi="宋体" w:eastAsia="宋体" w:cs="宋体"/>
          <w:b/>
          <w:bCs/>
          <w:sz w:val="36"/>
          <w:szCs w:val="36"/>
          <w:lang w:val="zh-CN" w:eastAsia="zh-CN" w:bidi="zh-CN"/>
        </w:rPr>
      </w:sdtEndPr>
      <w:sdtContent>
        <w:p>
          <w:pPr>
            <w:spacing w:before="0" w:beforeLines="0" w:after="0" w:afterLines="0" w:line="240" w:lineRule="auto"/>
            <w:ind w:left="0" w:leftChars="0" w:right="0" w:rightChars="0" w:firstLine="0" w:firstLineChars="0"/>
            <w:jc w:val="center"/>
          </w:pPr>
        </w:p>
        <w:p>
          <w:pPr>
            <w:pStyle w:val="13"/>
            <w:tabs>
              <w:tab w:val="right" w:pos="2400"/>
              <w:tab w:val="right" w:leader="dot" w:pos="9430"/>
            </w:tabs>
            <w:jc w:val="both"/>
          </w:pPr>
          <w:r>
            <w:fldChar w:fldCharType="begin"/>
          </w:r>
          <w:r>
            <w:instrText xml:space="preserve">TOC \o "1-3" \h \u </w:instrText>
          </w:r>
          <w:r>
            <w:fldChar w:fldCharType="separate"/>
          </w:r>
          <w:r>
            <w:fldChar w:fldCharType="begin"/>
          </w:r>
          <w:r>
            <w:instrText xml:space="preserve"> HYPERLINK \l _Toc27150 </w:instrText>
          </w:r>
          <w:r>
            <w:fldChar w:fldCharType="separate"/>
          </w:r>
          <w:r>
            <w:t>第一章</w:t>
          </w:r>
          <w:r>
            <w:rPr>
              <w:rFonts w:hint="eastAsia"/>
              <w:lang w:val="en-US" w:eastAsia="zh-CN"/>
            </w:rPr>
            <w:t xml:space="preserve">       </w:t>
          </w:r>
          <w:r>
            <w:tab/>
          </w:r>
          <w:r>
            <w:t>概述</w:t>
          </w:r>
          <w:r>
            <w:tab/>
          </w:r>
          <w:r>
            <w:fldChar w:fldCharType="begin"/>
          </w:r>
          <w:r>
            <w:instrText xml:space="preserve"> PAGEREF _Toc27150 </w:instrText>
          </w:r>
          <w:r>
            <w:fldChar w:fldCharType="separate"/>
          </w:r>
          <w:r>
            <w:t>1</w:t>
          </w:r>
          <w:r>
            <w:fldChar w:fldCharType="end"/>
          </w:r>
          <w:r>
            <w:fldChar w:fldCharType="end"/>
          </w:r>
        </w:p>
        <w:p>
          <w:pPr>
            <w:pStyle w:val="9"/>
            <w:tabs>
              <w:tab w:val="right" w:leader="dot" w:pos="9430"/>
            </w:tabs>
          </w:pPr>
          <w:r>
            <w:fldChar w:fldCharType="begin"/>
          </w:r>
          <w:r>
            <w:instrText xml:space="preserve"> HYPERLINK \l _Toc7557 </w:instrText>
          </w:r>
          <w:r>
            <w:fldChar w:fldCharType="separate"/>
          </w:r>
          <w:r>
            <w:rPr>
              <w:rFonts w:hint="default" w:ascii="Times New Roman" w:hAnsi="Times New Roman" w:eastAsia="Times New Roman" w:cs="Times New Roman"/>
              <w:bCs/>
              <w:spacing w:val="-1"/>
              <w:w w:val="99"/>
              <w:szCs w:val="32"/>
              <w:lang w:val="zh-CN" w:eastAsia="zh-CN" w:bidi="zh-CN"/>
            </w:rPr>
            <w:t xml:space="preserve">1.1 </w:t>
          </w:r>
          <w:r>
            <w:t>项目由来</w:t>
          </w:r>
          <w:r>
            <w:tab/>
          </w:r>
          <w:r>
            <w:fldChar w:fldCharType="begin"/>
          </w:r>
          <w:r>
            <w:instrText xml:space="preserve"> PAGEREF _Toc7557 </w:instrText>
          </w:r>
          <w:r>
            <w:fldChar w:fldCharType="separate"/>
          </w:r>
          <w:r>
            <w:t>1</w:t>
          </w:r>
          <w:r>
            <w:fldChar w:fldCharType="end"/>
          </w:r>
          <w:r>
            <w:fldChar w:fldCharType="end"/>
          </w:r>
        </w:p>
        <w:p>
          <w:pPr>
            <w:pStyle w:val="9"/>
            <w:tabs>
              <w:tab w:val="right" w:leader="dot" w:pos="9430"/>
            </w:tabs>
          </w:pPr>
          <w:r>
            <w:fldChar w:fldCharType="begin"/>
          </w:r>
          <w:r>
            <w:instrText xml:space="preserve"> HYPERLINK \l _Toc7343 </w:instrText>
          </w:r>
          <w:r>
            <w:fldChar w:fldCharType="separate"/>
          </w:r>
          <w:r>
            <w:rPr>
              <w:rFonts w:hint="default" w:ascii="Times New Roman" w:hAnsi="Times New Roman" w:eastAsia="Times New Roman" w:cs="Times New Roman"/>
              <w:bCs/>
              <w:spacing w:val="-1"/>
              <w:w w:val="99"/>
              <w:szCs w:val="32"/>
              <w:lang w:val="zh-CN" w:eastAsia="zh-CN" w:bidi="zh-CN"/>
            </w:rPr>
            <w:t xml:space="preserve">1.2 </w:t>
          </w:r>
          <w:r>
            <w:t>建设项目概况</w:t>
          </w:r>
          <w:r>
            <w:tab/>
          </w:r>
          <w:r>
            <w:fldChar w:fldCharType="begin"/>
          </w:r>
          <w:r>
            <w:instrText xml:space="preserve"> PAGEREF _Toc7343 </w:instrText>
          </w:r>
          <w:r>
            <w:fldChar w:fldCharType="separate"/>
          </w:r>
          <w:r>
            <w:t>2</w:t>
          </w:r>
          <w:r>
            <w:fldChar w:fldCharType="end"/>
          </w:r>
          <w:r>
            <w:fldChar w:fldCharType="end"/>
          </w:r>
        </w:p>
        <w:p>
          <w:pPr>
            <w:pStyle w:val="9"/>
            <w:tabs>
              <w:tab w:val="right" w:leader="dot" w:pos="9430"/>
            </w:tabs>
          </w:pPr>
          <w:r>
            <w:fldChar w:fldCharType="begin"/>
          </w:r>
          <w:r>
            <w:instrText xml:space="preserve"> HYPERLINK \l _Toc6066 </w:instrText>
          </w:r>
          <w:r>
            <w:fldChar w:fldCharType="separate"/>
          </w:r>
          <w:r>
            <w:rPr>
              <w:rFonts w:hint="default" w:ascii="Times New Roman" w:hAnsi="Times New Roman" w:eastAsia="Times New Roman" w:cs="Times New Roman"/>
              <w:bCs/>
              <w:spacing w:val="-1"/>
              <w:w w:val="99"/>
              <w:szCs w:val="32"/>
              <w:lang w:val="zh-CN" w:eastAsia="zh-CN" w:bidi="zh-CN"/>
            </w:rPr>
            <w:t xml:space="preserve">1.3 </w:t>
          </w:r>
          <w:r>
            <w:t>环境影响评价工作过程</w:t>
          </w:r>
          <w:r>
            <w:tab/>
          </w:r>
          <w:r>
            <w:fldChar w:fldCharType="begin"/>
          </w:r>
          <w:r>
            <w:instrText xml:space="preserve"> PAGEREF _Toc6066 </w:instrText>
          </w:r>
          <w:r>
            <w:fldChar w:fldCharType="separate"/>
          </w:r>
          <w:r>
            <w:t>2</w:t>
          </w:r>
          <w:r>
            <w:fldChar w:fldCharType="end"/>
          </w:r>
          <w:r>
            <w:fldChar w:fldCharType="end"/>
          </w:r>
        </w:p>
        <w:p>
          <w:pPr>
            <w:pStyle w:val="9"/>
            <w:tabs>
              <w:tab w:val="right" w:leader="dot" w:pos="9430"/>
            </w:tabs>
          </w:pPr>
          <w:r>
            <w:fldChar w:fldCharType="begin"/>
          </w:r>
          <w:r>
            <w:instrText xml:space="preserve"> HYPERLINK \l _Toc11669 </w:instrText>
          </w:r>
          <w:r>
            <w:fldChar w:fldCharType="separate"/>
          </w:r>
          <w:r>
            <w:rPr>
              <w:rFonts w:hint="default" w:ascii="Times New Roman" w:hAnsi="Times New Roman" w:eastAsia="Times New Roman" w:cs="Times New Roman"/>
              <w:bCs/>
              <w:spacing w:val="-1"/>
              <w:w w:val="99"/>
              <w:szCs w:val="32"/>
              <w:lang w:val="zh-CN" w:eastAsia="zh-CN" w:bidi="zh-CN"/>
            </w:rPr>
            <w:t xml:space="preserve">1.4 </w:t>
          </w:r>
          <w:r>
            <w:t>分析判定相关情况</w:t>
          </w:r>
          <w:r>
            <w:tab/>
          </w:r>
          <w:r>
            <w:fldChar w:fldCharType="begin"/>
          </w:r>
          <w:r>
            <w:instrText xml:space="preserve"> PAGEREF _Toc11669 </w:instrText>
          </w:r>
          <w:r>
            <w:fldChar w:fldCharType="separate"/>
          </w:r>
          <w:r>
            <w:t>4</w:t>
          </w:r>
          <w:r>
            <w:fldChar w:fldCharType="end"/>
          </w:r>
          <w:r>
            <w:fldChar w:fldCharType="end"/>
          </w:r>
        </w:p>
        <w:p>
          <w:pPr>
            <w:pStyle w:val="9"/>
            <w:tabs>
              <w:tab w:val="right" w:leader="dot" w:pos="9430"/>
            </w:tabs>
          </w:pPr>
          <w:r>
            <w:fldChar w:fldCharType="begin"/>
          </w:r>
          <w:r>
            <w:instrText xml:space="preserve"> HYPERLINK \l _Toc17881 </w:instrText>
          </w:r>
          <w:r>
            <w:fldChar w:fldCharType="separate"/>
          </w:r>
          <w:r>
            <w:rPr>
              <w:rFonts w:hint="default" w:ascii="Times New Roman" w:hAnsi="Times New Roman" w:eastAsia="Times New Roman" w:cs="Times New Roman"/>
              <w:bCs/>
              <w:w w:val="99"/>
              <w:szCs w:val="24"/>
              <w:lang w:val="zh-CN" w:eastAsia="zh-CN" w:bidi="zh-CN"/>
            </w:rPr>
            <w:t xml:space="preserve">1.4.1 </w:t>
          </w:r>
          <w:r>
            <w:t>产业政策符合性分析</w:t>
          </w:r>
          <w:r>
            <w:tab/>
          </w:r>
          <w:r>
            <w:fldChar w:fldCharType="begin"/>
          </w:r>
          <w:r>
            <w:instrText xml:space="preserve"> PAGEREF _Toc17881 </w:instrText>
          </w:r>
          <w:r>
            <w:fldChar w:fldCharType="separate"/>
          </w:r>
          <w:r>
            <w:t>4</w:t>
          </w:r>
          <w:r>
            <w:fldChar w:fldCharType="end"/>
          </w:r>
          <w:r>
            <w:fldChar w:fldCharType="end"/>
          </w:r>
        </w:p>
        <w:p>
          <w:pPr>
            <w:pStyle w:val="9"/>
            <w:tabs>
              <w:tab w:val="right" w:leader="dot" w:pos="9430"/>
            </w:tabs>
          </w:pPr>
          <w:r>
            <w:fldChar w:fldCharType="begin"/>
          </w:r>
          <w:r>
            <w:instrText xml:space="preserve"> HYPERLINK \l _Toc25400 </w:instrText>
          </w:r>
          <w:r>
            <w:fldChar w:fldCharType="separate"/>
          </w:r>
          <w:r>
            <w:rPr>
              <w:rFonts w:hint="default" w:ascii="Times New Roman" w:hAnsi="Times New Roman" w:eastAsia="Times New Roman" w:cs="Times New Roman"/>
              <w:bCs/>
              <w:w w:val="99"/>
              <w:szCs w:val="24"/>
              <w:lang w:val="zh-CN" w:eastAsia="zh-CN" w:bidi="zh-CN"/>
            </w:rPr>
            <w:t xml:space="preserve">1.4.2 </w:t>
          </w:r>
          <w:r>
            <w:t>规划符合性分析</w:t>
          </w:r>
          <w:r>
            <w:tab/>
          </w:r>
          <w:r>
            <w:fldChar w:fldCharType="begin"/>
          </w:r>
          <w:r>
            <w:instrText xml:space="preserve"> PAGEREF _Toc25400 </w:instrText>
          </w:r>
          <w:r>
            <w:fldChar w:fldCharType="separate"/>
          </w:r>
          <w:r>
            <w:t>4</w:t>
          </w:r>
          <w:r>
            <w:fldChar w:fldCharType="end"/>
          </w:r>
          <w:r>
            <w:fldChar w:fldCharType="end"/>
          </w:r>
        </w:p>
        <w:p>
          <w:pPr>
            <w:pStyle w:val="9"/>
            <w:tabs>
              <w:tab w:val="right" w:leader="dot" w:pos="9430"/>
            </w:tabs>
          </w:pPr>
          <w:r>
            <w:fldChar w:fldCharType="begin"/>
          </w:r>
          <w:r>
            <w:instrText xml:space="preserve"> HYPERLINK \l _Toc15561 </w:instrText>
          </w:r>
          <w:r>
            <w:fldChar w:fldCharType="separate"/>
          </w:r>
          <w:r>
            <w:rPr>
              <w:rFonts w:hint="default" w:ascii="Times New Roman" w:hAnsi="Times New Roman" w:eastAsia="Times New Roman" w:cs="Times New Roman"/>
              <w:bCs/>
              <w:w w:val="99"/>
              <w:szCs w:val="24"/>
              <w:lang w:val="zh-CN" w:eastAsia="zh-CN" w:bidi="zh-CN"/>
            </w:rPr>
            <w:t xml:space="preserve">1.4.3 </w:t>
          </w:r>
          <w:r>
            <w:t>选址合理性分析</w:t>
          </w:r>
          <w:r>
            <w:tab/>
          </w:r>
          <w:r>
            <w:fldChar w:fldCharType="begin"/>
          </w:r>
          <w:r>
            <w:instrText xml:space="preserve"> PAGEREF _Toc15561 </w:instrText>
          </w:r>
          <w:r>
            <w:fldChar w:fldCharType="separate"/>
          </w:r>
          <w:r>
            <w:t>7</w:t>
          </w:r>
          <w:r>
            <w:fldChar w:fldCharType="end"/>
          </w:r>
          <w:r>
            <w:fldChar w:fldCharType="end"/>
          </w:r>
        </w:p>
        <w:p>
          <w:pPr>
            <w:pStyle w:val="9"/>
            <w:tabs>
              <w:tab w:val="right" w:leader="dot" w:pos="9430"/>
            </w:tabs>
          </w:pPr>
          <w:r>
            <w:fldChar w:fldCharType="begin"/>
          </w:r>
          <w:r>
            <w:instrText xml:space="preserve"> HYPERLINK \l _Toc11899 </w:instrText>
          </w:r>
          <w:r>
            <w:fldChar w:fldCharType="separate"/>
          </w:r>
          <w:r>
            <w:rPr>
              <w:rFonts w:hint="default" w:ascii="Times New Roman" w:hAnsi="Times New Roman" w:eastAsia="Times New Roman" w:cs="Times New Roman"/>
              <w:bCs/>
              <w:w w:val="99"/>
              <w:szCs w:val="24"/>
              <w:lang w:val="zh-CN" w:eastAsia="zh-CN" w:bidi="zh-CN"/>
            </w:rPr>
            <w:t xml:space="preserve">1.4.4 </w:t>
          </w:r>
          <w:r>
            <w:t>项目建设的可行性分析</w:t>
          </w:r>
          <w:r>
            <w:tab/>
          </w:r>
          <w:r>
            <w:fldChar w:fldCharType="begin"/>
          </w:r>
          <w:r>
            <w:instrText xml:space="preserve"> PAGEREF _Toc11899 </w:instrText>
          </w:r>
          <w:r>
            <w:fldChar w:fldCharType="separate"/>
          </w:r>
          <w:r>
            <w:t>8</w:t>
          </w:r>
          <w:r>
            <w:fldChar w:fldCharType="end"/>
          </w:r>
          <w:r>
            <w:fldChar w:fldCharType="end"/>
          </w:r>
        </w:p>
        <w:p>
          <w:pPr>
            <w:pStyle w:val="9"/>
            <w:tabs>
              <w:tab w:val="right" w:leader="dot" w:pos="9430"/>
            </w:tabs>
          </w:pPr>
          <w:r>
            <w:fldChar w:fldCharType="begin"/>
          </w:r>
          <w:r>
            <w:instrText xml:space="preserve"> HYPERLINK \l _Toc25571 </w:instrText>
          </w:r>
          <w:r>
            <w:fldChar w:fldCharType="separate"/>
          </w:r>
          <w:r>
            <w:rPr>
              <w:rFonts w:hint="default" w:ascii="Times New Roman" w:hAnsi="Times New Roman" w:eastAsia="Times New Roman" w:cs="Times New Roman"/>
              <w:bCs/>
              <w:spacing w:val="-1"/>
              <w:w w:val="99"/>
              <w:szCs w:val="32"/>
              <w:lang w:val="zh-CN" w:eastAsia="zh-CN" w:bidi="zh-CN"/>
            </w:rPr>
            <w:t xml:space="preserve">1.5 </w:t>
          </w:r>
          <w:r>
            <w:t>关注的主要环境问题及环境影响</w:t>
          </w:r>
          <w:r>
            <w:tab/>
          </w:r>
          <w:r>
            <w:fldChar w:fldCharType="begin"/>
          </w:r>
          <w:r>
            <w:instrText xml:space="preserve"> PAGEREF _Toc25571 </w:instrText>
          </w:r>
          <w:r>
            <w:fldChar w:fldCharType="separate"/>
          </w:r>
          <w:r>
            <w:t>9</w:t>
          </w:r>
          <w:r>
            <w:fldChar w:fldCharType="end"/>
          </w:r>
          <w:r>
            <w:fldChar w:fldCharType="end"/>
          </w:r>
        </w:p>
        <w:p>
          <w:pPr>
            <w:pStyle w:val="9"/>
            <w:tabs>
              <w:tab w:val="right" w:leader="dot" w:pos="9430"/>
            </w:tabs>
          </w:pPr>
          <w:r>
            <w:fldChar w:fldCharType="begin"/>
          </w:r>
          <w:r>
            <w:instrText xml:space="preserve"> HYPERLINK \l _Toc21278 </w:instrText>
          </w:r>
          <w:r>
            <w:fldChar w:fldCharType="separate"/>
          </w:r>
          <w:r>
            <w:rPr>
              <w:rFonts w:hint="default" w:ascii="Times New Roman" w:hAnsi="Times New Roman" w:eastAsia="Times New Roman" w:cs="Times New Roman"/>
              <w:bCs/>
              <w:spacing w:val="-1"/>
              <w:w w:val="99"/>
              <w:szCs w:val="32"/>
              <w:lang w:val="zh-CN" w:eastAsia="zh-CN" w:bidi="zh-CN"/>
            </w:rPr>
            <w:t xml:space="preserve">1.6 </w:t>
          </w:r>
          <w:r>
            <w:t>环境影响评价的主要结论</w:t>
          </w:r>
          <w:r>
            <w:tab/>
          </w:r>
          <w:r>
            <w:fldChar w:fldCharType="begin"/>
          </w:r>
          <w:r>
            <w:instrText xml:space="preserve"> PAGEREF _Toc21278 </w:instrText>
          </w:r>
          <w:r>
            <w:fldChar w:fldCharType="separate"/>
          </w:r>
          <w:r>
            <w:t>10</w:t>
          </w:r>
          <w:r>
            <w:fldChar w:fldCharType="end"/>
          </w:r>
          <w:r>
            <w:fldChar w:fldCharType="end"/>
          </w:r>
        </w:p>
        <w:p>
          <w:pPr>
            <w:pStyle w:val="13"/>
            <w:tabs>
              <w:tab w:val="right" w:pos="2400"/>
              <w:tab w:val="right" w:leader="dot" w:pos="9430"/>
            </w:tabs>
            <w:jc w:val="both"/>
          </w:pPr>
          <w:r>
            <w:fldChar w:fldCharType="begin"/>
          </w:r>
          <w:r>
            <w:instrText xml:space="preserve"> HYPERLINK \l _Toc2630 </w:instrText>
          </w:r>
          <w:r>
            <w:fldChar w:fldCharType="separate"/>
          </w:r>
          <w:r>
            <w:t>第二章</w:t>
          </w:r>
          <w:r>
            <w:tab/>
          </w:r>
          <w:r>
            <w:rPr>
              <w:rFonts w:hint="eastAsia"/>
              <w:lang w:val="en-US" w:eastAsia="zh-CN"/>
            </w:rPr>
            <w:t xml:space="preserve">     </w:t>
          </w:r>
          <w:r>
            <w:t>总则</w:t>
          </w:r>
          <w:r>
            <w:tab/>
          </w:r>
          <w:r>
            <w:fldChar w:fldCharType="begin"/>
          </w:r>
          <w:r>
            <w:instrText xml:space="preserve"> PAGEREF _Toc2630 </w:instrText>
          </w:r>
          <w:r>
            <w:fldChar w:fldCharType="separate"/>
          </w:r>
          <w:r>
            <w:t>11</w:t>
          </w:r>
          <w:r>
            <w:fldChar w:fldCharType="end"/>
          </w:r>
          <w:r>
            <w:fldChar w:fldCharType="end"/>
          </w:r>
        </w:p>
        <w:p>
          <w:pPr>
            <w:pStyle w:val="9"/>
            <w:tabs>
              <w:tab w:val="right" w:leader="dot" w:pos="9430"/>
            </w:tabs>
          </w:pPr>
          <w:r>
            <w:fldChar w:fldCharType="begin"/>
          </w:r>
          <w:r>
            <w:instrText xml:space="preserve"> HYPERLINK \l _Toc31928 </w:instrText>
          </w:r>
          <w:r>
            <w:fldChar w:fldCharType="separate"/>
          </w:r>
          <w:r>
            <w:rPr>
              <w:rFonts w:hint="default" w:ascii="Times New Roman" w:hAnsi="Times New Roman" w:eastAsia="Times New Roman" w:cs="Times New Roman"/>
              <w:bCs/>
              <w:spacing w:val="-1"/>
              <w:w w:val="99"/>
              <w:szCs w:val="32"/>
              <w:lang w:val="zh-CN" w:eastAsia="zh-CN" w:bidi="zh-CN"/>
            </w:rPr>
            <w:t xml:space="preserve">2.1 </w:t>
          </w:r>
          <w:r>
            <w:t>评价目的及原则</w:t>
          </w:r>
          <w:r>
            <w:tab/>
          </w:r>
          <w:r>
            <w:fldChar w:fldCharType="begin"/>
          </w:r>
          <w:r>
            <w:instrText xml:space="preserve"> PAGEREF _Toc31928 </w:instrText>
          </w:r>
          <w:r>
            <w:fldChar w:fldCharType="separate"/>
          </w:r>
          <w:r>
            <w:t>11</w:t>
          </w:r>
          <w:r>
            <w:fldChar w:fldCharType="end"/>
          </w:r>
          <w:r>
            <w:fldChar w:fldCharType="end"/>
          </w:r>
        </w:p>
        <w:p>
          <w:pPr>
            <w:pStyle w:val="9"/>
            <w:tabs>
              <w:tab w:val="right" w:leader="dot" w:pos="9430"/>
            </w:tabs>
          </w:pPr>
          <w:r>
            <w:fldChar w:fldCharType="begin"/>
          </w:r>
          <w:r>
            <w:instrText xml:space="preserve"> HYPERLINK \l _Toc10831 </w:instrText>
          </w:r>
          <w:r>
            <w:fldChar w:fldCharType="separate"/>
          </w:r>
          <w:r>
            <w:rPr>
              <w:rFonts w:hint="default"/>
              <w:bCs/>
              <w:spacing w:val="-2"/>
              <w:w w:val="100"/>
              <w:lang w:val="zh-CN" w:eastAsia="zh-CN" w:bidi="zh-CN"/>
            </w:rPr>
            <w:t xml:space="preserve">2.1.1 </w:t>
          </w:r>
          <w:r>
            <w:t>评价目的</w:t>
          </w:r>
          <w:r>
            <w:tab/>
          </w:r>
          <w:r>
            <w:fldChar w:fldCharType="begin"/>
          </w:r>
          <w:r>
            <w:instrText xml:space="preserve"> PAGEREF _Toc10831 </w:instrText>
          </w:r>
          <w:r>
            <w:fldChar w:fldCharType="separate"/>
          </w:r>
          <w:r>
            <w:t>11</w:t>
          </w:r>
          <w:r>
            <w:fldChar w:fldCharType="end"/>
          </w:r>
          <w:r>
            <w:fldChar w:fldCharType="end"/>
          </w:r>
        </w:p>
        <w:p>
          <w:pPr>
            <w:pStyle w:val="9"/>
            <w:tabs>
              <w:tab w:val="right" w:leader="dot" w:pos="9430"/>
            </w:tabs>
          </w:pPr>
          <w:r>
            <w:fldChar w:fldCharType="begin"/>
          </w:r>
          <w:r>
            <w:instrText xml:space="preserve"> HYPERLINK \l _Toc27827 </w:instrText>
          </w:r>
          <w:r>
            <w:fldChar w:fldCharType="separate"/>
          </w:r>
          <w:r>
            <w:rPr>
              <w:rFonts w:hint="default"/>
              <w:bCs/>
              <w:spacing w:val="-2"/>
              <w:w w:val="100"/>
              <w:lang w:val="zh-CN" w:eastAsia="zh-CN" w:bidi="zh-CN"/>
            </w:rPr>
            <w:t xml:space="preserve">2.1.2 </w:t>
          </w:r>
          <w:r>
            <w:t>评价原则</w:t>
          </w:r>
          <w:r>
            <w:tab/>
          </w:r>
          <w:r>
            <w:fldChar w:fldCharType="begin"/>
          </w:r>
          <w:r>
            <w:instrText xml:space="preserve"> PAGEREF _Toc27827 </w:instrText>
          </w:r>
          <w:r>
            <w:fldChar w:fldCharType="separate"/>
          </w:r>
          <w:r>
            <w:t>11</w:t>
          </w:r>
          <w:r>
            <w:fldChar w:fldCharType="end"/>
          </w:r>
          <w:r>
            <w:fldChar w:fldCharType="end"/>
          </w:r>
        </w:p>
        <w:p>
          <w:pPr>
            <w:pStyle w:val="9"/>
            <w:tabs>
              <w:tab w:val="right" w:leader="dot" w:pos="9430"/>
            </w:tabs>
          </w:pPr>
          <w:r>
            <w:fldChar w:fldCharType="begin"/>
          </w:r>
          <w:r>
            <w:instrText xml:space="preserve"> HYPERLINK \l _Toc30273 </w:instrText>
          </w:r>
          <w:r>
            <w:fldChar w:fldCharType="separate"/>
          </w:r>
          <w:r>
            <w:rPr>
              <w:rFonts w:hint="default" w:ascii="Times New Roman" w:hAnsi="Times New Roman" w:eastAsia="Times New Roman" w:cs="Times New Roman"/>
              <w:bCs/>
              <w:spacing w:val="-1"/>
              <w:w w:val="99"/>
              <w:szCs w:val="32"/>
              <w:lang w:val="zh-CN" w:eastAsia="zh-CN" w:bidi="zh-CN"/>
            </w:rPr>
            <w:t xml:space="preserve">2.2 </w:t>
          </w:r>
          <w:r>
            <w:t>编制依据</w:t>
          </w:r>
          <w:r>
            <w:tab/>
          </w:r>
          <w:r>
            <w:fldChar w:fldCharType="begin"/>
          </w:r>
          <w:r>
            <w:instrText xml:space="preserve"> PAGEREF _Toc30273 </w:instrText>
          </w:r>
          <w:r>
            <w:fldChar w:fldCharType="separate"/>
          </w:r>
          <w:r>
            <w:t>12</w:t>
          </w:r>
          <w:r>
            <w:fldChar w:fldCharType="end"/>
          </w:r>
          <w:r>
            <w:fldChar w:fldCharType="end"/>
          </w:r>
        </w:p>
        <w:p>
          <w:pPr>
            <w:pStyle w:val="9"/>
            <w:tabs>
              <w:tab w:val="right" w:leader="dot" w:pos="9430"/>
            </w:tabs>
          </w:pPr>
          <w:r>
            <w:fldChar w:fldCharType="begin"/>
          </w:r>
          <w:r>
            <w:instrText xml:space="preserve"> HYPERLINK \l _Toc4307 </w:instrText>
          </w:r>
          <w:r>
            <w:fldChar w:fldCharType="separate"/>
          </w:r>
          <w:r>
            <w:rPr>
              <w:rFonts w:hint="default" w:ascii="Times New Roman" w:eastAsia="Times New Roman"/>
              <w:bCs/>
              <w:spacing w:val="-2"/>
              <w:w w:val="100"/>
              <w:lang w:val="zh-CN" w:eastAsia="zh-CN" w:bidi="zh-CN"/>
            </w:rPr>
            <w:t xml:space="preserve">2.2.1 </w:t>
          </w:r>
          <w:r>
            <w:t>环境保护法律法规</w:t>
          </w:r>
          <w:r>
            <w:tab/>
          </w:r>
          <w:r>
            <w:fldChar w:fldCharType="begin"/>
          </w:r>
          <w:r>
            <w:instrText xml:space="preserve"> PAGEREF _Toc4307 </w:instrText>
          </w:r>
          <w:r>
            <w:fldChar w:fldCharType="separate"/>
          </w:r>
          <w:r>
            <w:t>12</w:t>
          </w:r>
          <w:r>
            <w:fldChar w:fldCharType="end"/>
          </w:r>
          <w:r>
            <w:fldChar w:fldCharType="end"/>
          </w:r>
        </w:p>
        <w:p>
          <w:pPr>
            <w:pStyle w:val="9"/>
            <w:tabs>
              <w:tab w:val="right" w:leader="dot" w:pos="9430"/>
            </w:tabs>
          </w:pPr>
          <w:r>
            <w:fldChar w:fldCharType="begin"/>
          </w:r>
          <w:r>
            <w:instrText xml:space="preserve"> HYPERLINK \l _Toc24342 </w:instrText>
          </w:r>
          <w:r>
            <w:fldChar w:fldCharType="separate"/>
          </w:r>
          <w:r>
            <w:rPr>
              <w:rFonts w:hint="default" w:ascii="Times New Roman" w:eastAsia="Times New Roman"/>
              <w:bCs/>
              <w:spacing w:val="-2"/>
              <w:w w:val="100"/>
              <w:lang w:val="zh-CN" w:eastAsia="zh-CN" w:bidi="zh-CN"/>
            </w:rPr>
            <w:t xml:space="preserve">2.2.2 </w:t>
          </w:r>
          <w:r>
            <w:t>相关政策及部门规章</w:t>
          </w:r>
          <w:r>
            <w:tab/>
          </w:r>
          <w:r>
            <w:fldChar w:fldCharType="begin"/>
          </w:r>
          <w:r>
            <w:instrText xml:space="preserve"> PAGEREF _Toc24342 </w:instrText>
          </w:r>
          <w:r>
            <w:fldChar w:fldCharType="separate"/>
          </w:r>
          <w:r>
            <w:t>13</w:t>
          </w:r>
          <w:r>
            <w:fldChar w:fldCharType="end"/>
          </w:r>
          <w:r>
            <w:fldChar w:fldCharType="end"/>
          </w:r>
        </w:p>
        <w:p>
          <w:pPr>
            <w:pStyle w:val="9"/>
            <w:tabs>
              <w:tab w:val="right" w:leader="dot" w:pos="9430"/>
            </w:tabs>
          </w:pPr>
          <w:r>
            <w:fldChar w:fldCharType="begin"/>
          </w:r>
          <w:r>
            <w:instrText xml:space="preserve"> HYPERLINK \l _Toc3924 </w:instrText>
          </w:r>
          <w:r>
            <w:fldChar w:fldCharType="separate"/>
          </w:r>
          <w:r>
            <w:rPr>
              <w:rFonts w:hint="default" w:ascii="Times New Roman" w:eastAsia="Times New Roman"/>
              <w:bCs/>
              <w:spacing w:val="-2"/>
              <w:w w:val="100"/>
              <w:lang w:val="zh-CN" w:eastAsia="zh-CN" w:bidi="zh-CN"/>
            </w:rPr>
            <w:t xml:space="preserve">2.2.3 </w:t>
          </w:r>
          <w:r>
            <w:t>地方有关法律法规</w:t>
          </w:r>
          <w:r>
            <w:tab/>
          </w:r>
          <w:r>
            <w:fldChar w:fldCharType="begin"/>
          </w:r>
          <w:r>
            <w:instrText xml:space="preserve"> PAGEREF _Toc3924 </w:instrText>
          </w:r>
          <w:r>
            <w:fldChar w:fldCharType="separate"/>
          </w:r>
          <w:r>
            <w:t>14</w:t>
          </w:r>
          <w:r>
            <w:fldChar w:fldCharType="end"/>
          </w:r>
          <w:r>
            <w:fldChar w:fldCharType="end"/>
          </w:r>
        </w:p>
        <w:p>
          <w:pPr>
            <w:pStyle w:val="9"/>
            <w:tabs>
              <w:tab w:val="right" w:leader="dot" w:pos="9430"/>
            </w:tabs>
          </w:pPr>
          <w:r>
            <w:fldChar w:fldCharType="begin"/>
          </w:r>
          <w:r>
            <w:instrText xml:space="preserve"> HYPERLINK \l _Toc3768 </w:instrText>
          </w:r>
          <w:r>
            <w:fldChar w:fldCharType="separate"/>
          </w:r>
          <w:r>
            <w:rPr>
              <w:rFonts w:hint="default" w:ascii="Times New Roman" w:eastAsia="Times New Roman"/>
              <w:bCs/>
              <w:spacing w:val="-2"/>
              <w:w w:val="100"/>
              <w:lang w:val="zh-CN" w:eastAsia="zh-CN" w:bidi="zh-CN"/>
            </w:rPr>
            <w:t xml:space="preserve">2.2.4 </w:t>
          </w:r>
          <w:r>
            <w:t>相关导则及技术规范依据</w:t>
          </w:r>
          <w:r>
            <w:tab/>
          </w:r>
          <w:r>
            <w:fldChar w:fldCharType="begin"/>
          </w:r>
          <w:r>
            <w:instrText xml:space="preserve"> PAGEREF _Toc3768 </w:instrText>
          </w:r>
          <w:r>
            <w:fldChar w:fldCharType="separate"/>
          </w:r>
          <w:r>
            <w:t>15</w:t>
          </w:r>
          <w:r>
            <w:fldChar w:fldCharType="end"/>
          </w:r>
          <w:r>
            <w:fldChar w:fldCharType="end"/>
          </w:r>
        </w:p>
        <w:p>
          <w:pPr>
            <w:pStyle w:val="9"/>
            <w:tabs>
              <w:tab w:val="right" w:leader="dot" w:pos="9430"/>
            </w:tabs>
          </w:pPr>
          <w:r>
            <w:fldChar w:fldCharType="begin"/>
          </w:r>
          <w:r>
            <w:instrText xml:space="preserve"> HYPERLINK \l _Toc31909 </w:instrText>
          </w:r>
          <w:r>
            <w:fldChar w:fldCharType="separate"/>
          </w:r>
          <w:r>
            <w:rPr>
              <w:rFonts w:hint="default" w:ascii="Times New Roman" w:eastAsia="Times New Roman"/>
              <w:bCs/>
              <w:spacing w:val="-2"/>
              <w:w w:val="100"/>
              <w:lang w:val="zh-CN" w:eastAsia="zh-CN" w:bidi="zh-CN"/>
            </w:rPr>
            <w:t xml:space="preserve">2.2.5 </w:t>
          </w:r>
          <w:r>
            <w:t>项目编制依据</w:t>
          </w:r>
          <w:r>
            <w:tab/>
          </w:r>
          <w:r>
            <w:fldChar w:fldCharType="begin"/>
          </w:r>
          <w:r>
            <w:instrText xml:space="preserve"> PAGEREF _Toc31909 </w:instrText>
          </w:r>
          <w:r>
            <w:fldChar w:fldCharType="separate"/>
          </w:r>
          <w:r>
            <w:t>16</w:t>
          </w:r>
          <w:r>
            <w:fldChar w:fldCharType="end"/>
          </w:r>
          <w:r>
            <w:fldChar w:fldCharType="end"/>
          </w:r>
        </w:p>
        <w:p>
          <w:pPr>
            <w:pStyle w:val="9"/>
            <w:tabs>
              <w:tab w:val="right" w:leader="dot" w:pos="9430"/>
            </w:tabs>
          </w:pPr>
          <w:r>
            <w:fldChar w:fldCharType="begin"/>
          </w:r>
          <w:r>
            <w:instrText xml:space="preserve"> HYPERLINK \l _Toc22845 </w:instrText>
          </w:r>
          <w:r>
            <w:fldChar w:fldCharType="separate"/>
          </w:r>
          <w:r>
            <w:rPr>
              <w:rFonts w:hint="default" w:ascii="Times New Roman" w:hAnsi="Times New Roman" w:eastAsia="Times New Roman" w:cs="Times New Roman"/>
              <w:bCs/>
              <w:spacing w:val="-1"/>
              <w:w w:val="99"/>
              <w:szCs w:val="32"/>
              <w:lang w:val="zh-CN" w:eastAsia="zh-CN" w:bidi="zh-CN"/>
            </w:rPr>
            <w:t xml:space="preserve">2.3 </w:t>
          </w:r>
          <w:r>
            <w:t>环境影响因素识别及评价因子筛选</w:t>
          </w:r>
          <w:r>
            <w:tab/>
          </w:r>
          <w:r>
            <w:fldChar w:fldCharType="begin"/>
          </w:r>
          <w:r>
            <w:instrText xml:space="preserve"> PAGEREF _Toc22845 </w:instrText>
          </w:r>
          <w:r>
            <w:fldChar w:fldCharType="separate"/>
          </w:r>
          <w:r>
            <w:t>16</w:t>
          </w:r>
          <w:r>
            <w:fldChar w:fldCharType="end"/>
          </w:r>
          <w:r>
            <w:fldChar w:fldCharType="end"/>
          </w:r>
        </w:p>
        <w:p>
          <w:pPr>
            <w:pStyle w:val="9"/>
            <w:tabs>
              <w:tab w:val="right" w:leader="dot" w:pos="9430"/>
            </w:tabs>
          </w:pPr>
          <w:r>
            <w:fldChar w:fldCharType="begin"/>
          </w:r>
          <w:r>
            <w:instrText xml:space="preserve"> HYPERLINK \l _Toc20553 </w:instrText>
          </w:r>
          <w:r>
            <w:fldChar w:fldCharType="separate"/>
          </w:r>
          <w:r>
            <w:rPr>
              <w:rFonts w:hint="default" w:ascii="Times New Roman" w:eastAsia="Times New Roman"/>
              <w:bCs/>
              <w:spacing w:val="-2"/>
              <w:w w:val="100"/>
              <w:lang w:val="zh-CN" w:eastAsia="zh-CN" w:bidi="zh-CN"/>
            </w:rPr>
            <w:t xml:space="preserve">2.3.1 </w:t>
          </w:r>
          <w:r>
            <w:t>环境影响因素识别</w:t>
          </w:r>
          <w:r>
            <w:tab/>
          </w:r>
          <w:r>
            <w:fldChar w:fldCharType="begin"/>
          </w:r>
          <w:r>
            <w:instrText xml:space="preserve"> PAGEREF _Toc20553 </w:instrText>
          </w:r>
          <w:r>
            <w:fldChar w:fldCharType="separate"/>
          </w:r>
          <w:r>
            <w:t>16</w:t>
          </w:r>
          <w:r>
            <w:fldChar w:fldCharType="end"/>
          </w:r>
          <w:r>
            <w:fldChar w:fldCharType="end"/>
          </w:r>
        </w:p>
        <w:p>
          <w:pPr>
            <w:pStyle w:val="9"/>
            <w:tabs>
              <w:tab w:val="right" w:leader="dot" w:pos="9430"/>
            </w:tabs>
          </w:pPr>
          <w:r>
            <w:fldChar w:fldCharType="begin"/>
          </w:r>
          <w:r>
            <w:instrText xml:space="preserve"> HYPERLINK \l _Toc1247 </w:instrText>
          </w:r>
          <w:r>
            <w:fldChar w:fldCharType="separate"/>
          </w:r>
          <w:r>
            <w:rPr>
              <w:rFonts w:hint="default" w:ascii="Times New Roman" w:eastAsia="Times New Roman"/>
              <w:bCs/>
              <w:spacing w:val="-2"/>
              <w:w w:val="100"/>
              <w:lang w:val="zh-CN" w:eastAsia="zh-CN" w:bidi="zh-CN"/>
            </w:rPr>
            <w:t xml:space="preserve">2.3.2 </w:t>
          </w:r>
          <w:r>
            <w:t>评价因子筛选</w:t>
          </w:r>
          <w:r>
            <w:tab/>
          </w:r>
          <w:r>
            <w:fldChar w:fldCharType="begin"/>
          </w:r>
          <w:r>
            <w:instrText xml:space="preserve"> PAGEREF _Toc1247 </w:instrText>
          </w:r>
          <w:r>
            <w:fldChar w:fldCharType="separate"/>
          </w:r>
          <w:r>
            <w:t>17</w:t>
          </w:r>
          <w:r>
            <w:fldChar w:fldCharType="end"/>
          </w:r>
          <w:r>
            <w:fldChar w:fldCharType="end"/>
          </w:r>
        </w:p>
        <w:p>
          <w:pPr>
            <w:pStyle w:val="9"/>
            <w:tabs>
              <w:tab w:val="right" w:leader="dot" w:pos="9430"/>
            </w:tabs>
          </w:pPr>
          <w:r>
            <w:fldChar w:fldCharType="begin"/>
          </w:r>
          <w:r>
            <w:instrText xml:space="preserve"> HYPERLINK \l _Toc6496 </w:instrText>
          </w:r>
          <w:r>
            <w:fldChar w:fldCharType="separate"/>
          </w:r>
          <w:r>
            <w:rPr>
              <w:rFonts w:hint="default" w:ascii="Times New Roman" w:hAnsi="Times New Roman" w:eastAsia="Times New Roman" w:cs="Times New Roman"/>
              <w:bCs/>
              <w:spacing w:val="-1"/>
              <w:w w:val="99"/>
              <w:szCs w:val="32"/>
              <w:lang w:val="zh-CN" w:eastAsia="zh-CN" w:bidi="zh-CN"/>
            </w:rPr>
            <w:t xml:space="preserve">2.4 </w:t>
          </w:r>
          <w:r>
            <w:t>环境功能区划及评价标准</w:t>
          </w:r>
          <w:r>
            <w:tab/>
          </w:r>
          <w:r>
            <w:fldChar w:fldCharType="begin"/>
          </w:r>
          <w:r>
            <w:instrText xml:space="preserve"> PAGEREF _Toc6496 </w:instrText>
          </w:r>
          <w:r>
            <w:fldChar w:fldCharType="separate"/>
          </w:r>
          <w:r>
            <w:t>18</w:t>
          </w:r>
          <w:r>
            <w:fldChar w:fldCharType="end"/>
          </w:r>
          <w:r>
            <w:fldChar w:fldCharType="end"/>
          </w:r>
        </w:p>
        <w:p>
          <w:pPr>
            <w:pStyle w:val="9"/>
            <w:tabs>
              <w:tab w:val="right" w:leader="dot" w:pos="9430"/>
            </w:tabs>
          </w:pPr>
          <w:r>
            <w:fldChar w:fldCharType="begin"/>
          </w:r>
          <w:r>
            <w:instrText xml:space="preserve"> HYPERLINK \l _Toc1727 </w:instrText>
          </w:r>
          <w:r>
            <w:fldChar w:fldCharType="separate"/>
          </w:r>
          <w:r>
            <w:rPr>
              <w:rFonts w:hint="default" w:ascii="Times New Roman" w:eastAsia="Times New Roman"/>
              <w:bCs/>
              <w:spacing w:val="-2"/>
              <w:w w:val="100"/>
              <w:lang w:val="zh-CN" w:eastAsia="zh-CN" w:bidi="zh-CN"/>
            </w:rPr>
            <w:t xml:space="preserve">2.4.1 </w:t>
          </w:r>
          <w:r>
            <w:t>环境功能区划</w:t>
          </w:r>
          <w:r>
            <w:tab/>
          </w:r>
          <w:r>
            <w:fldChar w:fldCharType="begin"/>
          </w:r>
          <w:r>
            <w:instrText xml:space="preserve"> PAGEREF _Toc1727 </w:instrText>
          </w:r>
          <w:r>
            <w:fldChar w:fldCharType="separate"/>
          </w:r>
          <w:r>
            <w:t>18</w:t>
          </w:r>
          <w:r>
            <w:fldChar w:fldCharType="end"/>
          </w:r>
          <w:r>
            <w:fldChar w:fldCharType="end"/>
          </w:r>
        </w:p>
        <w:p>
          <w:pPr>
            <w:pStyle w:val="9"/>
            <w:tabs>
              <w:tab w:val="right" w:leader="dot" w:pos="9430"/>
            </w:tabs>
          </w:pPr>
          <w:r>
            <w:fldChar w:fldCharType="begin"/>
          </w:r>
          <w:r>
            <w:instrText xml:space="preserve"> HYPERLINK \l _Toc14572 </w:instrText>
          </w:r>
          <w:r>
            <w:fldChar w:fldCharType="separate"/>
          </w:r>
          <w:r>
            <w:rPr>
              <w:rFonts w:hint="default" w:ascii="Times New Roman" w:eastAsia="Times New Roman"/>
              <w:bCs/>
              <w:spacing w:val="-2"/>
              <w:w w:val="100"/>
              <w:lang w:val="zh-CN" w:eastAsia="zh-CN" w:bidi="zh-CN"/>
            </w:rPr>
            <w:t xml:space="preserve">2.4.2 </w:t>
          </w:r>
          <w:r>
            <w:t>评价标准</w:t>
          </w:r>
          <w:r>
            <w:tab/>
          </w:r>
          <w:r>
            <w:fldChar w:fldCharType="begin"/>
          </w:r>
          <w:r>
            <w:instrText xml:space="preserve"> PAGEREF _Toc14572 </w:instrText>
          </w:r>
          <w:r>
            <w:fldChar w:fldCharType="separate"/>
          </w:r>
          <w:r>
            <w:t>19</w:t>
          </w:r>
          <w:r>
            <w:fldChar w:fldCharType="end"/>
          </w:r>
          <w:r>
            <w:fldChar w:fldCharType="end"/>
          </w:r>
        </w:p>
        <w:p>
          <w:pPr>
            <w:pStyle w:val="9"/>
            <w:tabs>
              <w:tab w:val="right" w:leader="dot" w:pos="9430"/>
            </w:tabs>
          </w:pPr>
          <w:r>
            <w:fldChar w:fldCharType="begin"/>
          </w:r>
          <w:r>
            <w:instrText xml:space="preserve"> HYPERLINK \l _Toc695 </w:instrText>
          </w:r>
          <w:r>
            <w:fldChar w:fldCharType="separate"/>
          </w:r>
          <w:r>
            <w:rPr>
              <w:rFonts w:hint="default" w:ascii="Times New Roman" w:hAnsi="Times New Roman" w:eastAsia="Times New Roman" w:cs="Times New Roman"/>
              <w:bCs/>
              <w:spacing w:val="-1"/>
              <w:w w:val="99"/>
              <w:szCs w:val="32"/>
              <w:lang w:val="zh-CN" w:eastAsia="zh-CN" w:bidi="zh-CN"/>
            </w:rPr>
            <w:t xml:space="preserve">2.5 </w:t>
          </w:r>
          <w:r>
            <w:t>评价时段</w:t>
          </w:r>
          <w:r>
            <w:tab/>
          </w:r>
          <w:r>
            <w:fldChar w:fldCharType="begin"/>
          </w:r>
          <w:r>
            <w:instrText xml:space="preserve"> PAGEREF _Toc695 </w:instrText>
          </w:r>
          <w:r>
            <w:fldChar w:fldCharType="separate"/>
          </w:r>
          <w:r>
            <w:t>24</w:t>
          </w:r>
          <w:r>
            <w:fldChar w:fldCharType="end"/>
          </w:r>
          <w:r>
            <w:fldChar w:fldCharType="end"/>
          </w:r>
        </w:p>
        <w:p>
          <w:pPr>
            <w:pStyle w:val="9"/>
            <w:tabs>
              <w:tab w:val="right" w:leader="dot" w:pos="9430"/>
            </w:tabs>
          </w:pPr>
          <w:r>
            <w:fldChar w:fldCharType="begin"/>
          </w:r>
          <w:r>
            <w:instrText xml:space="preserve"> HYPERLINK \l _Toc22224 </w:instrText>
          </w:r>
          <w:r>
            <w:fldChar w:fldCharType="separate"/>
          </w:r>
          <w:r>
            <w:rPr>
              <w:rFonts w:hint="default" w:ascii="Times New Roman" w:hAnsi="Times New Roman" w:eastAsia="Times New Roman" w:cs="Times New Roman"/>
              <w:bCs/>
              <w:spacing w:val="-1"/>
              <w:w w:val="99"/>
              <w:szCs w:val="32"/>
              <w:lang w:val="zh-CN" w:eastAsia="zh-CN" w:bidi="zh-CN"/>
            </w:rPr>
            <w:t xml:space="preserve">2.6 </w:t>
          </w:r>
          <w:r>
            <w:t>评价等级和评价范围</w:t>
          </w:r>
          <w:r>
            <w:tab/>
          </w:r>
          <w:r>
            <w:fldChar w:fldCharType="begin"/>
          </w:r>
          <w:r>
            <w:instrText xml:space="preserve"> PAGEREF _Toc22224 </w:instrText>
          </w:r>
          <w:r>
            <w:fldChar w:fldCharType="separate"/>
          </w:r>
          <w:r>
            <w:t>24</w:t>
          </w:r>
          <w:r>
            <w:fldChar w:fldCharType="end"/>
          </w:r>
          <w:r>
            <w:fldChar w:fldCharType="end"/>
          </w:r>
        </w:p>
        <w:p>
          <w:pPr>
            <w:pStyle w:val="9"/>
            <w:tabs>
              <w:tab w:val="right" w:leader="dot" w:pos="9430"/>
            </w:tabs>
          </w:pPr>
          <w:r>
            <w:fldChar w:fldCharType="begin"/>
          </w:r>
          <w:r>
            <w:instrText xml:space="preserve"> HYPERLINK \l _Toc3784 </w:instrText>
          </w:r>
          <w:r>
            <w:fldChar w:fldCharType="separate"/>
          </w:r>
          <w:r>
            <w:rPr>
              <w:rFonts w:hint="default" w:ascii="Times New Roman" w:hAnsi="Times New Roman" w:eastAsia="Times New Roman" w:cs="Times New Roman"/>
              <w:bCs/>
              <w:spacing w:val="-2"/>
              <w:w w:val="100"/>
              <w:szCs w:val="28"/>
              <w:lang w:val="zh-CN" w:eastAsia="zh-CN" w:bidi="zh-CN"/>
            </w:rPr>
            <w:t xml:space="preserve">2.6.1 </w:t>
          </w:r>
          <w:r>
            <w:t>评价工作等级</w:t>
          </w:r>
          <w:r>
            <w:tab/>
          </w:r>
          <w:r>
            <w:fldChar w:fldCharType="begin"/>
          </w:r>
          <w:r>
            <w:instrText xml:space="preserve"> PAGEREF _Toc3784 </w:instrText>
          </w:r>
          <w:r>
            <w:fldChar w:fldCharType="separate"/>
          </w:r>
          <w:r>
            <w:t>24</w:t>
          </w:r>
          <w:r>
            <w:fldChar w:fldCharType="end"/>
          </w:r>
          <w:r>
            <w:fldChar w:fldCharType="end"/>
          </w:r>
        </w:p>
        <w:p>
          <w:pPr>
            <w:pStyle w:val="9"/>
            <w:tabs>
              <w:tab w:val="right" w:leader="dot" w:pos="9430"/>
            </w:tabs>
          </w:pPr>
          <w:r>
            <w:fldChar w:fldCharType="begin"/>
          </w:r>
          <w:r>
            <w:instrText xml:space="preserve"> HYPERLINK \l _Toc12301 </w:instrText>
          </w:r>
          <w:r>
            <w:fldChar w:fldCharType="separate"/>
          </w:r>
          <w:r>
            <w:rPr>
              <w:rFonts w:hint="default" w:ascii="Times New Roman" w:hAnsi="Times New Roman" w:eastAsia="Times New Roman" w:cs="Times New Roman"/>
              <w:bCs/>
              <w:spacing w:val="-2"/>
              <w:w w:val="100"/>
              <w:szCs w:val="28"/>
              <w:lang w:val="zh-CN" w:eastAsia="zh-CN" w:bidi="zh-CN"/>
            </w:rPr>
            <w:t xml:space="preserve">2.6.2 </w:t>
          </w:r>
          <w:r>
            <w:t>评价范围</w:t>
          </w:r>
          <w:r>
            <w:tab/>
          </w:r>
          <w:r>
            <w:fldChar w:fldCharType="begin"/>
          </w:r>
          <w:r>
            <w:instrText xml:space="preserve"> PAGEREF _Toc12301 </w:instrText>
          </w:r>
          <w:r>
            <w:fldChar w:fldCharType="separate"/>
          </w:r>
          <w:r>
            <w:t>31</w:t>
          </w:r>
          <w:r>
            <w:fldChar w:fldCharType="end"/>
          </w:r>
          <w:r>
            <w:fldChar w:fldCharType="end"/>
          </w:r>
        </w:p>
        <w:p>
          <w:pPr>
            <w:pStyle w:val="9"/>
            <w:tabs>
              <w:tab w:val="right" w:leader="dot" w:pos="9430"/>
            </w:tabs>
          </w:pPr>
          <w:r>
            <w:fldChar w:fldCharType="begin"/>
          </w:r>
          <w:r>
            <w:instrText xml:space="preserve"> HYPERLINK \l _Toc32482 </w:instrText>
          </w:r>
          <w:r>
            <w:fldChar w:fldCharType="separate"/>
          </w:r>
          <w:r>
            <w:rPr>
              <w:rFonts w:hint="default" w:ascii="Times New Roman" w:hAnsi="Times New Roman" w:eastAsia="Times New Roman" w:cs="Times New Roman"/>
              <w:bCs/>
              <w:spacing w:val="-1"/>
              <w:w w:val="99"/>
              <w:szCs w:val="32"/>
              <w:lang w:val="zh-CN" w:eastAsia="zh-CN" w:bidi="zh-CN"/>
            </w:rPr>
            <w:t xml:space="preserve">2.7 </w:t>
          </w:r>
          <w:r>
            <w:t>污染控制与环境保护目标</w:t>
          </w:r>
          <w:r>
            <w:tab/>
          </w:r>
          <w:r>
            <w:fldChar w:fldCharType="begin"/>
          </w:r>
          <w:r>
            <w:instrText xml:space="preserve"> PAGEREF _Toc32482 </w:instrText>
          </w:r>
          <w:r>
            <w:fldChar w:fldCharType="separate"/>
          </w:r>
          <w:r>
            <w:t>32</w:t>
          </w:r>
          <w:r>
            <w:fldChar w:fldCharType="end"/>
          </w:r>
          <w:r>
            <w:fldChar w:fldCharType="end"/>
          </w:r>
        </w:p>
        <w:p>
          <w:pPr>
            <w:pStyle w:val="9"/>
            <w:tabs>
              <w:tab w:val="right" w:leader="dot" w:pos="9430"/>
            </w:tabs>
          </w:pPr>
          <w:r>
            <w:fldChar w:fldCharType="begin"/>
          </w:r>
          <w:r>
            <w:instrText xml:space="preserve"> HYPERLINK \l _Toc4064 </w:instrText>
          </w:r>
          <w:r>
            <w:fldChar w:fldCharType="separate"/>
          </w:r>
          <w:r>
            <w:rPr>
              <w:rFonts w:hint="default" w:ascii="Times New Roman" w:hAnsi="Times New Roman" w:eastAsia="Times New Roman" w:cs="Times New Roman"/>
              <w:bCs/>
              <w:spacing w:val="-2"/>
              <w:w w:val="100"/>
              <w:szCs w:val="28"/>
              <w:lang w:val="zh-CN" w:eastAsia="zh-CN" w:bidi="zh-CN"/>
            </w:rPr>
            <w:t xml:space="preserve">2.7.1 </w:t>
          </w:r>
          <w:r>
            <w:t>污染控制</w:t>
          </w:r>
          <w:r>
            <w:tab/>
          </w:r>
          <w:r>
            <w:fldChar w:fldCharType="begin"/>
          </w:r>
          <w:r>
            <w:instrText xml:space="preserve"> PAGEREF _Toc4064 </w:instrText>
          </w:r>
          <w:r>
            <w:fldChar w:fldCharType="separate"/>
          </w:r>
          <w:r>
            <w:t>32</w:t>
          </w:r>
          <w:r>
            <w:fldChar w:fldCharType="end"/>
          </w:r>
          <w:r>
            <w:fldChar w:fldCharType="end"/>
          </w:r>
        </w:p>
        <w:p>
          <w:pPr>
            <w:pStyle w:val="9"/>
            <w:tabs>
              <w:tab w:val="right" w:leader="dot" w:pos="9430"/>
            </w:tabs>
          </w:pPr>
          <w:r>
            <w:fldChar w:fldCharType="begin"/>
          </w:r>
          <w:r>
            <w:instrText xml:space="preserve"> HYPERLINK \l _Toc25635 </w:instrText>
          </w:r>
          <w:r>
            <w:fldChar w:fldCharType="separate"/>
          </w:r>
          <w:r>
            <w:rPr>
              <w:rFonts w:hint="default" w:ascii="Times New Roman" w:hAnsi="Times New Roman" w:eastAsia="Times New Roman" w:cs="Times New Roman"/>
              <w:bCs/>
              <w:spacing w:val="-2"/>
              <w:w w:val="100"/>
              <w:szCs w:val="28"/>
              <w:lang w:val="zh-CN" w:eastAsia="zh-CN" w:bidi="zh-CN"/>
            </w:rPr>
            <w:t xml:space="preserve">2.7.2 </w:t>
          </w:r>
          <w:r>
            <w:t>环境保护目标</w:t>
          </w:r>
          <w:r>
            <w:tab/>
          </w:r>
          <w:r>
            <w:fldChar w:fldCharType="begin"/>
          </w:r>
          <w:r>
            <w:instrText xml:space="preserve"> PAGEREF _Toc25635 </w:instrText>
          </w:r>
          <w:r>
            <w:fldChar w:fldCharType="separate"/>
          </w:r>
          <w:r>
            <w:t>33</w:t>
          </w:r>
          <w:r>
            <w:fldChar w:fldCharType="end"/>
          </w:r>
          <w:r>
            <w:fldChar w:fldCharType="end"/>
          </w:r>
        </w:p>
        <w:p>
          <w:pPr>
            <w:pStyle w:val="9"/>
            <w:tabs>
              <w:tab w:val="right" w:leader="dot" w:pos="9430"/>
            </w:tabs>
          </w:pPr>
          <w:r>
            <w:fldChar w:fldCharType="begin"/>
          </w:r>
          <w:r>
            <w:instrText xml:space="preserve"> HYPERLINK \l _Toc4758 </w:instrText>
          </w:r>
          <w:r>
            <w:fldChar w:fldCharType="separate"/>
          </w:r>
          <w:r>
            <w:rPr>
              <w:rFonts w:hint="default" w:ascii="Times New Roman" w:hAnsi="Times New Roman" w:eastAsia="Times New Roman" w:cs="Times New Roman"/>
              <w:bCs/>
              <w:spacing w:val="-1"/>
              <w:w w:val="99"/>
              <w:szCs w:val="32"/>
              <w:lang w:val="zh-CN" w:eastAsia="zh-CN" w:bidi="zh-CN"/>
            </w:rPr>
            <w:t xml:space="preserve">2.8 </w:t>
          </w:r>
          <w:r>
            <w:t>评价总体思路及评价重点</w:t>
          </w:r>
          <w:r>
            <w:tab/>
          </w:r>
          <w:r>
            <w:fldChar w:fldCharType="begin"/>
          </w:r>
          <w:r>
            <w:instrText xml:space="preserve"> PAGEREF _Toc4758 </w:instrText>
          </w:r>
          <w:r>
            <w:fldChar w:fldCharType="separate"/>
          </w:r>
          <w:r>
            <w:t>34</w:t>
          </w:r>
          <w:r>
            <w:fldChar w:fldCharType="end"/>
          </w:r>
          <w:r>
            <w:fldChar w:fldCharType="end"/>
          </w:r>
        </w:p>
        <w:p>
          <w:pPr>
            <w:pStyle w:val="9"/>
            <w:tabs>
              <w:tab w:val="right" w:leader="dot" w:pos="9430"/>
            </w:tabs>
          </w:pPr>
          <w:r>
            <w:fldChar w:fldCharType="begin"/>
          </w:r>
          <w:r>
            <w:instrText xml:space="preserve"> HYPERLINK \l _Toc694 </w:instrText>
          </w:r>
          <w:r>
            <w:fldChar w:fldCharType="separate"/>
          </w:r>
          <w:r>
            <w:rPr>
              <w:rFonts w:hint="default" w:ascii="Times New Roman" w:hAnsi="Times New Roman" w:eastAsia="Times New Roman" w:cs="Times New Roman"/>
              <w:bCs/>
              <w:spacing w:val="-2"/>
              <w:w w:val="100"/>
              <w:szCs w:val="28"/>
              <w:lang w:val="zh-CN" w:eastAsia="zh-CN" w:bidi="zh-CN"/>
            </w:rPr>
            <w:t xml:space="preserve">2.8.1 </w:t>
          </w:r>
          <w:r>
            <w:t>评价总体思路</w:t>
          </w:r>
          <w:r>
            <w:tab/>
          </w:r>
          <w:r>
            <w:fldChar w:fldCharType="begin"/>
          </w:r>
          <w:r>
            <w:instrText xml:space="preserve"> PAGEREF _Toc694 </w:instrText>
          </w:r>
          <w:r>
            <w:fldChar w:fldCharType="separate"/>
          </w:r>
          <w:r>
            <w:t>34</w:t>
          </w:r>
          <w:r>
            <w:fldChar w:fldCharType="end"/>
          </w:r>
          <w:r>
            <w:fldChar w:fldCharType="end"/>
          </w:r>
        </w:p>
        <w:p>
          <w:pPr>
            <w:pStyle w:val="9"/>
            <w:tabs>
              <w:tab w:val="right" w:leader="dot" w:pos="9430"/>
            </w:tabs>
          </w:pPr>
          <w:r>
            <w:fldChar w:fldCharType="begin"/>
          </w:r>
          <w:r>
            <w:instrText xml:space="preserve"> HYPERLINK \l _Toc2143 </w:instrText>
          </w:r>
          <w:r>
            <w:fldChar w:fldCharType="separate"/>
          </w:r>
          <w:r>
            <w:rPr>
              <w:rFonts w:hint="default" w:ascii="Times New Roman" w:hAnsi="Times New Roman" w:eastAsia="Times New Roman" w:cs="Times New Roman"/>
              <w:bCs/>
              <w:spacing w:val="-2"/>
              <w:w w:val="100"/>
              <w:szCs w:val="28"/>
              <w:lang w:val="zh-CN" w:eastAsia="zh-CN" w:bidi="zh-CN"/>
            </w:rPr>
            <w:t xml:space="preserve">2.8.2 </w:t>
          </w:r>
          <w:r>
            <w:t>评价重点</w:t>
          </w:r>
          <w:r>
            <w:tab/>
          </w:r>
          <w:r>
            <w:fldChar w:fldCharType="begin"/>
          </w:r>
          <w:r>
            <w:instrText xml:space="preserve"> PAGEREF _Toc2143 </w:instrText>
          </w:r>
          <w:r>
            <w:fldChar w:fldCharType="separate"/>
          </w:r>
          <w:r>
            <w:t>35</w:t>
          </w:r>
          <w:r>
            <w:fldChar w:fldCharType="end"/>
          </w:r>
          <w:r>
            <w:fldChar w:fldCharType="end"/>
          </w:r>
        </w:p>
        <w:p>
          <w:pPr>
            <w:pStyle w:val="13"/>
            <w:tabs>
              <w:tab w:val="right" w:pos="2400"/>
              <w:tab w:val="right" w:leader="dot" w:pos="9430"/>
            </w:tabs>
          </w:pPr>
          <w:r>
            <w:fldChar w:fldCharType="begin"/>
          </w:r>
          <w:r>
            <w:instrText xml:space="preserve"> HYPERLINK \l _Toc23542 </w:instrText>
          </w:r>
          <w:r>
            <w:fldChar w:fldCharType="separate"/>
          </w:r>
          <w:r>
            <w:t>第三章</w:t>
          </w:r>
          <w:r>
            <w:tab/>
          </w:r>
          <w:r>
            <w:t>建设项目工程概况和工程分析</w:t>
          </w:r>
          <w:r>
            <w:tab/>
          </w:r>
          <w:r>
            <w:fldChar w:fldCharType="begin"/>
          </w:r>
          <w:r>
            <w:instrText xml:space="preserve"> PAGEREF _Toc23542 </w:instrText>
          </w:r>
          <w:r>
            <w:fldChar w:fldCharType="separate"/>
          </w:r>
          <w:r>
            <w:t>36</w:t>
          </w:r>
          <w:r>
            <w:fldChar w:fldCharType="end"/>
          </w:r>
          <w:r>
            <w:fldChar w:fldCharType="end"/>
          </w:r>
        </w:p>
        <w:p>
          <w:pPr>
            <w:pStyle w:val="9"/>
            <w:tabs>
              <w:tab w:val="right" w:leader="dot" w:pos="9430"/>
            </w:tabs>
          </w:pPr>
          <w:r>
            <w:fldChar w:fldCharType="begin"/>
          </w:r>
          <w:r>
            <w:instrText xml:space="preserve"> HYPERLINK \l _Toc16235 </w:instrText>
          </w:r>
          <w:r>
            <w:fldChar w:fldCharType="separate"/>
          </w:r>
          <w:r>
            <w:rPr>
              <w:rFonts w:hint="default" w:ascii="Times New Roman" w:hAnsi="Times New Roman" w:eastAsia="Times New Roman" w:cs="Times New Roman"/>
              <w:bCs/>
              <w:spacing w:val="-1"/>
              <w:w w:val="99"/>
              <w:szCs w:val="32"/>
              <w:lang w:val="zh-CN" w:eastAsia="zh-CN" w:bidi="zh-CN"/>
            </w:rPr>
            <w:t xml:space="preserve">3.1 </w:t>
          </w:r>
          <w:r>
            <w:t>工程概况</w:t>
          </w:r>
          <w:r>
            <w:tab/>
          </w:r>
          <w:r>
            <w:fldChar w:fldCharType="begin"/>
          </w:r>
          <w:r>
            <w:instrText xml:space="preserve"> PAGEREF _Toc16235 </w:instrText>
          </w:r>
          <w:r>
            <w:fldChar w:fldCharType="separate"/>
          </w:r>
          <w:r>
            <w:t>36</w:t>
          </w:r>
          <w:r>
            <w:fldChar w:fldCharType="end"/>
          </w:r>
          <w:r>
            <w:fldChar w:fldCharType="end"/>
          </w:r>
        </w:p>
        <w:p>
          <w:pPr>
            <w:pStyle w:val="9"/>
            <w:tabs>
              <w:tab w:val="right" w:leader="dot" w:pos="9430"/>
            </w:tabs>
          </w:pPr>
          <w:r>
            <w:fldChar w:fldCharType="begin"/>
          </w:r>
          <w:r>
            <w:instrText xml:space="preserve"> HYPERLINK \l _Toc5776 </w:instrText>
          </w:r>
          <w:r>
            <w:fldChar w:fldCharType="separate"/>
          </w:r>
          <w:r>
            <w:rPr>
              <w:rFonts w:hint="default" w:ascii="Times New Roman" w:hAnsi="Times New Roman" w:eastAsia="Times New Roman" w:cs="Times New Roman"/>
              <w:bCs/>
              <w:spacing w:val="-1"/>
              <w:w w:val="99"/>
              <w:szCs w:val="32"/>
              <w:lang w:val="zh-CN" w:eastAsia="zh-CN" w:bidi="zh-CN"/>
            </w:rPr>
            <w:t xml:space="preserve">3.2 </w:t>
          </w:r>
          <w:r>
            <w:t>工程分析</w:t>
          </w:r>
          <w:r>
            <w:tab/>
          </w:r>
          <w:r>
            <w:fldChar w:fldCharType="begin"/>
          </w:r>
          <w:r>
            <w:instrText xml:space="preserve"> PAGEREF _Toc5776 </w:instrText>
          </w:r>
          <w:r>
            <w:fldChar w:fldCharType="separate"/>
          </w:r>
          <w:r>
            <w:t>69</w:t>
          </w:r>
          <w:r>
            <w:fldChar w:fldCharType="end"/>
          </w:r>
          <w:r>
            <w:fldChar w:fldCharType="end"/>
          </w:r>
        </w:p>
        <w:p>
          <w:pPr>
            <w:pStyle w:val="9"/>
            <w:tabs>
              <w:tab w:val="right" w:leader="dot" w:pos="9430"/>
            </w:tabs>
          </w:pPr>
          <w:r>
            <w:fldChar w:fldCharType="begin"/>
          </w:r>
          <w:r>
            <w:instrText xml:space="preserve"> HYPERLINK \l _Toc30724 </w:instrText>
          </w:r>
          <w:r>
            <w:fldChar w:fldCharType="separate"/>
          </w:r>
          <w:r>
            <w:rPr>
              <w:rFonts w:hint="default" w:ascii="Times New Roman" w:hAnsi="Times New Roman" w:eastAsia="Times New Roman" w:cs="Times New Roman"/>
              <w:bCs/>
              <w:spacing w:val="-2"/>
              <w:w w:val="100"/>
              <w:szCs w:val="28"/>
              <w:lang w:val="zh-CN" w:eastAsia="zh-CN" w:bidi="zh-CN"/>
            </w:rPr>
            <w:t xml:space="preserve">3.2.1 </w:t>
          </w:r>
          <w:r>
            <w:t>施工期工程分析</w:t>
          </w:r>
          <w:r>
            <w:tab/>
          </w:r>
          <w:r>
            <w:fldChar w:fldCharType="begin"/>
          </w:r>
          <w:r>
            <w:instrText xml:space="preserve"> PAGEREF _Toc30724 </w:instrText>
          </w:r>
          <w:r>
            <w:fldChar w:fldCharType="separate"/>
          </w:r>
          <w:r>
            <w:t>69</w:t>
          </w:r>
          <w:r>
            <w:fldChar w:fldCharType="end"/>
          </w:r>
          <w:r>
            <w:fldChar w:fldCharType="end"/>
          </w:r>
        </w:p>
        <w:p>
          <w:pPr>
            <w:pStyle w:val="9"/>
            <w:tabs>
              <w:tab w:val="right" w:leader="dot" w:pos="9430"/>
            </w:tabs>
          </w:pPr>
          <w:r>
            <w:fldChar w:fldCharType="begin"/>
          </w:r>
          <w:r>
            <w:instrText xml:space="preserve"> HYPERLINK \l _Toc7341 </w:instrText>
          </w:r>
          <w:r>
            <w:fldChar w:fldCharType="separate"/>
          </w:r>
          <w:r>
            <w:rPr>
              <w:rFonts w:hint="default" w:ascii="Times New Roman" w:hAnsi="Times New Roman" w:eastAsia="Times New Roman" w:cs="Times New Roman"/>
              <w:bCs/>
              <w:spacing w:val="-2"/>
              <w:w w:val="100"/>
              <w:szCs w:val="28"/>
              <w:lang w:val="zh-CN" w:eastAsia="zh-CN" w:bidi="zh-CN"/>
            </w:rPr>
            <w:t xml:space="preserve">3.2.2 </w:t>
          </w:r>
          <w:r>
            <w:t>施工期污染源分析</w:t>
          </w:r>
          <w:r>
            <w:tab/>
          </w:r>
          <w:r>
            <w:fldChar w:fldCharType="begin"/>
          </w:r>
          <w:r>
            <w:instrText xml:space="preserve"> PAGEREF _Toc7341 </w:instrText>
          </w:r>
          <w:r>
            <w:fldChar w:fldCharType="separate"/>
          </w:r>
          <w:r>
            <w:t>70</w:t>
          </w:r>
          <w:r>
            <w:fldChar w:fldCharType="end"/>
          </w:r>
          <w:r>
            <w:fldChar w:fldCharType="end"/>
          </w:r>
        </w:p>
        <w:p>
          <w:pPr>
            <w:pStyle w:val="9"/>
            <w:tabs>
              <w:tab w:val="right" w:leader="dot" w:pos="9430"/>
            </w:tabs>
          </w:pPr>
          <w:r>
            <w:fldChar w:fldCharType="begin"/>
          </w:r>
          <w:r>
            <w:instrText xml:space="preserve"> HYPERLINK \l _Toc6804 </w:instrText>
          </w:r>
          <w:r>
            <w:fldChar w:fldCharType="separate"/>
          </w:r>
          <w:r>
            <w:rPr>
              <w:rFonts w:hint="default" w:ascii="Times New Roman" w:hAnsi="Times New Roman" w:eastAsia="Times New Roman" w:cs="Times New Roman"/>
              <w:bCs/>
              <w:spacing w:val="-2"/>
              <w:w w:val="100"/>
              <w:szCs w:val="28"/>
              <w:lang w:val="zh-CN" w:eastAsia="zh-CN" w:bidi="zh-CN"/>
            </w:rPr>
            <w:t xml:space="preserve">3.2.3 </w:t>
          </w:r>
          <w:r>
            <w:t>运营期污染源分析</w:t>
          </w:r>
          <w:r>
            <w:tab/>
          </w:r>
          <w:r>
            <w:fldChar w:fldCharType="begin"/>
          </w:r>
          <w:r>
            <w:instrText xml:space="preserve"> PAGEREF _Toc6804 </w:instrText>
          </w:r>
          <w:r>
            <w:fldChar w:fldCharType="separate"/>
          </w:r>
          <w:r>
            <w:t>73</w:t>
          </w:r>
          <w:r>
            <w:fldChar w:fldCharType="end"/>
          </w:r>
          <w:r>
            <w:fldChar w:fldCharType="end"/>
          </w:r>
        </w:p>
        <w:p>
          <w:pPr>
            <w:pStyle w:val="9"/>
            <w:tabs>
              <w:tab w:val="right" w:leader="dot" w:pos="9430"/>
            </w:tabs>
          </w:pPr>
          <w:r>
            <w:fldChar w:fldCharType="begin"/>
          </w:r>
          <w:r>
            <w:instrText xml:space="preserve"> HYPERLINK \l _Toc18539 </w:instrText>
          </w:r>
          <w:r>
            <w:fldChar w:fldCharType="separate"/>
          </w:r>
          <w:r>
            <w:rPr>
              <w:rFonts w:hint="default" w:ascii="Times New Roman" w:hAnsi="Times New Roman" w:eastAsia="Times New Roman" w:cs="Times New Roman"/>
              <w:bCs/>
              <w:spacing w:val="-1"/>
              <w:w w:val="99"/>
              <w:szCs w:val="32"/>
              <w:lang w:val="zh-CN" w:eastAsia="zh-CN" w:bidi="zh-CN"/>
            </w:rPr>
            <w:t xml:space="preserve">3.3 </w:t>
          </w:r>
          <w:r>
            <w:t>总量控制</w:t>
          </w:r>
          <w:r>
            <w:tab/>
          </w:r>
          <w:r>
            <w:fldChar w:fldCharType="begin"/>
          </w:r>
          <w:r>
            <w:instrText xml:space="preserve"> PAGEREF _Toc18539 </w:instrText>
          </w:r>
          <w:r>
            <w:fldChar w:fldCharType="separate"/>
          </w:r>
          <w:r>
            <w:t>82</w:t>
          </w:r>
          <w:r>
            <w:fldChar w:fldCharType="end"/>
          </w:r>
          <w:r>
            <w:fldChar w:fldCharType="end"/>
          </w:r>
        </w:p>
        <w:p>
          <w:pPr>
            <w:pStyle w:val="9"/>
            <w:tabs>
              <w:tab w:val="right" w:leader="dot" w:pos="9430"/>
            </w:tabs>
          </w:pPr>
          <w:r>
            <w:fldChar w:fldCharType="begin"/>
          </w:r>
          <w:r>
            <w:instrText xml:space="preserve"> HYPERLINK \l _Toc18096 </w:instrText>
          </w:r>
          <w:r>
            <w:fldChar w:fldCharType="separate"/>
          </w:r>
          <w:r>
            <w:rPr>
              <w:rFonts w:hint="default" w:ascii="Times New Roman" w:hAnsi="Times New Roman" w:eastAsia="Times New Roman" w:cs="Times New Roman"/>
              <w:bCs/>
              <w:spacing w:val="-1"/>
              <w:w w:val="99"/>
              <w:szCs w:val="32"/>
              <w:lang w:val="zh-CN" w:eastAsia="zh-CN" w:bidi="zh-CN"/>
            </w:rPr>
            <w:t xml:space="preserve">3.4 </w:t>
          </w:r>
          <w:r>
            <w:t>清洁生产与循环经济</w:t>
          </w:r>
          <w:r>
            <w:tab/>
          </w:r>
          <w:r>
            <w:fldChar w:fldCharType="begin"/>
          </w:r>
          <w:r>
            <w:instrText xml:space="preserve"> PAGEREF _Toc18096 </w:instrText>
          </w:r>
          <w:r>
            <w:fldChar w:fldCharType="separate"/>
          </w:r>
          <w:r>
            <w:t>82</w:t>
          </w:r>
          <w:r>
            <w:fldChar w:fldCharType="end"/>
          </w:r>
          <w:r>
            <w:fldChar w:fldCharType="end"/>
          </w:r>
        </w:p>
        <w:p>
          <w:pPr>
            <w:pStyle w:val="9"/>
            <w:tabs>
              <w:tab w:val="right" w:leader="dot" w:pos="9430"/>
            </w:tabs>
          </w:pPr>
          <w:r>
            <w:fldChar w:fldCharType="begin"/>
          </w:r>
          <w:r>
            <w:instrText xml:space="preserve"> HYPERLINK \l _Toc31028 </w:instrText>
          </w:r>
          <w:r>
            <w:fldChar w:fldCharType="separate"/>
          </w:r>
          <w:r>
            <w:rPr>
              <w:rFonts w:hint="default" w:ascii="Times New Roman" w:hAnsi="Times New Roman" w:eastAsia="Times New Roman" w:cs="Times New Roman"/>
              <w:bCs/>
              <w:spacing w:val="-2"/>
              <w:w w:val="100"/>
              <w:szCs w:val="28"/>
              <w:lang w:val="zh-CN" w:eastAsia="zh-CN" w:bidi="zh-CN"/>
            </w:rPr>
            <w:t xml:space="preserve">3.4.1 </w:t>
          </w:r>
          <w:r>
            <w:t>清洁生产的意义</w:t>
          </w:r>
          <w:r>
            <w:tab/>
          </w:r>
          <w:r>
            <w:fldChar w:fldCharType="begin"/>
          </w:r>
          <w:r>
            <w:instrText xml:space="preserve"> PAGEREF _Toc31028 </w:instrText>
          </w:r>
          <w:r>
            <w:fldChar w:fldCharType="separate"/>
          </w:r>
          <w:r>
            <w:t>82</w:t>
          </w:r>
          <w:r>
            <w:fldChar w:fldCharType="end"/>
          </w:r>
          <w:r>
            <w:fldChar w:fldCharType="end"/>
          </w:r>
        </w:p>
        <w:p>
          <w:pPr>
            <w:pStyle w:val="9"/>
            <w:tabs>
              <w:tab w:val="right" w:leader="dot" w:pos="9430"/>
            </w:tabs>
          </w:pPr>
          <w:r>
            <w:fldChar w:fldCharType="begin"/>
          </w:r>
          <w:r>
            <w:instrText xml:space="preserve"> HYPERLINK \l _Toc19358 </w:instrText>
          </w:r>
          <w:r>
            <w:fldChar w:fldCharType="separate"/>
          </w:r>
          <w:r>
            <w:rPr>
              <w:rFonts w:hint="default" w:ascii="Times New Roman" w:hAnsi="Times New Roman" w:eastAsia="Times New Roman" w:cs="Times New Roman"/>
              <w:bCs/>
              <w:spacing w:val="-2"/>
              <w:w w:val="100"/>
              <w:szCs w:val="28"/>
              <w:lang w:val="zh-CN" w:eastAsia="zh-CN" w:bidi="zh-CN"/>
            </w:rPr>
            <w:t xml:space="preserve">3.4.2 </w:t>
          </w:r>
          <w:r>
            <w:t>清洁生产水平分析</w:t>
          </w:r>
          <w:r>
            <w:tab/>
          </w:r>
          <w:r>
            <w:fldChar w:fldCharType="begin"/>
          </w:r>
          <w:r>
            <w:instrText xml:space="preserve"> PAGEREF _Toc19358 </w:instrText>
          </w:r>
          <w:r>
            <w:fldChar w:fldCharType="separate"/>
          </w:r>
          <w:r>
            <w:t>83</w:t>
          </w:r>
          <w:r>
            <w:fldChar w:fldCharType="end"/>
          </w:r>
          <w:r>
            <w:fldChar w:fldCharType="end"/>
          </w:r>
        </w:p>
        <w:p>
          <w:pPr>
            <w:pStyle w:val="9"/>
            <w:tabs>
              <w:tab w:val="right" w:leader="dot" w:pos="9430"/>
            </w:tabs>
          </w:pPr>
          <w:r>
            <w:fldChar w:fldCharType="begin"/>
          </w:r>
          <w:r>
            <w:instrText xml:space="preserve"> HYPERLINK \l _Toc177 </w:instrText>
          </w:r>
          <w:r>
            <w:fldChar w:fldCharType="separate"/>
          </w:r>
          <w:r>
            <w:rPr>
              <w:rFonts w:hint="default" w:ascii="Times New Roman" w:hAnsi="Times New Roman" w:eastAsia="Times New Roman" w:cs="Times New Roman"/>
              <w:bCs/>
              <w:spacing w:val="-2"/>
              <w:w w:val="100"/>
              <w:szCs w:val="28"/>
              <w:lang w:val="zh-CN" w:eastAsia="zh-CN" w:bidi="zh-CN"/>
            </w:rPr>
            <w:t xml:space="preserve">3.4.3 </w:t>
          </w:r>
          <w:r>
            <w:t>清洁生产建议</w:t>
          </w:r>
          <w:r>
            <w:tab/>
          </w:r>
          <w:r>
            <w:fldChar w:fldCharType="begin"/>
          </w:r>
          <w:r>
            <w:instrText xml:space="preserve"> PAGEREF _Toc177 </w:instrText>
          </w:r>
          <w:r>
            <w:fldChar w:fldCharType="separate"/>
          </w:r>
          <w:r>
            <w:t>87</w:t>
          </w:r>
          <w:r>
            <w:fldChar w:fldCharType="end"/>
          </w:r>
          <w:r>
            <w:fldChar w:fldCharType="end"/>
          </w:r>
        </w:p>
        <w:p>
          <w:pPr>
            <w:pStyle w:val="13"/>
            <w:tabs>
              <w:tab w:val="right" w:pos="2400"/>
              <w:tab w:val="right" w:leader="dot" w:pos="9430"/>
            </w:tabs>
          </w:pPr>
          <w:r>
            <w:fldChar w:fldCharType="begin"/>
          </w:r>
          <w:r>
            <w:instrText xml:space="preserve"> HYPERLINK \l _Toc24052 </w:instrText>
          </w:r>
          <w:r>
            <w:fldChar w:fldCharType="separate"/>
          </w:r>
          <w:r>
            <w:t>第四章</w:t>
          </w:r>
          <w:r>
            <w:tab/>
          </w:r>
          <w:r>
            <w:t>环境现状调查与评价</w:t>
          </w:r>
          <w:r>
            <w:tab/>
          </w:r>
          <w:r>
            <w:fldChar w:fldCharType="begin"/>
          </w:r>
          <w:r>
            <w:instrText xml:space="preserve"> PAGEREF _Toc24052 </w:instrText>
          </w:r>
          <w:r>
            <w:fldChar w:fldCharType="separate"/>
          </w:r>
          <w:r>
            <w:t>88</w:t>
          </w:r>
          <w:r>
            <w:fldChar w:fldCharType="end"/>
          </w:r>
          <w:r>
            <w:fldChar w:fldCharType="end"/>
          </w:r>
        </w:p>
        <w:p>
          <w:pPr>
            <w:pStyle w:val="9"/>
            <w:tabs>
              <w:tab w:val="right" w:leader="dot" w:pos="9430"/>
            </w:tabs>
          </w:pPr>
          <w:r>
            <w:fldChar w:fldCharType="begin"/>
          </w:r>
          <w:r>
            <w:instrText xml:space="preserve"> HYPERLINK \l _Toc3177 </w:instrText>
          </w:r>
          <w:r>
            <w:fldChar w:fldCharType="separate"/>
          </w:r>
          <w:r>
            <w:rPr>
              <w:rFonts w:hint="default" w:ascii="Times New Roman" w:hAnsi="Times New Roman" w:eastAsia="Times New Roman" w:cs="Times New Roman"/>
              <w:bCs/>
              <w:spacing w:val="-1"/>
              <w:w w:val="99"/>
              <w:szCs w:val="32"/>
              <w:lang w:val="zh-CN" w:eastAsia="zh-CN" w:bidi="zh-CN"/>
            </w:rPr>
            <w:t xml:space="preserve">4.1 </w:t>
          </w:r>
          <w:r>
            <w:t>自然环境概况</w:t>
          </w:r>
          <w:r>
            <w:tab/>
          </w:r>
          <w:r>
            <w:fldChar w:fldCharType="begin"/>
          </w:r>
          <w:r>
            <w:instrText xml:space="preserve"> PAGEREF _Toc3177 </w:instrText>
          </w:r>
          <w:r>
            <w:fldChar w:fldCharType="separate"/>
          </w:r>
          <w:r>
            <w:t>88</w:t>
          </w:r>
          <w:r>
            <w:fldChar w:fldCharType="end"/>
          </w:r>
          <w:r>
            <w:fldChar w:fldCharType="end"/>
          </w:r>
        </w:p>
        <w:p>
          <w:pPr>
            <w:pStyle w:val="9"/>
            <w:tabs>
              <w:tab w:val="right" w:leader="dot" w:pos="9430"/>
            </w:tabs>
          </w:pPr>
          <w:r>
            <w:fldChar w:fldCharType="begin"/>
          </w:r>
          <w:r>
            <w:instrText xml:space="preserve"> HYPERLINK \l _Toc15166 </w:instrText>
          </w:r>
          <w:r>
            <w:fldChar w:fldCharType="separate"/>
          </w:r>
          <w:r>
            <w:rPr>
              <w:rFonts w:hint="default" w:ascii="Times New Roman" w:hAnsi="Times New Roman" w:eastAsia="Times New Roman" w:cs="Times New Roman"/>
              <w:bCs/>
              <w:spacing w:val="-2"/>
              <w:w w:val="100"/>
              <w:szCs w:val="28"/>
              <w:lang w:val="zh-CN" w:eastAsia="zh-CN" w:bidi="zh-CN"/>
            </w:rPr>
            <w:t xml:space="preserve">4.1.1 </w:t>
          </w:r>
          <w:r>
            <w:t>地理位置</w:t>
          </w:r>
          <w:r>
            <w:tab/>
          </w:r>
          <w:r>
            <w:fldChar w:fldCharType="begin"/>
          </w:r>
          <w:r>
            <w:instrText xml:space="preserve"> PAGEREF _Toc15166 </w:instrText>
          </w:r>
          <w:r>
            <w:fldChar w:fldCharType="separate"/>
          </w:r>
          <w:r>
            <w:t>88</w:t>
          </w:r>
          <w:r>
            <w:fldChar w:fldCharType="end"/>
          </w:r>
          <w:r>
            <w:fldChar w:fldCharType="end"/>
          </w:r>
        </w:p>
        <w:p>
          <w:pPr>
            <w:pStyle w:val="9"/>
            <w:tabs>
              <w:tab w:val="right" w:leader="dot" w:pos="9430"/>
            </w:tabs>
          </w:pPr>
          <w:r>
            <w:fldChar w:fldCharType="begin"/>
          </w:r>
          <w:r>
            <w:instrText xml:space="preserve"> HYPERLINK \l _Toc6480 </w:instrText>
          </w:r>
          <w:r>
            <w:fldChar w:fldCharType="separate"/>
          </w:r>
          <w:r>
            <w:rPr>
              <w:rFonts w:hint="default" w:ascii="Times New Roman" w:hAnsi="Times New Roman" w:eastAsia="Times New Roman" w:cs="Times New Roman"/>
              <w:bCs/>
              <w:spacing w:val="-2"/>
              <w:w w:val="100"/>
              <w:szCs w:val="28"/>
              <w:lang w:val="zh-CN" w:eastAsia="zh-CN" w:bidi="zh-CN"/>
            </w:rPr>
            <w:t xml:space="preserve">4.1.2 </w:t>
          </w:r>
          <w:r>
            <w:t>地形地貌</w:t>
          </w:r>
          <w:r>
            <w:tab/>
          </w:r>
          <w:r>
            <w:fldChar w:fldCharType="begin"/>
          </w:r>
          <w:r>
            <w:instrText xml:space="preserve"> PAGEREF _Toc6480 </w:instrText>
          </w:r>
          <w:r>
            <w:fldChar w:fldCharType="separate"/>
          </w:r>
          <w:r>
            <w:t>88</w:t>
          </w:r>
          <w:r>
            <w:fldChar w:fldCharType="end"/>
          </w:r>
          <w:r>
            <w:fldChar w:fldCharType="end"/>
          </w:r>
        </w:p>
        <w:p>
          <w:pPr>
            <w:pStyle w:val="9"/>
            <w:tabs>
              <w:tab w:val="right" w:leader="dot" w:pos="9430"/>
            </w:tabs>
          </w:pPr>
          <w:r>
            <w:fldChar w:fldCharType="begin"/>
          </w:r>
          <w:r>
            <w:instrText xml:space="preserve"> HYPERLINK \l _Toc13267 </w:instrText>
          </w:r>
          <w:r>
            <w:fldChar w:fldCharType="separate"/>
          </w:r>
          <w:r>
            <w:rPr>
              <w:rFonts w:hint="default" w:ascii="Times New Roman" w:hAnsi="Times New Roman" w:eastAsia="Times New Roman" w:cs="Times New Roman"/>
              <w:bCs/>
              <w:spacing w:val="-2"/>
              <w:w w:val="100"/>
              <w:szCs w:val="28"/>
              <w:lang w:val="zh-CN" w:eastAsia="zh-CN" w:bidi="zh-CN"/>
            </w:rPr>
            <w:t xml:space="preserve">4.1.3 </w:t>
          </w:r>
          <w:r>
            <w:t>气候气象</w:t>
          </w:r>
          <w:r>
            <w:tab/>
          </w:r>
          <w:r>
            <w:fldChar w:fldCharType="begin"/>
          </w:r>
          <w:r>
            <w:instrText xml:space="preserve"> PAGEREF _Toc13267 </w:instrText>
          </w:r>
          <w:r>
            <w:fldChar w:fldCharType="separate"/>
          </w:r>
          <w:r>
            <w:t>89</w:t>
          </w:r>
          <w:r>
            <w:fldChar w:fldCharType="end"/>
          </w:r>
          <w:r>
            <w:fldChar w:fldCharType="end"/>
          </w:r>
        </w:p>
        <w:p>
          <w:pPr>
            <w:pStyle w:val="9"/>
            <w:tabs>
              <w:tab w:val="right" w:leader="dot" w:pos="9430"/>
            </w:tabs>
          </w:pPr>
          <w:r>
            <w:fldChar w:fldCharType="begin"/>
          </w:r>
          <w:r>
            <w:instrText xml:space="preserve"> HYPERLINK \l _Toc10449 </w:instrText>
          </w:r>
          <w:r>
            <w:fldChar w:fldCharType="separate"/>
          </w:r>
          <w:r>
            <w:rPr>
              <w:rFonts w:hint="default" w:ascii="Times New Roman" w:hAnsi="Times New Roman" w:eastAsia="Times New Roman" w:cs="Times New Roman"/>
              <w:bCs/>
              <w:spacing w:val="-2"/>
              <w:w w:val="100"/>
              <w:szCs w:val="28"/>
              <w:lang w:val="zh-CN" w:eastAsia="zh-CN" w:bidi="zh-CN"/>
            </w:rPr>
            <w:t xml:space="preserve">4.1.4 </w:t>
          </w:r>
          <w:r>
            <w:t>水文地质</w:t>
          </w:r>
          <w:r>
            <w:tab/>
          </w:r>
          <w:r>
            <w:fldChar w:fldCharType="begin"/>
          </w:r>
          <w:r>
            <w:instrText xml:space="preserve"> PAGEREF _Toc10449 </w:instrText>
          </w:r>
          <w:r>
            <w:fldChar w:fldCharType="separate"/>
          </w:r>
          <w:r>
            <w:t>90</w:t>
          </w:r>
          <w:r>
            <w:fldChar w:fldCharType="end"/>
          </w:r>
          <w:r>
            <w:fldChar w:fldCharType="end"/>
          </w:r>
        </w:p>
        <w:p>
          <w:pPr>
            <w:pStyle w:val="9"/>
            <w:tabs>
              <w:tab w:val="right" w:leader="dot" w:pos="9430"/>
            </w:tabs>
          </w:pPr>
          <w:r>
            <w:fldChar w:fldCharType="begin"/>
          </w:r>
          <w:r>
            <w:instrText xml:space="preserve"> HYPERLINK \l _Toc5176 </w:instrText>
          </w:r>
          <w:r>
            <w:fldChar w:fldCharType="separate"/>
          </w:r>
          <w:r>
            <w:rPr>
              <w:rFonts w:hint="default" w:ascii="Times New Roman" w:hAnsi="Times New Roman" w:eastAsia="Times New Roman" w:cs="Times New Roman"/>
              <w:bCs/>
              <w:spacing w:val="-2"/>
              <w:w w:val="100"/>
              <w:szCs w:val="28"/>
              <w:lang w:val="zh-CN" w:eastAsia="zh-CN" w:bidi="zh-CN"/>
            </w:rPr>
            <w:t xml:space="preserve">4.1.5 </w:t>
          </w:r>
          <w:r>
            <w:t>工程地质</w:t>
          </w:r>
          <w:r>
            <w:tab/>
          </w:r>
          <w:r>
            <w:fldChar w:fldCharType="begin"/>
          </w:r>
          <w:r>
            <w:instrText xml:space="preserve"> PAGEREF _Toc5176 </w:instrText>
          </w:r>
          <w:r>
            <w:fldChar w:fldCharType="separate"/>
          </w:r>
          <w:r>
            <w:t>90</w:t>
          </w:r>
          <w:r>
            <w:fldChar w:fldCharType="end"/>
          </w:r>
          <w:r>
            <w:fldChar w:fldCharType="end"/>
          </w:r>
        </w:p>
        <w:p>
          <w:pPr>
            <w:pStyle w:val="9"/>
            <w:tabs>
              <w:tab w:val="right" w:leader="dot" w:pos="9430"/>
            </w:tabs>
          </w:pPr>
          <w:r>
            <w:fldChar w:fldCharType="begin"/>
          </w:r>
          <w:r>
            <w:instrText xml:space="preserve"> HYPERLINK \l _Toc27409 </w:instrText>
          </w:r>
          <w:r>
            <w:fldChar w:fldCharType="separate"/>
          </w:r>
          <w:r>
            <w:rPr>
              <w:rFonts w:hint="default" w:ascii="Times New Roman" w:hAnsi="Times New Roman" w:eastAsia="Times New Roman" w:cs="Times New Roman"/>
              <w:bCs/>
              <w:spacing w:val="-2"/>
              <w:w w:val="100"/>
              <w:szCs w:val="28"/>
              <w:lang w:val="zh-CN" w:eastAsia="zh-CN" w:bidi="zh-CN"/>
            </w:rPr>
            <w:t xml:space="preserve">4.1.6 </w:t>
          </w:r>
          <w:r>
            <w:t>生态环境</w:t>
          </w:r>
          <w:r>
            <w:tab/>
          </w:r>
          <w:r>
            <w:fldChar w:fldCharType="begin"/>
          </w:r>
          <w:r>
            <w:instrText xml:space="preserve"> PAGEREF _Toc27409 </w:instrText>
          </w:r>
          <w:r>
            <w:fldChar w:fldCharType="separate"/>
          </w:r>
          <w:r>
            <w:t>91</w:t>
          </w:r>
          <w:r>
            <w:fldChar w:fldCharType="end"/>
          </w:r>
          <w:r>
            <w:fldChar w:fldCharType="end"/>
          </w:r>
        </w:p>
        <w:p>
          <w:pPr>
            <w:pStyle w:val="9"/>
            <w:tabs>
              <w:tab w:val="right" w:leader="dot" w:pos="9430"/>
            </w:tabs>
          </w:pPr>
          <w:r>
            <w:fldChar w:fldCharType="begin"/>
          </w:r>
          <w:r>
            <w:instrText xml:space="preserve"> HYPERLINK \l _Toc29385 </w:instrText>
          </w:r>
          <w:r>
            <w:fldChar w:fldCharType="separate"/>
          </w:r>
          <w:r>
            <w:rPr>
              <w:rFonts w:hint="default" w:ascii="Times New Roman" w:hAnsi="Times New Roman" w:eastAsia="Times New Roman" w:cs="Times New Roman"/>
              <w:bCs/>
              <w:spacing w:val="-1"/>
              <w:w w:val="99"/>
              <w:szCs w:val="32"/>
              <w:lang w:val="zh-CN" w:eastAsia="zh-CN" w:bidi="zh-CN"/>
            </w:rPr>
            <w:t xml:space="preserve">4.2 </w:t>
          </w:r>
          <w:r>
            <w:t>环境质量现状调查与评价</w:t>
          </w:r>
          <w:r>
            <w:tab/>
          </w:r>
          <w:r>
            <w:fldChar w:fldCharType="begin"/>
          </w:r>
          <w:r>
            <w:instrText xml:space="preserve"> PAGEREF _Toc29385 </w:instrText>
          </w:r>
          <w:r>
            <w:fldChar w:fldCharType="separate"/>
          </w:r>
          <w:r>
            <w:t>91</w:t>
          </w:r>
          <w:r>
            <w:fldChar w:fldCharType="end"/>
          </w:r>
          <w:r>
            <w:fldChar w:fldCharType="end"/>
          </w:r>
        </w:p>
        <w:p>
          <w:pPr>
            <w:pStyle w:val="9"/>
            <w:tabs>
              <w:tab w:val="right" w:leader="dot" w:pos="9430"/>
            </w:tabs>
          </w:pPr>
          <w:r>
            <w:fldChar w:fldCharType="begin"/>
          </w:r>
          <w:r>
            <w:instrText xml:space="preserve"> HYPERLINK \l _Toc28809 </w:instrText>
          </w:r>
          <w:r>
            <w:fldChar w:fldCharType="separate"/>
          </w:r>
          <w:r>
            <w:rPr>
              <w:rFonts w:hint="default" w:ascii="Times New Roman" w:hAnsi="Times New Roman" w:eastAsia="Times New Roman" w:cs="Times New Roman"/>
              <w:bCs/>
              <w:spacing w:val="-2"/>
              <w:w w:val="100"/>
              <w:szCs w:val="28"/>
              <w:lang w:val="zh-CN" w:eastAsia="zh-CN" w:bidi="zh-CN"/>
            </w:rPr>
            <w:t xml:space="preserve">4.2.1 </w:t>
          </w:r>
          <w:r>
            <w:t>环境空气质量现状监测与评价</w:t>
          </w:r>
          <w:r>
            <w:tab/>
          </w:r>
          <w:r>
            <w:fldChar w:fldCharType="begin"/>
          </w:r>
          <w:r>
            <w:instrText xml:space="preserve"> PAGEREF _Toc28809 </w:instrText>
          </w:r>
          <w:r>
            <w:fldChar w:fldCharType="separate"/>
          </w:r>
          <w:r>
            <w:t>91</w:t>
          </w:r>
          <w:r>
            <w:fldChar w:fldCharType="end"/>
          </w:r>
          <w:r>
            <w:fldChar w:fldCharType="end"/>
          </w:r>
        </w:p>
        <w:p>
          <w:pPr>
            <w:pStyle w:val="9"/>
            <w:tabs>
              <w:tab w:val="right" w:leader="dot" w:pos="9430"/>
            </w:tabs>
          </w:pPr>
          <w:r>
            <w:fldChar w:fldCharType="begin"/>
          </w:r>
          <w:r>
            <w:instrText xml:space="preserve"> HYPERLINK \l _Toc19327 </w:instrText>
          </w:r>
          <w:r>
            <w:fldChar w:fldCharType="separate"/>
          </w:r>
          <w:r>
            <w:rPr>
              <w:rFonts w:hint="default" w:ascii="Times New Roman" w:hAnsi="Times New Roman" w:eastAsia="Times New Roman" w:cs="Times New Roman"/>
              <w:bCs/>
              <w:spacing w:val="-2"/>
              <w:w w:val="100"/>
              <w:szCs w:val="28"/>
              <w:lang w:val="zh-CN" w:eastAsia="zh-CN" w:bidi="zh-CN"/>
            </w:rPr>
            <w:t xml:space="preserve">4.2.2 </w:t>
          </w:r>
          <w:r>
            <w:t>地下水环境质量现状监测与评价</w:t>
          </w:r>
          <w:r>
            <w:tab/>
          </w:r>
          <w:r>
            <w:fldChar w:fldCharType="begin"/>
          </w:r>
          <w:r>
            <w:instrText xml:space="preserve"> PAGEREF _Toc19327 </w:instrText>
          </w:r>
          <w:r>
            <w:fldChar w:fldCharType="separate"/>
          </w:r>
          <w:r>
            <w:t>95</w:t>
          </w:r>
          <w:r>
            <w:fldChar w:fldCharType="end"/>
          </w:r>
          <w:r>
            <w:fldChar w:fldCharType="end"/>
          </w:r>
        </w:p>
        <w:p>
          <w:pPr>
            <w:pStyle w:val="9"/>
            <w:tabs>
              <w:tab w:val="right" w:leader="dot" w:pos="9430"/>
            </w:tabs>
          </w:pPr>
          <w:r>
            <w:fldChar w:fldCharType="begin"/>
          </w:r>
          <w:r>
            <w:instrText xml:space="preserve"> HYPERLINK \l _Toc17702 </w:instrText>
          </w:r>
          <w:r>
            <w:fldChar w:fldCharType="separate"/>
          </w:r>
          <w:r>
            <w:rPr>
              <w:rFonts w:hint="default" w:ascii="Times New Roman" w:hAnsi="Times New Roman" w:eastAsia="Times New Roman" w:cs="Times New Roman"/>
              <w:bCs/>
              <w:spacing w:val="-2"/>
              <w:w w:val="100"/>
              <w:szCs w:val="28"/>
              <w:lang w:val="zh-CN" w:eastAsia="zh-CN" w:bidi="zh-CN"/>
            </w:rPr>
            <w:t xml:space="preserve">4.2.3 </w:t>
          </w:r>
          <w:r>
            <w:t>声环境质量现状监测与评价</w:t>
          </w:r>
          <w:r>
            <w:tab/>
          </w:r>
          <w:r>
            <w:fldChar w:fldCharType="begin"/>
          </w:r>
          <w:r>
            <w:instrText xml:space="preserve"> PAGEREF _Toc17702 </w:instrText>
          </w:r>
          <w:r>
            <w:fldChar w:fldCharType="separate"/>
          </w:r>
          <w:r>
            <w:t>98</w:t>
          </w:r>
          <w:r>
            <w:fldChar w:fldCharType="end"/>
          </w:r>
          <w:r>
            <w:fldChar w:fldCharType="end"/>
          </w:r>
        </w:p>
        <w:p>
          <w:pPr>
            <w:pStyle w:val="9"/>
            <w:tabs>
              <w:tab w:val="right" w:leader="dot" w:pos="9430"/>
            </w:tabs>
          </w:pPr>
          <w:r>
            <w:fldChar w:fldCharType="begin"/>
          </w:r>
          <w:r>
            <w:instrText xml:space="preserve"> HYPERLINK \l _Toc25356 </w:instrText>
          </w:r>
          <w:r>
            <w:fldChar w:fldCharType="separate"/>
          </w:r>
          <w:r>
            <w:rPr>
              <w:rFonts w:hint="default" w:ascii="Times New Roman" w:hAnsi="Times New Roman" w:eastAsia="Times New Roman" w:cs="Times New Roman"/>
              <w:bCs/>
              <w:spacing w:val="-2"/>
              <w:w w:val="100"/>
              <w:szCs w:val="28"/>
              <w:lang w:val="zh-CN" w:eastAsia="zh-CN" w:bidi="zh-CN"/>
            </w:rPr>
            <w:t xml:space="preserve">4.2.4 </w:t>
          </w:r>
          <w:r>
            <w:t>土壤环境质量现状与评价</w:t>
          </w:r>
          <w:r>
            <w:tab/>
          </w:r>
          <w:r>
            <w:fldChar w:fldCharType="begin"/>
          </w:r>
          <w:r>
            <w:instrText xml:space="preserve"> PAGEREF _Toc25356 </w:instrText>
          </w:r>
          <w:r>
            <w:fldChar w:fldCharType="separate"/>
          </w:r>
          <w:r>
            <w:t>99</w:t>
          </w:r>
          <w:r>
            <w:fldChar w:fldCharType="end"/>
          </w:r>
          <w:r>
            <w:fldChar w:fldCharType="end"/>
          </w:r>
        </w:p>
        <w:p>
          <w:pPr>
            <w:pStyle w:val="9"/>
            <w:tabs>
              <w:tab w:val="right" w:leader="dot" w:pos="9430"/>
            </w:tabs>
          </w:pPr>
          <w:r>
            <w:fldChar w:fldCharType="begin"/>
          </w:r>
          <w:r>
            <w:instrText xml:space="preserve"> HYPERLINK \l _Toc10624 </w:instrText>
          </w:r>
          <w:r>
            <w:fldChar w:fldCharType="separate"/>
          </w:r>
          <w:r>
            <w:rPr>
              <w:rFonts w:hint="default" w:ascii="Times New Roman" w:hAnsi="Times New Roman" w:eastAsia="Times New Roman" w:cs="Times New Roman"/>
              <w:bCs/>
              <w:spacing w:val="-2"/>
              <w:w w:val="100"/>
              <w:szCs w:val="28"/>
              <w:lang w:val="zh-CN" w:eastAsia="zh-CN" w:bidi="zh-CN"/>
            </w:rPr>
            <w:t xml:space="preserve">4.2.5 </w:t>
          </w:r>
          <w:r>
            <w:t>生态环境现状调查与评价</w:t>
          </w:r>
          <w:r>
            <w:tab/>
          </w:r>
          <w:r>
            <w:fldChar w:fldCharType="begin"/>
          </w:r>
          <w:r>
            <w:instrText xml:space="preserve"> PAGEREF _Toc10624 </w:instrText>
          </w:r>
          <w:r>
            <w:fldChar w:fldCharType="separate"/>
          </w:r>
          <w:r>
            <w:t>100</w:t>
          </w:r>
          <w:r>
            <w:fldChar w:fldCharType="end"/>
          </w:r>
          <w:r>
            <w:fldChar w:fldCharType="end"/>
          </w:r>
        </w:p>
        <w:p>
          <w:pPr>
            <w:pStyle w:val="13"/>
            <w:tabs>
              <w:tab w:val="right" w:leader="dot" w:pos="9430"/>
            </w:tabs>
          </w:pPr>
          <w:r>
            <w:fldChar w:fldCharType="begin"/>
          </w:r>
          <w:r>
            <w:instrText xml:space="preserve"> HYPERLINK \l _Toc29598 </w:instrText>
          </w:r>
          <w:r>
            <w:fldChar w:fldCharType="separate"/>
          </w:r>
          <w:r>
            <w:t>第五章</w:t>
          </w:r>
          <w:r>
            <w:rPr>
              <w:rFonts w:hint="eastAsia"/>
              <w:lang w:val="en-US" w:eastAsia="zh-CN"/>
            </w:rPr>
            <w:t xml:space="preserve">    </w:t>
          </w:r>
          <w:r>
            <w:t>环境影响预测与评价</w:t>
          </w:r>
          <w:r>
            <w:tab/>
          </w:r>
          <w:r>
            <w:fldChar w:fldCharType="begin"/>
          </w:r>
          <w:r>
            <w:instrText xml:space="preserve"> PAGEREF _Toc29598 </w:instrText>
          </w:r>
          <w:r>
            <w:fldChar w:fldCharType="separate"/>
          </w:r>
          <w:r>
            <w:t>103</w:t>
          </w:r>
          <w:r>
            <w:fldChar w:fldCharType="end"/>
          </w:r>
          <w:r>
            <w:fldChar w:fldCharType="end"/>
          </w:r>
        </w:p>
        <w:p>
          <w:pPr>
            <w:pStyle w:val="9"/>
            <w:tabs>
              <w:tab w:val="right" w:leader="dot" w:pos="9430"/>
            </w:tabs>
          </w:pPr>
          <w:r>
            <w:fldChar w:fldCharType="begin"/>
          </w:r>
          <w:r>
            <w:instrText xml:space="preserve"> HYPERLINK \l _Toc769 </w:instrText>
          </w:r>
          <w:r>
            <w:fldChar w:fldCharType="separate"/>
          </w:r>
          <w:r>
            <w:rPr>
              <w:rFonts w:hint="default" w:ascii="Times New Roman" w:hAnsi="Times New Roman" w:eastAsia="Times New Roman" w:cs="Times New Roman"/>
              <w:bCs/>
              <w:spacing w:val="-1"/>
              <w:w w:val="99"/>
              <w:szCs w:val="32"/>
              <w:lang w:val="zh-CN" w:eastAsia="zh-CN" w:bidi="zh-CN"/>
            </w:rPr>
            <w:t xml:space="preserve">5.1 </w:t>
          </w:r>
          <w:r>
            <w:t>施工期环境影响预测与评价</w:t>
          </w:r>
          <w:r>
            <w:tab/>
          </w:r>
          <w:r>
            <w:fldChar w:fldCharType="begin"/>
          </w:r>
          <w:r>
            <w:instrText xml:space="preserve"> PAGEREF _Toc769 </w:instrText>
          </w:r>
          <w:r>
            <w:fldChar w:fldCharType="separate"/>
          </w:r>
          <w:r>
            <w:t>103</w:t>
          </w:r>
          <w:r>
            <w:fldChar w:fldCharType="end"/>
          </w:r>
          <w:r>
            <w:fldChar w:fldCharType="end"/>
          </w:r>
        </w:p>
        <w:p>
          <w:pPr>
            <w:pStyle w:val="9"/>
            <w:tabs>
              <w:tab w:val="right" w:leader="dot" w:pos="9430"/>
            </w:tabs>
          </w:pPr>
          <w:r>
            <w:fldChar w:fldCharType="begin"/>
          </w:r>
          <w:r>
            <w:instrText xml:space="preserve"> HYPERLINK \l _Toc30993 </w:instrText>
          </w:r>
          <w:r>
            <w:fldChar w:fldCharType="separate"/>
          </w:r>
          <w:r>
            <w:rPr>
              <w:rFonts w:hint="default" w:ascii="Times New Roman" w:hAnsi="Times New Roman" w:eastAsia="Times New Roman" w:cs="Times New Roman"/>
              <w:bCs/>
              <w:spacing w:val="-1"/>
              <w:w w:val="99"/>
              <w:szCs w:val="32"/>
              <w:lang w:val="zh-CN" w:eastAsia="zh-CN" w:bidi="zh-CN"/>
            </w:rPr>
            <w:t xml:space="preserve">5.2 </w:t>
          </w:r>
          <w:r>
            <w:t>运营期环境影响预测与评价</w:t>
          </w:r>
          <w:r>
            <w:tab/>
          </w:r>
          <w:r>
            <w:fldChar w:fldCharType="begin"/>
          </w:r>
          <w:r>
            <w:instrText xml:space="preserve"> PAGEREF _Toc30993 </w:instrText>
          </w:r>
          <w:r>
            <w:fldChar w:fldCharType="separate"/>
          </w:r>
          <w:r>
            <w:t>111</w:t>
          </w:r>
          <w:r>
            <w:fldChar w:fldCharType="end"/>
          </w:r>
          <w:r>
            <w:fldChar w:fldCharType="end"/>
          </w:r>
        </w:p>
        <w:p>
          <w:pPr>
            <w:pStyle w:val="9"/>
            <w:tabs>
              <w:tab w:val="right" w:leader="dot" w:pos="9430"/>
            </w:tabs>
          </w:pPr>
          <w:r>
            <w:fldChar w:fldCharType="begin"/>
          </w:r>
          <w:r>
            <w:instrText xml:space="preserve"> HYPERLINK \l _Toc8676 </w:instrText>
          </w:r>
          <w:r>
            <w:fldChar w:fldCharType="separate"/>
          </w:r>
          <w:r>
            <w:rPr>
              <w:rFonts w:hint="default" w:ascii="Times New Roman" w:hAnsi="Times New Roman" w:eastAsia="Times New Roman" w:cs="Times New Roman"/>
              <w:bCs/>
              <w:spacing w:val="-2"/>
              <w:w w:val="100"/>
              <w:szCs w:val="28"/>
              <w:lang w:val="zh-CN" w:eastAsia="zh-CN" w:bidi="zh-CN"/>
            </w:rPr>
            <w:t xml:space="preserve">5.2.1 </w:t>
          </w:r>
          <w:r>
            <w:rPr>
              <w:spacing w:val="-1"/>
            </w:rPr>
            <w:t>大气环境影响预测与评价</w:t>
          </w:r>
          <w:r>
            <w:tab/>
          </w:r>
          <w:r>
            <w:fldChar w:fldCharType="begin"/>
          </w:r>
          <w:r>
            <w:instrText xml:space="preserve"> PAGEREF _Toc8676 </w:instrText>
          </w:r>
          <w:r>
            <w:fldChar w:fldCharType="separate"/>
          </w:r>
          <w:r>
            <w:t>111</w:t>
          </w:r>
          <w:r>
            <w:fldChar w:fldCharType="end"/>
          </w:r>
          <w:r>
            <w:fldChar w:fldCharType="end"/>
          </w:r>
        </w:p>
        <w:p>
          <w:pPr>
            <w:pStyle w:val="9"/>
            <w:tabs>
              <w:tab w:val="right" w:leader="dot" w:pos="9430"/>
            </w:tabs>
          </w:pPr>
          <w:r>
            <w:fldChar w:fldCharType="begin"/>
          </w:r>
          <w:r>
            <w:instrText xml:space="preserve"> HYPERLINK \l _Toc24406 </w:instrText>
          </w:r>
          <w:r>
            <w:fldChar w:fldCharType="separate"/>
          </w:r>
          <w:r>
            <w:rPr>
              <w:rFonts w:hint="default" w:ascii="Times New Roman" w:hAnsi="Times New Roman" w:eastAsia="Times New Roman" w:cs="Times New Roman"/>
              <w:bCs/>
              <w:spacing w:val="-2"/>
              <w:w w:val="100"/>
              <w:szCs w:val="28"/>
              <w:lang w:val="zh-CN" w:eastAsia="zh-CN" w:bidi="zh-CN"/>
            </w:rPr>
            <w:t xml:space="preserve">5.2.2 </w:t>
          </w:r>
          <w:r>
            <w:t>运营期水环境影响分析</w:t>
          </w:r>
          <w:r>
            <w:tab/>
          </w:r>
          <w:r>
            <w:fldChar w:fldCharType="begin"/>
          </w:r>
          <w:r>
            <w:instrText xml:space="preserve"> PAGEREF _Toc24406 </w:instrText>
          </w:r>
          <w:r>
            <w:fldChar w:fldCharType="separate"/>
          </w:r>
          <w:r>
            <w:t>114</w:t>
          </w:r>
          <w:r>
            <w:fldChar w:fldCharType="end"/>
          </w:r>
          <w:r>
            <w:fldChar w:fldCharType="end"/>
          </w:r>
        </w:p>
        <w:p>
          <w:pPr>
            <w:pStyle w:val="9"/>
            <w:tabs>
              <w:tab w:val="right" w:leader="dot" w:pos="9430"/>
            </w:tabs>
          </w:pPr>
          <w:r>
            <w:fldChar w:fldCharType="begin"/>
          </w:r>
          <w:r>
            <w:instrText xml:space="preserve"> HYPERLINK \l _Toc13421 </w:instrText>
          </w:r>
          <w:r>
            <w:fldChar w:fldCharType="separate"/>
          </w:r>
          <w:r>
            <w:rPr>
              <w:rFonts w:hint="default" w:ascii="Times New Roman" w:hAnsi="Times New Roman" w:eastAsia="Times New Roman" w:cs="Times New Roman"/>
              <w:bCs/>
              <w:spacing w:val="-2"/>
              <w:w w:val="100"/>
              <w:szCs w:val="28"/>
              <w:lang w:val="zh-CN" w:eastAsia="zh-CN" w:bidi="zh-CN"/>
            </w:rPr>
            <w:t xml:space="preserve">5.2.3 </w:t>
          </w:r>
          <w:r>
            <w:t>运营期声环境影响分析</w:t>
          </w:r>
          <w:r>
            <w:tab/>
          </w:r>
          <w:r>
            <w:fldChar w:fldCharType="begin"/>
          </w:r>
          <w:r>
            <w:instrText xml:space="preserve"> PAGEREF _Toc13421 </w:instrText>
          </w:r>
          <w:r>
            <w:fldChar w:fldCharType="separate"/>
          </w:r>
          <w:r>
            <w:t>116</w:t>
          </w:r>
          <w:r>
            <w:fldChar w:fldCharType="end"/>
          </w:r>
          <w:r>
            <w:fldChar w:fldCharType="end"/>
          </w:r>
        </w:p>
        <w:p>
          <w:pPr>
            <w:pStyle w:val="9"/>
            <w:tabs>
              <w:tab w:val="right" w:leader="dot" w:pos="9430"/>
            </w:tabs>
          </w:pPr>
          <w:r>
            <w:fldChar w:fldCharType="begin"/>
          </w:r>
          <w:r>
            <w:instrText xml:space="preserve"> HYPERLINK \l _Toc11602 </w:instrText>
          </w:r>
          <w:r>
            <w:fldChar w:fldCharType="separate"/>
          </w:r>
          <w:r>
            <w:rPr>
              <w:rFonts w:hint="default" w:ascii="Times New Roman" w:hAnsi="Times New Roman" w:eastAsia="Times New Roman" w:cs="Times New Roman"/>
              <w:bCs/>
              <w:spacing w:val="-2"/>
              <w:w w:val="100"/>
              <w:szCs w:val="28"/>
              <w:lang w:val="zh-CN" w:eastAsia="zh-CN" w:bidi="zh-CN"/>
            </w:rPr>
            <w:t xml:space="preserve">5.2.4 </w:t>
          </w:r>
          <w:r>
            <w:t>固体废物环境影响分析</w:t>
          </w:r>
          <w:r>
            <w:tab/>
          </w:r>
          <w:r>
            <w:fldChar w:fldCharType="begin"/>
          </w:r>
          <w:r>
            <w:instrText xml:space="preserve"> PAGEREF _Toc11602 </w:instrText>
          </w:r>
          <w:r>
            <w:fldChar w:fldCharType="separate"/>
          </w:r>
          <w:r>
            <w:t>118</w:t>
          </w:r>
          <w:r>
            <w:fldChar w:fldCharType="end"/>
          </w:r>
          <w:r>
            <w:fldChar w:fldCharType="end"/>
          </w:r>
        </w:p>
        <w:p>
          <w:pPr>
            <w:pStyle w:val="9"/>
            <w:tabs>
              <w:tab w:val="right" w:leader="dot" w:pos="9430"/>
            </w:tabs>
          </w:pPr>
          <w:r>
            <w:fldChar w:fldCharType="begin"/>
          </w:r>
          <w:r>
            <w:instrText xml:space="preserve"> HYPERLINK \l _Toc14554 </w:instrText>
          </w:r>
          <w:r>
            <w:fldChar w:fldCharType="separate"/>
          </w:r>
          <w:r>
            <w:rPr>
              <w:rFonts w:hint="default" w:ascii="Times New Roman" w:hAnsi="Times New Roman" w:eastAsia="Times New Roman" w:cs="Times New Roman"/>
              <w:bCs/>
              <w:spacing w:val="-2"/>
              <w:w w:val="100"/>
              <w:szCs w:val="28"/>
              <w:lang w:val="zh-CN" w:eastAsia="zh-CN" w:bidi="zh-CN"/>
            </w:rPr>
            <w:t xml:space="preserve">5.2.5 </w:t>
          </w:r>
          <w:r>
            <w:t>土壤环境影响分析</w:t>
          </w:r>
          <w:r>
            <w:tab/>
          </w:r>
          <w:r>
            <w:fldChar w:fldCharType="begin"/>
          </w:r>
          <w:r>
            <w:instrText xml:space="preserve"> PAGEREF _Toc14554 </w:instrText>
          </w:r>
          <w:r>
            <w:fldChar w:fldCharType="separate"/>
          </w:r>
          <w:r>
            <w:t>120</w:t>
          </w:r>
          <w:r>
            <w:fldChar w:fldCharType="end"/>
          </w:r>
          <w:r>
            <w:fldChar w:fldCharType="end"/>
          </w:r>
        </w:p>
        <w:p>
          <w:pPr>
            <w:pStyle w:val="9"/>
            <w:tabs>
              <w:tab w:val="right" w:leader="dot" w:pos="9430"/>
            </w:tabs>
          </w:pPr>
          <w:r>
            <w:fldChar w:fldCharType="begin"/>
          </w:r>
          <w:r>
            <w:instrText xml:space="preserve"> HYPERLINK \l _Toc22409 </w:instrText>
          </w:r>
          <w:r>
            <w:fldChar w:fldCharType="separate"/>
          </w:r>
          <w:r>
            <w:rPr>
              <w:rFonts w:hint="default" w:ascii="Times New Roman" w:hAnsi="Times New Roman" w:eastAsia="Times New Roman" w:cs="Times New Roman"/>
              <w:bCs/>
              <w:spacing w:val="-2"/>
              <w:w w:val="100"/>
              <w:szCs w:val="28"/>
              <w:lang w:val="zh-CN" w:eastAsia="zh-CN" w:bidi="zh-CN"/>
            </w:rPr>
            <w:t xml:space="preserve">5.2.6 </w:t>
          </w:r>
          <w:r>
            <w:t>生态环境影响分析</w:t>
          </w:r>
          <w:r>
            <w:tab/>
          </w:r>
          <w:r>
            <w:fldChar w:fldCharType="begin"/>
          </w:r>
          <w:r>
            <w:instrText xml:space="preserve"> PAGEREF _Toc22409 </w:instrText>
          </w:r>
          <w:r>
            <w:fldChar w:fldCharType="separate"/>
          </w:r>
          <w:r>
            <w:t>123</w:t>
          </w:r>
          <w:r>
            <w:fldChar w:fldCharType="end"/>
          </w:r>
          <w:r>
            <w:fldChar w:fldCharType="end"/>
          </w:r>
        </w:p>
        <w:p>
          <w:pPr>
            <w:pStyle w:val="9"/>
            <w:tabs>
              <w:tab w:val="right" w:leader="dot" w:pos="9430"/>
            </w:tabs>
          </w:pPr>
          <w:r>
            <w:fldChar w:fldCharType="begin"/>
          </w:r>
          <w:r>
            <w:instrText xml:space="preserve"> HYPERLINK \l _Toc3031 </w:instrText>
          </w:r>
          <w:r>
            <w:fldChar w:fldCharType="separate"/>
          </w:r>
          <w:r>
            <w:rPr>
              <w:rFonts w:hint="default" w:ascii="Times New Roman" w:hAnsi="Times New Roman" w:eastAsia="Times New Roman" w:cs="Times New Roman"/>
              <w:bCs/>
              <w:spacing w:val="-2"/>
              <w:w w:val="100"/>
              <w:szCs w:val="28"/>
              <w:lang w:val="zh-CN" w:eastAsia="zh-CN" w:bidi="zh-CN"/>
            </w:rPr>
            <w:t xml:space="preserve">5.2.7 </w:t>
          </w:r>
          <w:r>
            <w:t>环境风险分析</w:t>
          </w:r>
          <w:r>
            <w:tab/>
          </w:r>
          <w:r>
            <w:fldChar w:fldCharType="begin"/>
          </w:r>
          <w:r>
            <w:instrText xml:space="preserve"> PAGEREF _Toc3031 </w:instrText>
          </w:r>
          <w:r>
            <w:fldChar w:fldCharType="separate"/>
          </w:r>
          <w:r>
            <w:t>123</w:t>
          </w:r>
          <w:r>
            <w:fldChar w:fldCharType="end"/>
          </w:r>
          <w:r>
            <w:fldChar w:fldCharType="end"/>
          </w:r>
        </w:p>
        <w:p>
          <w:pPr>
            <w:pStyle w:val="13"/>
            <w:tabs>
              <w:tab w:val="right" w:pos="2400"/>
              <w:tab w:val="right" w:leader="dot" w:pos="9430"/>
            </w:tabs>
          </w:pPr>
          <w:r>
            <w:fldChar w:fldCharType="begin"/>
          </w:r>
          <w:r>
            <w:instrText xml:space="preserve"> HYPERLINK \l _Toc335 </w:instrText>
          </w:r>
          <w:r>
            <w:fldChar w:fldCharType="separate"/>
          </w:r>
          <w:r>
            <w:t>第六章</w:t>
          </w:r>
          <w:r>
            <w:tab/>
          </w:r>
          <w:r>
            <w:t>环境保护措施及其可行性论证</w:t>
          </w:r>
          <w:r>
            <w:tab/>
          </w:r>
          <w:r>
            <w:fldChar w:fldCharType="begin"/>
          </w:r>
          <w:r>
            <w:instrText xml:space="preserve"> PAGEREF _Toc335 </w:instrText>
          </w:r>
          <w:r>
            <w:fldChar w:fldCharType="separate"/>
          </w:r>
          <w:r>
            <w:t>138</w:t>
          </w:r>
          <w:r>
            <w:fldChar w:fldCharType="end"/>
          </w:r>
          <w:r>
            <w:fldChar w:fldCharType="end"/>
          </w:r>
        </w:p>
        <w:p>
          <w:pPr>
            <w:pStyle w:val="9"/>
            <w:tabs>
              <w:tab w:val="right" w:leader="dot" w:pos="9430"/>
            </w:tabs>
          </w:pPr>
          <w:r>
            <w:fldChar w:fldCharType="begin"/>
          </w:r>
          <w:r>
            <w:instrText xml:space="preserve"> HYPERLINK \l _Toc24434 </w:instrText>
          </w:r>
          <w:r>
            <w:fldChar w:fldCharType="separate"/>
          </w:r>
          <w:r>
            <w:rPr>
              <w:rFonts w:hint="default" w:ascii="Times New Roman" w:hAnsi="Times New Roman" w:eastAsia="Times New Roman" w:cs="Times New Roman"/>
              <w:bCs/>
              <w:spacing w:val="-1"/>
              <w:w w:val="99"/>
              <w:szCs w:val="32"/>
              <w:lang w:val="zh-CN" w:eastAsia="zh-CN" w:bidi="zh-CN"/>
            </w:rPr>
            <w:t xml:space="preserve">6.1 </w:t>
          </w:r>
          <w:r>
            <w:t>施工期环境保护措施分析</w:t>
          </w:r>
          <w:r>
            <w:tab/>
          </w:r>
          <w:r>
            <w:fldChar w:fldCharType="begin"/>
          </w:r>
          <w:r>
            <w:instrText xml:space="preserve"> PAGEREF _Toc24434 </w:instrText>
          </w:r>
          <w:r>
            <w:fldChar w:fldCharType="separate"/>
          </w:r>
          <w:r>
            <w:t>138</w:t>
          </w:r>
          <w:r>
            <w:fldChar w:fldCharType="end"/>
          </w:r>
          <w:r>
            <w:fldChar w:fldCharType="end"/>
          </w:r>
        </w:p>
        <w:p>
          <w:pPr>
            <w:pStyle w:val="9"/>
            <w:tabs>
              <w:tab w:val="right" w:leader="dot" w:pos="9430"/>
            </w:tabs>
          </w:pPr>
          <w:r>
            <w:fldChar w:fldCharType="begin"/>
          </w:r>
          <w:r>
            <w:instrText xml:space="preserve"> HYPERLINK \l _Toc26711 </w:instrText>
          </w:r>
          <w:r>
            <w:fldChar w:fldCharType="separate"/>
          </w:r>
          <w:r>
            <w:rPr>
              <w:rFonts w:hint="default" w:ascii="Times New Roman" w:hAnsi="Times New Roman" w:eastAsia="Times New Roman" w:cs="Times New Roman"/>
              <w:bCs/>
              <w:spacing w:val="-2"/>
              <w:w w:val="100"/>
              <w:szCs w:val="28"/>
              <w:lang w:val="zh-CN" w:eastAsia="zh-CN" w:bidi="zh-CN"/>
            </w:rPr>
            <w:t xml:space="preserve">6.1.1 </w:t>
          </w:r>
          <w:r>
            <w:t>环境空气污染防治措施分析</w:t>
          </w:r>
          <w:r>
            <w:tab/>
          </w:r>
          <w:r>
            <w:fldChar w:fldCharType="begin"/>
          </w:r>
          <w:r>
            <w:instrText xml:space="preserve"> PAGEREF _Toc26711 </w:instrText>
          </w:r>
          <w:r>
            <w:fldChar w:fldCharType="separate"/>
          </w:r>
          <w:r>
            <w:t>138</w:t>
          </w:r>
          <w:r>
            <w:fldChar w:fldCharType="end"/>
          </w:r>
          <w:r>
            <w:fldChar w:fldCharType="end"/>
          </w:r>
        </w:p>
        <w:p>
          <w:pPr>
            <w:pStyle w:val="9"/>
            <w:tabs>
              <w:tab w:val="right" w:leader="dot" w:pos="9430"/>
            </w:tabs>
          </w:pPr>
          <w:r>
            <w:fldChar w:fldCharType="begin"/>
          </w:r>
          <w:r>
            <w:instrText xml:space="preserve"> HYPERLINK \l _Toc1772 </w:instrText>
          </w:r>
          <w:r>
            <w:fldChar w:fldCharType="separate"/>
          </w:r>
          <w:r>
            <w:rPr>
              <w:rFonts w:hint="default" w:ascii="Times New Roman" w:hAnsi="Times New Roman" w:eastAsia="Times New Roman" w:cs="Times New Roman"/>
              <w:bCs/>
              <w:spacing w:val="-2"/>
              <w:w w:val="100"/>
              <w:szCs w:val="28"/>
              <w:lang w:val="zh-CN" w:eastAsia="zh-CN" w:bidi="zh-CN"/>
            </w:rPr>
            <w:t xml:space="preserve">6.1.2 </w:t>
          </w:r>
          <w:r>
            <w:t>水污染防治措施分析</w:t>
          </w:r>
          <w:r>
            <w:tab/>
          </w:r>
          <w:r>
            <w:fldChar w:fldCharType="begin"/>
          </w:r>
          <w:r>
            <w:instrText xml:space="preserve"> PAGEREF _Toc1772 </w:instrText>
          </w:r>
          <w:r>
            <w:fldChar w:fldCharType="separate"/>
          </w:r>
          <w:r>
            <w:t>139</w:t>
          </w:r>
          <w:r>
            <w:fldChar w:fldCharType="end"/>
          </w:r>
          <w:r>
            <w:fldChar w:fldCharType="end"/>
          </w:r>
        </w:p>
        <w:p>
          <w:pPr>
            <w:pStyle w:val="9"/>
            <w:tabs>
              <w:tab w:val="right" w:leader="dot" w:pos="9430"/>
            </w:tabs>
          </w:pPr>
          <w:r>
            <w:fldChar w:fldCharType="begin"/>
          </w:r>
          <w:r>
            <w:instrText xml:space="preserve"> HYPERLINK \l _Toc21970 </w:instrText>
          </w:r>
          <w:r>
            <w:fldChar w:fldCharType="separate"/>
          </w:r>
          <w:r>
            <w:rPr>
              <w:rFonts w:hint="default" w:ascii="Times New Roman" w:hAnsi="Times New Roman" w:eastAsia="Times New Roman" w:cs="Times New Roman"/>
              <w:bCs/>
              <w:spacing w:val="-2"/>
              <w:w w:val="100"/>
              <w:szCs w:val="28"/>
              <w:lang w:val="zh-CN" w:eastAsia="zh-CN" w:bidi="zh-CN"/>
            </w:rPr>
            <w:t xml:space="preserve">6.1.3 </w:t>
          </w:r>
          <w:r>
            <w:t>噪声污染防治措施分析</w:t>
          </w:r>
          <w:r>
            <w:tab/>
          </w:r>
          <w:r>
            <w:fldChar w:fldCharType="begin"/>
          </w:r>
          <w:r>
            <w:instrText xml:space="preserve"> PAGEREF _Toc21970 </w:instrText>
          </w:r>
          <w:r>
            <w:fldChar w:fldCharType="separate"/>
          </w:r>
          <w:r>
            <w:t>139</w:t>
          </w:r>
          <w:r>
            <w:fldChar w:fldCharType="end"/>
          </w:r>
          <w:r>
            <w:fldChar w:fldCharType="end"/>
          </w:r>
        </w:p>
        <w:p>
          <w:pPr>
            <w:pStyle w:val="9"/>
            <w:tabs>
              <w:tab w:val="right" w:leader="dot" w:pos="9430"/>
            </w:tabs>
          </w:pPr>
          <w:r>
            <w:fldChar w:fldCharType="begin"/>
          </w:r>
          <w:r>
            <w:instrText xml:space="preserve"> HYPERLINK \l _Toc9690 </w:instrText>
          </w:r>
          <w:r>
            <w:fldChar w:fldCharType="separate"/>
          </w:r>
          <w:r>
            <w:rPr>
              <w:rFonts w:hint="default" w:ascii="Times New Roman" w:hAnsi="Times New Roman" w:eastAsia="Times New Roman" w:cs="Times New Roman"/>
              <w:bCs/>
              <w:spacing w:val="-2"/>
              <w:w w:val="100"/>
              <w:szCs w:val="28"/>
              <w:lang w:val="zh-CN" w:eastAsia="zh-CN" w:bidi="zh-CN"/>
            </w:rPr>
            <w:t xml:space="preserve">6.1.4 </w:t>
          </w:r>
          <w:r>
            <w:t>固体废弃物污染防治措施分析</w:t>
          </w:r>
          <w:r>
            <w:tab/>
          </w:r>
          <w:r>
            <w:fldChar w:fldCharType="begin"/>
          </w:r>
          <w:r>
            <w:instrText xml:space="preserve"> PAGEREF _Toc9690 </w:instrText>
          </w:r>
          <w:r>
            <w:fldChar w:fldCharType="separate"/>
          </w:r>
          <w:r>
            <w:t>140</w:t>
          </w:r>
          <w:r>
            <w:fldChar w:fldCharType="end"/>
          </w:r>
          <w:r>
            <w:fldChar w:fldCharType="end"/>
          </w:r>
        </w:p>
        <w:p>
          <w:pPr>
            <w:pStyle w:val="9"/>
            <w:tabs>
              <w:tab w:val="right" w:leader="dot" w:pos="9430"/>
            </w:tabs>
          </w:pPr>
          <w:r>
            <w:fldChar w:fldCharType="begin"/>
          </w:r>
          <w:r>
            <w:instrText xml:space="preserve"> HYPERLINK \l _Toc2438 </w:instrText>
          </w:r>
          <w:r>
            <w:fldChar w:fldCharType="separate"/>
          </w:r>
          <w:r>
            <w:rPr>
              <w:rFonts w:hint="default" w:ascii="Times New Roman" w:hAnsi="Times New Roman" w:eastAsia="Times New Roman" w:cs="Times New Roman"/>
              <w:bCs/>
              <w:spacing w:val="-2"/>
              <w:w w:val="100"/>
              <w:szCs w:val="28"/>
              <w:lang w:val="zh-CN" w:eastAsia="zh-CN" w:bidi="zh-CN"/>
            </w:rPr>
            <w:t xml:space="preserve">6.1.5 </w:t>
          </w:r>
          <w:r>
            <w:t>生态防治措施分析</w:t>
          </w:r>
          <w:r>
            <w:tab/>
          </w:r>
          <w:r>
            <w:fldChar w:fldCharType="begin"/>
          </w:r>
          <w:r>
            <w:instrText xml:space="preserve"> PAGEREF _Toc2438 </w:instrText>
          </w:r>
          <w:r>
            <w:fldChar w:fldCharType="separate"/>
          </w:r>
          <w:r>
            <w:t>140</w:t>
          </w:r>
          <w:r>
            <w:fldChar w:fldCharType="end"/>
          </w:r>
          <w:r>
            <w:fldChar w:fldCharType="end"/>
          </w:r>
        </w:p>
        <w:p>
          <w:pPr>
            <w:pStyle w:val="9"/>
            <w:tabs>
              <w:tab w:val="right" w:leader="dot" w:pos="9430"/>
            </w:tabs>
          </w:pPr>
          <w:r>
            <w:fldChar w:fldCharType="begin"/>
          </w:r>
          <w:r>
            <w:instrText xml:space="preserve"> HYPERLINK \l _Toc1386 </w:instrText>
          </w:r>
          <w:r>
            <w:fldChar w:fldCharType="separate"/>
          </w:r>
          <w:r>
            <w:rPr>
              <w:rFonts w:hint="default" w:ascii="Times New Roman" w:hAnsi="Times New Roman" w:eastAsia="Times New Roman" w:cs="Times New Roman"/>
              <w:bCs/>
              <w:spacing w:val="-1"/>
              <w:w w:val="99"/>
              <w:szCs w:val="32"/>
              <w:lang w:val="zh-CN" w:eastAsia="zh-CN" w:bidi="zh-CN"/>
            </w:rPr>
            <w:t xml:space="preserve">6.2 </w:t>
          </w:r>
          <w:r>
            <w:t>运营期环境保护措施分析</w:t>
          </w:r>
          <w:r>
            <w:tab/>
          </w:r>
          <w:r>
            <w:fldChar w:fldCharType="begin"/>
          </w:r>
          <w:r>
            <w:instrText xml:space="preserve"> PAGEREF _Toc1386 </w:instrText>
          </w:r>
          <w:r>
            <w:fldChar w:fldCharType="separate"/>
          </w:r>
          <w:r>
            <w:t>141</w:t>
          </w:r>
          <w:r>
            <w:fldChar w:fldCharType="end"/>
          </w:r>
          <w:r>
            <w:fldChar w:fldCharType="end"/>
          </w:r>
        </w:p>
        <w:p>
          <w:pPr>
            <w:pStyle w:val="9"/>
            <w:tabs>
              <w:tab w:val="right" w:leader="dot" w:pos="9430"/>
            </w:tabs>
          </w:pPr>
          <w:r>
            <w:fldChar w:fldCharType="begin"/>
          </w:r>
          <w:r>
            <w:instrText xml:space="preserve"> HYPERLINK \l _Toc30328 </w:instrText>
          </w:r>
          <w:r>
            <w:fldChar w:fldCharType="separate"/>
          </w:r>
          <w:r>
            <w:rPr>
              <w:rFonts w:hint="default" w:ascii="Times New Roman" w:hAnsi="Times New Roman" w:eastAsia="Times New Roman" w:cs="Times New Roman"/>
              <w:bCs/>
              <w:spacing w:val="-2"/>
              <w:w w:val="100"/>
              <w:szCs w:val="28"/>
              <w:lang w:val="zh-CN" w:eastAsia="zh-CN" w:bidi="zh-CN"/>
            </w:rPr>
            <w:t xml:space="preserve">6.2.1 </w:t>
          </w:r>
          <w:r>
            <w:t>环境空气污染防治措施分析</w:t>
          </w:r>
          <w:r>
            <w:tab/>
          </w:r>
          <w:r>
            <w:fldChar w:fldCharType="begin"/>
          </w:r>
          <w:r>
            <w:instrText xml:space="preserve"> PAGEREF _Toc30328 </w:instrText>
          </w:r>
          <w:r>
            <w:fldChar w:fldCharType="separate"/>
          </w:r>
          <w:r>
            <w:t>141</w:t>
          </w:r>
          <w:r>
            <w:fldChar w:fldCharType="end"/>
          </w:r>
          <w:r>
            <w:fldChar w:fldCharType="end"/>
          </w:r>
        </w:p>
        <w:p>
          <w:pPr>
            <w:pStyle w:val="9"/>
            <w:tabs>
              <w:tab w:val="right" w:leader="dot" w:pos="9430"/>
            </w:tabs>
          </w:pPr>
          <w:r>
            <w:fldChar w:fldCharType="begin"/>
          </w:r>
          <w:r>
            <w:instrText xml:space="preserve"> HYPERLINK \l _Toc10450 </w:instrText>
          </w:r>
          <w:r>
            <w:fldChar w:fldCharType="separate"/>
          </w:r>
          <w:r>
            <w:rPr>
              <w:rFonts w:hint="default" w:ascii="Times New Roman" w:hAnsi="Times New Roman" w:eastAsia="Times New Roman" w:cs="Times New Roman"/>
              <w:bCs/>
              <w:spacing w:val="-2"/>
              <w:w w:val="100"/>
              <w:szCs w:val="28"/>
              <w:lang w:val="zh-CN" w:eastAsia="zh-CN" w:bidi="zh-CN"/>
            </w:rPr>
            <w:t xml:space="preserve">6.2.2 </w:t>
          </w:r>
          <w:r>
            <w:t>水污染防治措施分析</w:t>
          </w:r>
          <w:r>
            <w:tab/>
          </w:r>
          <w:r>
            <w:fldChar w:fldCharType="begin"/>
          </w:r>
          <w:r>
            <w:instrText xml:space="preserve"> PAGEREF _Toc10450 </w:instrText>
          </w:r>
          <w:r>
            <w:fldChar w:fldCharType="separate"/>
          </w:r>
          <w:r>
            <w:t>145</w:t>
          </w:r>
          <w:r>
            <w:fldChar w:fldCharType="end"/>
          </w:r>
          <w:r>
            <w:fldChar w:fldCharType="end"/>
          </w:r>
        </w:p>
        <w:p>
          <w:pPr>
            <w:pStyle w:val="9"/>
            <w:tabs>
              <w:tab w:val="right" w:leader="dot" w:pos="9430"/>
            </w:tabs>
          </w:pPr>
          <w:r>
            <w:fldChar w:fldCharType="begin"/>
          </w:r>
          <w:r>
            <w:instrText xml:space="preserve"> HYPERLINK \l _Toc9767 </w:instrText>
          </w:r>
          <w:r>
            <w:fldChar w:fldCharType="separate"/>
          </w:r>
          <w:r>
            <w:rPr>
              <w:rFonts w:hint="default" w:ascii="Times New Roman" w:hAnsi="Times New Roman" w:eastAsia="Times New Roman" w:cs="Times New Roman"/>
              <w:bCs/>
              <w:spacing w:val="-2"/>
              <w:w w:val="100"/>
              <w:szCs w:val="28"/>
              <w:lang w:val="zh-CN" w:eastAsia="zh-CN" w:bidi="zh-CN"/>
            </w:rPr>
            <w:t xml:space="preserve">6.2.3 </w:t>
          </w:r>
          <w:r>
            <w:t>噪声污染防治措施分析</w:t>
          </w:r>
          <w:r>
            <w:tab/>
          </w:r>
          <w:r>
            <w:fldChar w:fldCharType="begin"/>
          </w:r>
          <w:r>
            <w:instrText xml:space="preserve"> PAGEREF _Toc9767 </w:instrText>
          </w:r>
          <w:r>
            <w:fldChar w:fldCharType="separate"/>
          </w:r>
          <w:r>
            <w:t>146</w:t>
          </w:r>
          <w:r>
            <w:fldChar w:fldCharType="end"/>
          </w:r>
          <w:r>
            <w:fldChar w:fldCharType="end"/>
          </w:r>
        </w:p>
        <w:p>
          <w:pPr>
            <w:pStyle w:val="9"/>
            <w:tabs>
              <w:tab w:val="right" w:leader="dot" w:pos="9430"/>
            </w:tabs>
          </w:pPr>
          <w:r>
            <w:fldChar w:fldCharType="begin"/>
          </w:r>
          <w:r>
            <w:instrText xml:space="preserve"> HYPERLINK \l _Toc16943 </w:instrText>
          </w:r>
          <w:r>
            <w:fldChar w:fldCharType="separate"/>
          </w:r>
          <w:r>
            <w:rPr>
              <w:rFonts w:hint="default" w:ascii="Times New Roman" w:hAnsi="Times New Roman" w:eastAsia="Times New Roman" w:cs="Times New Roman"/>
              <w:bCs/>
              <w:spacing w:val="-2"/>
              <w:w w:val="100"/>
              <w:szCs w:val="28"/>
              <w:lang w:val="zh-CN" w:eastAsia="zh-CN" w:bidi="zh-CN"/>
            </w:rPr>
            <w:t xml:space="preserve">6.2.4 </w:t>
          </w:r>
          <w:r>
            <w:rPr>
              <w:spacing w:val="-1"/>
              <w:w w:val="95"/>
            </w:rPr>
            <w:t>固体废物污染防治措施分析</w:t>
          </w:r>
          <w:r>
            <w:tab/>
          </w:r>
          <w:r>
            <w:fldChar w:fldCharType="begin"/>
          </w:r>
          <w:r>
            <w:instrText xml:space="preserve"> PAGEREF _Toc16943 </w:instrText>
          </w:r>
          <w:r>
            <w:fldChar w:fldCharType="separate"/>
          </w:r>
          <w:r>
            <w:t>147</w:t>
          </w:r>
          <w:r>
            <w:fldChar w:fldCharType="end"/>
          </w:r>
          <w:r>
            <w:fldChar w:fldCharType="end"/>
          </w:r>
        </w:p>
        <w:p>
          <w:pPr>
            <w:pStyle w:val="9"/>
            <w:tabs>
              <w:tab w:val="right" w:leader="dot" w:pos="9430"/>
            </w:tabs>
          </w:pPr>
          <w:r>
            <w:fldChar w:fldCharType="begin"/>
          </w:r>
          <w:r>
            <w:instrText xml:space="preserve"> HYPERLINK \l _Toc32365 </w:instrText>
          </w:r>
          <w:r>
            <w:fldChar w:fldCharType="separate"/>
          </w:r>
          <w:r>
            <w:rPr>
              <w:rFonts w:hint="default" w:ascii="Times New Roman" w:hAnsi="Times New Roman" w:eastAsia="Times New Roman" w:cs="Times New Roman"/>
              <w:bCs/>
              <w:spacing w:val="-2"/>
              <w:w w:val="100"/>
              <w:szCs w:val="28"/>
              <w:lang w:val="zh-CN" w:eastAsia="zh-CN" w:bidi="zh-CN"/>
            </w:rPr>
            <w:t xml:space="preserve">6.2.5 </w:t>
          </w:r>
          <w:r>
            <w:t>地下水污染防治措施分析</w:t>
          </w:r>
          <w:r>
            <w:tab/>
          </w:r>
          <w:r>
            <w:fldChar w:fldCharType="begin"/>
          </w:r>
          <w:r>
            <w:instrText xml:space="preserve"> PAGEREF _Toc32365 </w:instrText>
          </w:r>
          <w:r>
            <w:fldChar w:fldCharType="separate"/>
          </w:r>
          <w:r>
            <w:t>151</w:t>
          </w:r>
          <w:r>
            <w:fldChar w:fldCharType="end"/>
          </w:r>
          <w:r>
            <w:fldChar w:fldCharType="end"/>
          </w:r>
        </w:p>
        <w:p>
          <w:pPr>
            <w:pStyle w:val="9"/>
            <w:tabs>
              <w:tab w:val="right" w:leader="dot" w:pos="9430"/>
            </w:tabs>
          </w:pPr>
          <w:r>
            <w:fldChar w:fldCharType="begin"/>
          </w:r>
          <w:r>
            <w:instrText xml:space="preserve"> HYPERLINK \l _Toc29535 </w:instrText>
          </w:r>
          <w:r>
            <w:fldChar w:fldCharType="separate"/>
          </w:r>
          <w:r>
            <w:rPr>
              <w:rFonts w:hint="default" w:ascii="Times New Roman" w:hAnsi="Times New Roman" w:eastAsia="Times New Roman" w:cs="Times New Roman"/>
              <w:bCs/>
              <w:spacing w:val="-2"/>
              <w:w w:val="100"/>
              <w:szCs w:val="28"/>
              <w:lang w:val="zh-CN" w:eastAsia="zh-CN" w:bidi="zh-CN"/>
            </w:rPr>
            <w:t xml:space="preserve">6.2.6 </w:t>
          </w:r>
          <w:r>
            <w:t>土壤污染防治措施</w:t>
          </w:r>
          <w:r>
            <w:tab/>
          </w:r>
          <w:r>
            <w:fldChar w:fldCharType="begin"/>
          </w:r>
          <w:r>
            <w:instrText xml:space="preserve"> PAGEREF _Toc29535 </w:instrText>
          </w:r>
          <w:r>
            <w:fldChar w:fldCharType="separate"/>
          </w:r>
          <w:r>
            <w:t>153</w:t>
          </w:r>
          <w:r>
            <w:fldChar w:fldCharType="end"/>
          </w:r>
          <w:r>
            <w:fldChar w:fldCharType="end"/>
          </w:r>
        </w:p>
        <w:p>
          <w:pPr>
            <w:pStyle w:val="9"/>
            <w:tabs>
              <w:tab w:val="right" w:leader="dot" w:pos="9430"/>
            </w:tabs>
          </w:pPr>
          <w:r>
            <w:fldChar w:fldCharType="begin"/>
          </w:r>
          <w:r>
            <w:instrText xml:space="preserve"> HYPERLINK \l _Toc18294 </w:instrText>
          </w:r>
          <w:r>
            <w:fldChar w:fldCharType="separate"/>
          </w:r>
          <w:r>
            <w:rPr>
              <w:rFonts w:hint="default" w:ascii="Times New Roman" w:hAnsi="Times New Roman" w:eastAsia="Times New Roman" w:cs="Times New Roman"/>
              <w:bCs/>
              <w:spacing w:val="-2"/>
              <w:w w:val="100"/>
              <w:szCs w:val="28"/>
              <w:lang w:val="zh-CN" w:eastAsia="zh-CN" w:bidi="zh-CN"/>
            </w:rPr>
            <w:t xml:space="preserve">6.2.7 </w:t>
          </w:r>
          <w:r>
            <w:rPr>
              <w:spacing w:val="-1"/>
              <w:w w:val="95"/>
            </w:rPr>
            <w:t>风险防范措施</w:t>
          </w:r>
          <w:r>
            <w:tab/>
          </w:r>
          <w:r>
            <w:fldChar w:fldCharType="begin"/>
          </w:r>
          <w:r>
            <w:instrText xml:space="preserve"> PAGEREF _Toc18294 </w:instrText>
          </w:r>
          <w:r>
            <w:fldChar w:fldCharType="separate"/>
          </w:r>
          <w:r>
            <w:t>154</w:t>
          </w:r>
          <w:r>
            <w:fldChar w:fldCharType="end"/>
          </w:r>
          <w:r>
            <w:fldChar w:fldCharType="end"/>
          </w:r>
        </w:p>
        <w:p>
          <w:pPr>
            <w:pStyle w:val="13"/>
            <w:tabs>
              <w:tab w:val="right" w:pos="2400"/>
              <w:tab w:val="right" w:leader="dot" w:pos="9430"/>
            </w:tabs>
          </w:pPr>
          <w:r>
            <w:fldChar w:fldCharType="begin"/>
          </w:r>
          <w:r>
            <w:instrText xml:space="preserve"> HYPERLINK \l _Toc25239 </w:instrText>
          </w:r>
          <w:r>
            <w:fldChar w:fldCharType="separate"/>
          </w:r>
          <w:r>
            <w:t>第七章</w:t>
          </w:r>
          <w:r>
            <w:tab/>
          </w:r>
          <w:r>
            <w:t>环境经济损益分析</w:t>
          </w:r>
          <w:r>
            <w:tab/>
          </w:r>
          <w:r>
            <w:fldChar w:fldCharType="begin"/>
          </w:r>
          <w:r>
            <w:instrText xml:space="preserve"> PAGEREF _Toc25239 </w:instrText>
          </w:r>
          <w:r>
            <w:fldChar w:fldCharType="separate"/>
          </w:r>
          <w:r>
            <w:t>156</w:t>
          </w:r>
          <w:r>
            <w:fldChar w:fldCharType="end"/>
          </w:r>
          <w:r>
            <w:fldChar w:fldCharType="end"/>
          </w:r>
        </w:p>
        <w:p>
          <w:pPr>
            <w:pStyle w:val="9"/>
            <w:tabs>
              <w:tab w:val="right" w:leader="dot" w:pos="9430"/>
            </w:tabs>
          </w:pPr>
          <w:r>
            <w:fldChar w:fldCharType="begin"/>
          </w:r>
          <w:r>
            <w:instrText xml:space="preserve"> HYPERLINK \l _Toc31351 </w:instrText>
          </w:r>
          <w:r>
            <w:fldChar w:fldCharType="separate"/>
          </w:r>
          <w:r>
            <w:rPr>
              <w:rFonts w:hint="default" w:ascii="Times New Roman" w:hAnsi="Times New Roman" w:eastAsia="Times New Roman" w:cs="Times New Roman"/>
              <w:bCs/>
              <w:spacing w:val="-1"/>
              <w:w w:val="99"/>
              <w:szCs w:val="32"/>
              <w:lang w:val="zh-CN" w:eastAsia="zh-CN" w:bidi="zh-CN"/>
            </w:rPr>
            <w:t xml:space="preserve">7.1 </w:t>
          </w:r>
          <w:r>
            <w:rPr>
              <w:w w:val="95"/>
            </w:rPr>
            <w:t>经济效益分析</w:t>
          </w:r>
          <w:r>
            <w:tab/>
          </w:r>
          <w:r>
            <w:fldChar w:fldCharType="begin"/>
          </w:r>
          <w:r>
            <w:instrText xml:space="preserve"> PAGEREF _Toc31351 </w:instrText>
          </w:r>
          <w:r>
            <w:fldChar w:fldCharType="separate"/>
          </w:r>
          <w:r>
            <w:t>156</w:t>
          </w:r>
          <w:r>
            <w:fldChar w:fldCharType="end"/>
          </w:r>
          <w:r>
            <w:fldChar w:fldCharType="end"/>
          </w:r>
        </w:p>
        <w:p>
          <w:pPr>
            <w:pStyle w:val="9"/>
            <w:tabs>
              <w:tab w:val="right" w:leader="dot" w:pos="9430"/>
            </w:tabs>
          </w:pPr>
          <w:r>
            <w:fldChar w:fldCharType="begin"/>
          </w:r>
          <w:r>
            <w:instrText xml:space="preserve"> HYPERLINK \l _Toc10436 </w:instrText>
          </w:r>
          <w:r>
            <w:fldChar w:fldCharType="separate"/>
          </w:r>
          <w:r>
            <w:rPr>
              <w:rFonts w:hint="default" w:ascii="Times New Roman" w:hAnsi="Times New Roman" w:eastAsia="Times New Roman" w:cs="Times New Roman"/>
              <w:bCs/>
              <w:spacing w:val="-2"/>
              <w:w w:val="100"/>
              <w:szCs w:val="28"/>
              <w:lang w:val="zh-CN" w:eastAsia="zh-CN" w:bidi="zh-CN"/>
            </w:rPr>
            <w:t xml:space="preserve">7.1.1 </w:t>
          </w:r>
          <w:r>
            <w:t>投资构成</w:t>
          </w:r>
          <w:r>
            <w:tab/>
          </w:r>
          <w:r>
            <w:fldChar w:fldCharType="begin"/>
          </w:r>
          <w:r>
            <w:instrText xml:space="preserve"> PAGEREF _Toc10436 </w:instrText>
          </w:r>
          <w:r>
            <w:fldChar w:fldCharType="separate"/>
          </w:r>
          <w:r>
            <w:t>156</w:t>
          </w:r>
          <w:r>
            <w:fldChar w:fldCharType="end"/>
          </w:r>
          <w:r>
            <w:fldChar w:fldCharType="end"/>
          </w:r>
        </w:p>
        <w:p>
          <w:pPr>
            <w:pStyle w:val="9"/>
            <w:tabs>
              <w:tab w:val="right" w:leader="dot" w:pos="9430"/>
            </w:tabs>
          </w:pPr>
          <w:r>
            <w:fldChar w:fldCharType="begin"/>
          </w:r>
          <w:r>
            <w:instrText xml:space="preserve"> HYPERLINK \l _Toc26371 </w:instrText>
          </w:r>
          <w:r>
            <w:fldChar w:fldCharType="separate"/>
          </w:r>
          <w:r>
            <w:rPr>
              <w:rFonts w:hint="default" w:ascii="Times New Roman" w:hAnsi="Times New Roman" w:eastAsia="Times New Roman" w:cs="Times New Roman"/>
              <w:bCs/>
              <w:spacing w:val="-2"/>
              <w:w w:val="100"/>
              <w:szCs w:val="28"/>
              <w:lang w:val="zh-CN" w:eastAsia="zh-CN" w:bidi="zh-CN"/>
            </w:rPr>
            <w:t xml:space="preserve">7.1.2 </w:t>
          </w:r>
          <w:r>
            <w:t>经济分析</w:t>
          </w:r>
          <w:r>
            <w:tab/>
          </w:r>
          <w:r>
            <w:fldChar w:fldCharType="begin"/>
          </w:r>
          <w:r>
            <w:instrText xml:space="preserve"> PAGEREF _Toc26371 </w:instrText>
          </w:r>
          <w:r>
            <w:fldChar w:fldCharType="separate"/>
          </w:r>
          <w:r>
            <w:t>156</w:t>
          </w:r>
          <w:r>
            <w:fldChar w:fldCharType="end"/>
          </w:r>
          <w:r>
            <w:fldChar w:fldCharType="end"/>
          </w:r>
        </w:p>
        <w:p>
          <w:pPr>
            <w:pStyle w:val="9"/>
            <w:tabs>
              <w:tab w:val="right" w:leader="dot" w:pos="9430"/>
            </w:tabs>
          </w:pPr>
          <w:r>
            <w:fldChar w:fldCharType="begin"/>
          </w:r>
          <w:r>
            <w:instrText xml:space="preserve"> HYPERLINK \l _Toc4100 </w:instrText>
          </w:r>
          <w:r>
            <w:fldChar w:fldCharType="separate"/>
          </w:r>
          <w:r>
            <w:rPr>
              <w:rFonts w:hint="default" w:ascii="Times New Roman" w:hAnsi="Times New Roman" w:eastAsia="Times New Roman" w:cs="Times New Roman"/>
              <w:bCs/>
              <w:spacing w:val="-1"/>
              <w:w w:val="99"/>
              <w:szCs w:val="32"/>
              <w:lang w:val="zh-CN" w:eastAsia="zh-CN" w:bidi="zh-CN"/>
            </w:rPr>
            <w:t xml:space="preserve">7.2 </w:t>
          </w:r>
          <w:r>
            <w:t>社会效益分析</w:t>
          </w:r>
          <w:r>
            <w:tab/>
          </w:r>
          <w:r>
            <w:fldChar w:fldCharType="begin"/>
          </w:r>
          <w:r>
            <w:instrText xml:space="preserve"> PAGEREF _Toc4100 </w:instrText>
          </w:r>
          <w:r>
            <w:fldChar w:fldCharType="separate"/>
          </w:r>
          <w:r>
            <w:t>157</w:t>
          </w:r>
          <w:r>
            <w:fldChar w:fldCharType="end"/>
          </w:r>
          <w:r>
            <w:fldChar w:fldCharType="end"/>
          </w:r>
        </w:p>
        <w:p>
          <w:pPr>
            <w:pStyle w:val="9"/>
            <w:tabs>
              <w:tab w:val="right" w:leader="dot" w:pos="9430"/>
            </w:tabs>
          </w:pPr>
          <w:r>
            <w:fldChar w:fldCharType="begin"/>
          </w:r>
          <w:r>
            <w:instrText xml:space="preserve"> HYPERLINK \l _Toc27702 </w:instrText>
          </w:r>
          <w:r>
            <w:fldChar w:fldCharType="separate"/>
          </w:r>
          <w:r>
            <w:rPr>
              <w:rFonts w:hint="default" w:ascii="Times New Roman" w:hAnsi="Times New Roman" w:eastAsia="Times New Roman" w:cs="Times New Roman"/>
              <w:bCs/>
              <w:spacing w:val="-1"/>
              <w:w w:val="99"/>
              <w:szCs w:val="32"/>
              <w:lang w:val="zh-CN" w:eastAsia="zh-CN" w:bidi="zh-CN"/>
            </w:rPr>
            <w:t xml:space="preserve">7.3 </w:t>
          </w:r>
          <w:r>
            <w:t>环境效益分析</w:t>
          </w:r>
          <w:r>
            <w:tab/>
          </w:r>
          <w:r>
            <w:fldChar w:fldCharType="begin"/>
          </w:r>
          <w:r>
            <w:instrText xml:space="preserve"> PAGEREF _Toc27702 </w:instrText>
          </w:r>
          <w:r>
            <w:fldChar w:fldCharType="separate"/>
          </w:r>
          <w:r>
            <w:t>158</w:t>
          </w:r>
          <w:r>
            <w:fldChar w:fldCharType="end"/>
          </w:r>
          <w:r>
            <w:fldChar w:fldCharType="end"/>
          </w:r>
        </w:p>
        <w:p>
          <w:pPr>
            <w:pStyle w:val="9"/>
            <w:tabs>
              <w:tab w:val="right" w:leader="dot" w:pos="9430"/>
            </w:tabs>
          </w:pPr>
          <w:r>
            <w:fldChar w:fldCharType="begin"/>
          </w:r>
          <w:r>
            <w:instrText xml:space="preserve"> HYPERLINK \l _Toc2734 </w:instrText>
          </w:r>
          <w:r>
            <w:fldChar w:fldCharType="separate"/>
          </w:r>
          <w:r>
            <w:rPr>
              <w:rFonts w:hint="default" w:ascii="Times New Roman" w:hAnsi="Times New Roman" w:eastAsia="Times New Roman" w:cs="Times New Roman"/>
              <w:bCs/>
              <w:spacing w:val="-2"/>
              <w:w w:val="100"/>
              <w:szCs w:val="28"/>
              <w:lang w:val="zh-CN" w:eastAsia="zh-CN" w:bidi="zh-CN"/>
            </w:rPr>
            <w:t xml:space="preserve">7.3.1 </w:t>
          </w:r>
          <w:r>
            <w:t>环保投资估算</w:t>
          </w:r>
          <w:r>
            <w:tab/>
          </w:r>
          <w:r>
            <w:fldChar w:fldCharType="begin"/>
          </w:r>
          <w:r>
            <w:instrText xml:space="preserve"> PAGEREF _Toc2734 </w:instrText>
          </w:r>
          <w:r>
            <w:fldChar w:fldCharType="separate"/>
          </w:r>
          <w:r>
            <w:t>158</w:t>
          </w:r>
          <w:r>
            <w:fldChar w:fldCharType="end"/>
          </w:r>
          <w:r>
            <w:fldChar w:fldCharType="end"/>
          </w:r>
        </w:p>
        <w:p>
          <w:pPr>
            <w:pStyle w:val="9"/>
            <w:tabs>
              <w:tab w:val="right" w:leader="dot" w:pos="9430"/>
            </w:tabs>
          </w:pPr>
          <w:r>
            <w:fldChar w:fldCharType="begin"/>
          </w:r>
          <w:r>
            <w:instrText xml:space="preserve"> HYPERLINK \l _Toc11279 </w:instrText>
          </w:r>
          <w:r>
            <w:fldChar w:fldCharType="separate"/>
          </w:r>
          <w:r>
            <w:rPr>
              <w:rFonts w:hint="default" w:ascii="Times New Roman" w:hAnsi="Times New Roman" w:eastAsia="Times New Roman" w:cs="Times New Roman"/>
              <w:bCs/>
              <w:spacing w:val="-2"/>
              <w:w w:val="100"/>
              <w:szCs w:val="28"/>
              <w:lang w:val="zh-CN" w:eastAsia="zh-CN" w:bidi="zh-CN"/>
            </w:rPr>
            <w:t xml:space="preserve">7.3.2 </w:t>
          </w:r>
          <w:r>
            <w:t>环境效益分析</w:t>
          </w:r>
          <w:r>
            <w:tab/>
          </w:r>
          <w:r>
            <w:fldChar w:fldCharType="begin"/>
          </w:r>
          <w:r>
            <w:instrText xml:space="preserve"> PAGEREF _Toc11279 </w:instrText>
          </w:r>
          <w:r>
            <w:fldChar w:fldCharType="separate"/>
          </w:r>
          <w:r>
            <w:t>159</w:t>
          </w:r>
          <w:r>
            <w:fldChar w:fldCharType="end"/>
          </w:r>
          <w:r>
            <w:fldChar w:fldCharType="end"/>
          </w:r>
        </w:p>
        <w:p>
          <w:pPr>
            <w:pStyle w:val="9"/>
            <w:tabs>
              <w:tab w:val="right" w:leader="dot" w:pos="9430"/>
            </w:tabs>
          </w:pPr>
          <w:r>
            <w:fldChar w:fldCharType="begin"/>
          </w:r>
          <w:r>
            <w:instrText xml:space="preserve"> HYPERLINK \l _Toc20414 </w:instrText>
          </w:r>
          <w:r>
            <w:fldChar w:fldCharType="separate"/>
          </w:r>
          <w:r>
            <w:rPr>
              <w:rFonts w:hint="default" w:ascii="Times New Roman" w:hAnsi="Times New Roman" w:eastAsia="Times New Roman" w:cs="Times New Roman"/>
              <w:bCs/>
              <w:spacing w:val="-1"/>
              <w:w w:val="99"/>
              <w:szCs w:val="32"/>
              <w:lang w:val="zh-CN" w:eastAsia="zh-CN" w:bidi="zh-CN"/>
            </w:rPr>
            <w:t xml:space="preserve">7.4 </w:t>
          </w:r>
          <w:r>
            <w:t>环境经济损益分析结论</w:t>
          </w:r>
          <w:r>
            <w:tab/>
          </w:r>
          <w:r>
            <w:fldChar w:fldCharType="begin"/>
          </w:r>
          <w:r>
            <w:instrText xml:space="preserve"> PAGEREF _Toc20414 </w:instrText>
          </w:r>
          <w:r>
            <w:fldChar w:fldCharType="separate"/>
          </w:r>
          <w:r>
            <w:t>160</w:t>
          </w:r>
          <w:r>
            <w:fldChar w:fldCharType="end"/>
          </w:r>
          <w:r>
            <w:fldChar w:fldCharType="end"/>
          </w:r>
        </w:p>
        <w:p>
          <w:pPr>
            <w:pStyle w:val="13"/>
            <w:tabs>
              <w:tab w:val="right" w:pos="2400"/>
              <w:tab w:val="right" w:leader="dot" w:pos="9430"/>
            </w:tabs>
          </w:pPr>
          <w:r>
            <w:fldChar w:fldCharType="begin"/>
          </w:r>
          <w:r>
            <w:instrText xml:space="preserve"> HYPERLINK \l _Toc4778 </w:instrText>
          </w:r>
          <w:r>
            <w:fldChar w:fldCharType="separate"/>
          </w:r>
          <w:r>
            <w:t>第八章</w:t>
          </w:r>
          <w:r>
            <w:tab/>
          </w:r>
          <w:r>
            <w:t>环境管理及监测计划</w:t>
          </w:r>
          <w:r>
            <w:tab/>
          </w:r>
          <w:r>
            <w:fldChar w:fldCharType="begin"/>
          </w:r>
          <w:r>
            <w:instrText xml:space="preserve"> PAGEREF _Toc4778 </w:instrText>
          </w:r>
          <w:r>
            <w:fldChar w:fldCharType="separate"/>
          </w:r>
          <w:r>
            <w:t>161</w:t>
          </w:r>
          <w:r>
            <w:fldChar w:fldCharType="end"/>
          </w:r>
          <w:r>
            <w:fldChar w:fldCharType="end"/>
          </w:r>
        </w:p>
        <w:p>
          <w:pPr>
            <w:pStyle w:val="9"/>
            <w:tabs>
              <w:tab w:val="right" w:leader="dot" w:pos="9430"/>
            </w:tabs>
          </w:pPr>
          <w:r>
            <w:fldChar w:fldCharType="begin"/>
          </w:r>
          <w:r>
            <w:instrText xml:space="preserve"> HYPERLINK \l _Toc12207 </w:instrText>
          </w:r>
          <w:r>
            <w:fldChar w:fldCharType="separate"/>
          </w:r>
          <w:r>
            <w:rPr>
              <w:rFonts w:hint="default" w:ascii="Times New Roman" w:hAnsi="Times New Roman" w:eastAsia="Times New Roman" w:cs="Times New Roman"/>
              <w:bCs/>
              <w:spacing w:val="-1"/>
              <w:w w:val="99"/>
              <w:szCs w:val="32"/>
              <w:lang w:val="zh-CN" w:eastAsia="zh-CN" w:bidi="zh-CN"/>
            </w:rPr>
            <w:t xml:space="preserve">8.1 </w:t>
          </w:r>
          <w:r>
            <w:t>环境管理</w:t>
          </w:r>
          <w:r>
            <w:tab/>
          </w:r>
          <w:r>
            <w:fldChar w:fldCharType="begin"/>
          </w:r>
          <w:r>
            <w:instrText xml:space="preserve"> PAGEREF _Toc12207 </w:instrText>
          </w:r>
          <w:r>
            <w:fldChar w:fldCharType="separate"/>
          </w:r>
          <w:r>
            <w:t>161</w:t>
          </w:r>
          <w:r>
            <w:fldChar w:fldCharType="end"/>
          </w:r>
          <w:r>
            <w:fldChar w:fldCharType="end"/>
          </w:r>
        </w:p>
        <w:p>
          <w:pPr>
            <w:pStyle w:val="9"/>
            <w:tabs>
              <w:tab w:val="right" w:leader="dot" w:pos="9430"/>
            </w:tabs>
          </w:pPr>
          <w:r>
            <w:fldChar w:fldCharType="begin"/>
          </w:r>
          <w:r>
            <w:instrText xml:space="preserve"> HYPERLINK \l _Toc6201 </w:instrText>
          </w:r>
          <w:r>
            <w:fldChar w:fldCharType="separate"/>
          </w:r>
          <w:r>
            <w:rPr>
              <w:rFonts w:hint="default" w:ascii="Times New Roman" w:hAnsi="Times New Roman" w:eastAsia="Times New Roman" w:cs="Times New Roman"/>
              <w:bCs/>
              <w:spacing w:val="-2"/>
              <w:w w:val="100"/>
              <w:szCs w:val="28"/>
              <w:lang w:val="zh-CN" w:eastAsia="zh-CN" w:bidi="zh-CN"/>
            </w:rPr>
            <w:t xml:space="preserve">8.1.1 </w:t>
          </w:r>
          <w:r>
            <w:t>环境管理的必要性</w:t>
          </w:r>
          <w:r>
            <w:tab/>
          </w:r>
          <w:r>
            <w:fldChar w:fldCharType="begin"/>
          </w:r>
          <w:r>
            <w:instrText xml:space="preserve"> PAGEREF _Toc6201 </w:instrText>
          </w:r>
          <w:r>
            <w:fldChar w:fldCharType="separate"/>
          </w:r>
          <w:r>
            <w:t>161</w:t>
          </w:r>
          <w:r>
            <w:fldChar w:fldCharType="end"/>
          </w:r>
          <w:r>
            <w:fldChar w:fldCharType="end"/>
          </w:r>
        </w:p>
        <w:p>
          <w:pPr>
            <w:pStyle w:val="9"/>
            <w:tabs>
              <w:tab w:val="right" w:leader="dot" w:pos="9430"/>
            </w:tabs>
          </w:pPr>
          <w:r>
            <w:fldChar w:fldCharType="begin"/>
          </w:r>
          <w:r>
            <w:instrText xml:space="preserve"> HYPERLINK \l _Toc3326 </w:instrText>
          </w:r>
          <w:r>
            <w:fldChar w:fldCharType="separate"/>
          </w:r>
          <w:r>
            <w:rPr>
              <w:rFonts w:hint="default" w:ascii="Times New Roman" w:hAnsi="Times New Roman" w:eastAsia="Times New Roman" w:cs="Times New Roman"/>
              <w:bCs/>
              <w:spacing w:val="-2"/>
              <w:w w:val="100"/>
              <w:szCs w:val="28"/>
              <w:lang w:val="zh-CN" w:eastAsia="zh-CN" w:bidi="zh-CN"/>
            </w:rPr>
            <w:t xml:space="preserve">8.1.2 </w:t>
          </w:r>
          <w:r>
            <w:t>环境管理机构的设置</w:t>
          </w:r>
          <w:r>
            <w:tab/>
          </w:r>
          <w:r>
            <w:fldChar w:fldCharType="begin"/>
          </w:r>
          <w:r>
            <w:instrText xml:space="preserve"> PAGEREF _Toc3326 </w:instrText>
          </w:r>
          <w:r>
            <w:fldChar w:fldCharType="separate"/>
          </w:r>
          <w:r>
            <w:t>161</w:t>
          </w:r>
          <w:r>
            <w:fldChar w:fldCharType="end"/>
          </w:r>
          <w:r>
            <w:fldChar w:fldCharType="end"/>
          </w:r>
        </w:p>
        <w:p>
          <w:pPr>
            <w:pStyle w:val="9"/>
            <w:tabs>
              <w:tab w:val="right" w:leader="dot" w:pos="9430"/>
            </w:tabs>
          </w:pPr>
          <w:r>
            <w:fldChar w:fldCharType="begin"/>
          </w:r>
          <w:r>
            <w:instrText xml:space="preserve"> HYPERLINK \l _Toc7157 </w:instrText>
          </w:r>
          <w:r>
            <w:fldChar w:fldCharType="separate"/>
          </w:r>
          <w:r>
            <w:rPr>
              <w:rFonts w:hint="default" w:ascii="Times New Roman" w:hAnsi="Times New Roman" w:eastAsia="Times New Roman" w:cs="Times New Roman"/>
              <w:bCs/>
              <w:spacing w:val="-2"/>
              <w:w w:val="100"/>
              <w:szCs w:val="28"/>
              <w:lang w:val="zh-CN" w:eastAsia="zh-CN" w:bidi="zh-CN"/>
            </w:rPr>
            <w:t xml:space="preserve">8.1.3 </w:t>
          </w:r>
          <w:r>
            <w:t>环境管理机构主要职责</w:t>
          </w:r>
          <w:r>
            <w:tab/>
          </w:r>
          <w:r>
            <w:fldChar w:fldCharType="begin"/>
          </w:r>
          <w:r>
            <w:instrText xml:space="preserve"> PAGEREF _Toc7157 </w:instrText>
          </w:r>
          <w:r>
            <w:fldChar w:fldCharType="separate"/>
          </w:r>
          <w:r>
            <w:t>161</w:t>
          </w:r>
          <w:r>
            <w:fldChar w:fldCharType="end"/>
          </w:r>
          <w:r>
            <w:fldChar w:fldCharType="end"/>
          </w:r>
        </w:p>
        <w:p>
          <w:pPr>
            <w:pStyle w:val="9"/>
            <w:tabs>
              <w:tab w:val="right" w:leader="dot" w:pos="9430"/>
            </w:tabs>
          </w:pPr>
          <w:r>
            <w:fldChar w:fldCharType="begin"/>
          </w:r>
          <w:r>
            <w:instrText xml:space="preserve"> HYPERLINK \l _Toc32237 </w:instrText>
          </w:r>
          <w:r>
            <w:fldChar w:fldCharType="separate"/>
          </w:r>
          <w:r>
            <w:rPr>
              <w:rFonts w:hint="default" w:ascii="Times New Roman" w:hAnsi="Times New Roman" w:eastAsia="Times New Roman" w:cs="Times New Roman"/>
              <w:bCs/>
              <w:spacing w:val="-2"/>
              <w:w w:val="100"/>
              <w:szCs w:val="28"/>
              <w:lang w:val="zh-CN" w:eastAsia="zh-CN" w:bidi="zh-CN"/>
            </w:rPr>
            <w:t xml:space="preserve">8.1.4 </w:t>
          </w:r>
          <w:r>
            <w:t>环境管理制度的建立</w:t>
          </w:r>
          <w:r>
            <w:tab/>
          </w:r>
          <w:r>
            <w:fldChar w:fldCharType="begin"/>
          </w:r>
          <w:r>
            <w:instrText xml:space="preserve"> PAGEREF _Toc32237 </w:instrText>
          </w:r>
          <w:r>
            <w:fldChar w:fldCharType="separate"/>
          </w:r>
          <w:r>
            <w:t>162</w:t>
          </w:r>
          <w:r>
            <w:fldChar w:fldCharType="end"/>
          </w:r>
          <w:r>
            <w:fldChar w:fldCharType="end"/>
          </w:r>
        </w:p>
        <w:p>
          <w:pPr>
            <w:pStyle w:val="9"/>
            <w:tabs>
              <w:tab w:val="right" w:leader="dot" w:pos="9430"/>
            </w:tabs>
          </w:pPr>
          <w:r>
            <w:fldChar w:fldCharType="begin"/>
          </w:r>
          <w:r>
            <w:instrText xml:space="preserve"> HYPERLINK \l _Toc26458 </w:instrText>
          </w:r>
          <w:r>
            <w:fldChar w:fldCharType="separate"/>
          </w:r>
          <w:r>
            <w:rPr>
              <w:rFonts w:hint="default" w:ascii="Times New Roman" w:hAnsi="Times New Roman" w:eastAsia="Times New Roman" w:cs="Times New Roman"/>
              <w:bCs/>
              <w:spacing w:val="-2"/>
              <w:w w:val="100"/>
              <w:szCs w:val="28"/>
              <w:lang w:val="zh-CN" w:eastAsia="zh-CN" w:bidi="zh-CN"/>
            </w:rPr>
            <w:t xml:space="preserve">8.1.5 </w:t>
          </w:r>
          <w:r>
            <w:t>环境管理计划</w:t>
          </w:r>
          <w:r>
            <w:tab/>
          </w:r>
          <w:r>
            <w:fldChar w:fldCharType="begin"/>
          </w:r>
          <w:r>
            <w:instrText xml:space="preserve"> PAGEREF _Toc26458 </w:instrText>
          </w:r>
          <w:r>
            <w:fldChar w:fldCharType="separate"/>
          </w:r>
          <w:r>
            <w:t>162</w:t>
          </w:r>
          <w:r>
            <w:fldChar w:fldCharType="end"/>
          </w:r>
          <w:r>
            <w:fldChar w:fldCharType="end"/>
          </w:r>
        </w:p>
        <w:p>
          <w:pPr>
            <w:pStyle w:val="9"/>
            <w:tabs>
              <w:tab w:val="right" w:leader="dot" w:pos="9430"/>
            </w:tabs>
          </w:pPr>
          <w:r>
            <w:fldChar w:fldCharType="begin"/>
          </w:r>
          <w:r>
            <w:instrText xml:space="preserve"> HYPERLINK \l _Toc2373 </w:instrText>
          </w:r>
          <w:r>
            <w:fldChar w:fldCharType="separate"/>
          </w:r>
          <w:r>
            <w:rPr>
              <w:rFonts w:hint="default" w:ascii="Times New Roman" w:hAnsi="Times New Roman" w:eastAsia="Times New Roman" w:cs="Times New Roman"/>
              <w:bCs/>
              <w:spacing w:val="-2"/>
              <w:w w:val="100"/>
              <w:szCs w:val="28"/>
              <w:lang w:val="zh-CN" w:eastAsia="zh-CN" w:bidi="zh-CN"/>
            </w:rPr>
            <w:t xml:space="preserve">8.1.6 </w:t>
          </w:r>
          <w:r>
            <w:t>污染物排放管理要求</w:t>
          </w:r>
          <w:r>
            <w:tab/>
          </w:r>
          <w:r>
            <w:fldChar w:fldCharType="begin"/>
          </w:r>
          <w:r>
            <w:instrText xml:space="preserve"> PAGEREF _Toc2373 </w:instrText>
          </w:r>
          <w:r>
            <w:fldChar w:fldCharType="separate"/>
          </w:r>
          <w:r>
            <w:t>163</w:t>
          </w:r>
          <w:r>
            <w:fldChar w:fldCharType="end"/>
          </w:r>
          <w:r>
            <w:fldChar w:fldCharType="end"/>
          </w:r>
        </w:p>
        <w:p>
          <w:pPr>
            <w:pStyle w:val="9"/>
            <w:tabs>
              <w:tab w:val="right" w:leader="dot" w:pos="9430"/>
            </w:tabs>
          </w:pPr>
          <w:r>
            <w:fldChar w:fldCharType="begin"/>
          </w:r>
          <w:r>
            <w:instrText xml:space="preserve"> HYPERLINK \l _Toc9314 </w:instrText>
          </w:r>
          <w:r>
            <w:fldChar w:fldCharType="separate"/>
          </w:r>
          <w:r>
            <w:rPr>
              <w:rFonts w:hint="default" w:ascii="Times New Roman" w:hAnsi="Times New Roman" w:eastAsia="Times New Roman" w:cs="Times New Roman"/>
              <w:bCs/>
              <w:spacing w:val="-1"/>
              <w:w w:val="99"/>
              <w:szCs w:val="32"/>
              <w:lang w:val="zh-CN" w:eastAsia="zh-CN" w:bidi="zh-CN"/>
            </w:rPr>
            <w:t xml:space="preserve">8.2 </w:t>
          </w:r>
          <w:r>
            <w:t>环境监测计划</w:t>
          </w:r>
          <w:r>
            <w:tab/>
          </w:r>
          <w:r>
            <w:fldChar w:fldCharType="begin"/>
          </w:r>
          <w:r>
            <w:instrText xml:space="preserve"> PAGEREF _Toc9314 </w:instrText>
          </w:r>
          <w:r>
            <w:fldChar w:fldCharType="separate"/>
          </w:r>
          <w:r>
            <w:t>166</w:t>
          </w:r>
          <w:r>
            <w:fldChar w:fldCharType="end"/>
          </w:r>
          <w:r>
            <w:fldChar w:fldCharType="end"/>
          </w:r>
        </w:p>
        <w:p>
          <w:pPr>
            <w:pStyle w:val="9"/>
            <w:tabs>
              <w:tab w:val="right" w:leader="dot" w:pos="9430"/>
            </w:tabs>
          </w:pPr>
          <w:r>
            <w:fldChar w:fldCharType="begin"/>
          </w:r>
          <w:r>
            <w:instrText xml:space="preserve"> HYPERLINK \l _Toc15900 </w:instrText>
          </w:r>
          <w:r>
            <w:fldChar w:fldCharType="separate"/>
          </w:r>
          <w:r>
            <w:rPr>
              <w:rFonts w:hint="default" w:ascii="Times New Roman" w:hAnsi="Times New Roman" w:eastAsia="Times New Roman" w:cs="Times New Roman"/>
              <w:bCs/>
              <w:spacing w:val="-2"/>
              <w:w w:val="100"/>
              <w:szCs w:val="28"/>
              <w:lang w:val="zh-CN" w:eastAsia="zh-CN" w:bidi="zh-CN"/>
            </w:rPr>
            <w:t xml:space="preserve">8.2.1 </w:t>
          </w:r>
          <w:r>
            <w:t>环境监测目的</w:t>
          </w:r>
          <w:r>
            <w:tab/>
          </w:r>
          <w:r>
            <w:fldChar w:fldCharType="begin"/>
          </w:r>
          <w:r>
            <w:instrText xml:space="preserve"> PAGEREF _Toc15900 </w:instrText>
          </w:r>
          <w:r>
            <w:fldChar w:fldCharType="separate"/>
          </w:r>
          <w:r>
            <w:t>166</w:t>
          </w:r>
          <w:r>
            <w:fldChar w:fldCharType="end"/>
          </w:r>
          <w:r>
            <w:fldChar w:fldCharType="end"/>
          </w:r>
        </w:p>
        <w:p>
          <w:pPr>
            <w:pStyle w:val="9"/>
            <w:tabs>
              <w:tab w:val="right" w:leader="dot" w:pos="9430"/>
            </w:tabs>
          </w:pPr>
          <w:r>
            <w:fldChar w:fldCharType="begin"/>
          </w:r>
          <w:r>
            <w:instrText xml:space="preserve"> HYPERLINK \l _Toc9901 </w:instrText>
          </w:r>
          <w:r>
            <w:fldChar w:fldCharType="separate"/>
          </w:r>
          <w:r>
            <w:rPr>
              <w:rFonts w:hint="default" w:ascii="Times New Roman" w:hAnsi="Times New Roman" w:eastAsia="Times New Roman" w:cs="Times New Roman"/>
              <w:bCs/>
              <w:spacing w:val="-2"/>
              <w:w w:val="100"/>
              <w:szCs w:val="28"/>
              <w:lang w:val="zh-CN" w:eastAsia="zh-CN" w:bidi="zh-CN"/>
            </w:rPr>
            <w:t xml:space="preserve">8.2.2 </w:t>
          </w:r>
          <w:r>
            <w:t>环境监测计划</w:t>
          </w:r>
          <w:r>
            <w:tab/>
          </w:r>
          <w:r>
            <w:fldChar w:fldCharType="begin"/>
          </w:r>
          <w:r>
            <w:instrText xml:space="preserve"> PAGEREF _Toc9901 </w:instrText>
          </w:r>
          <w:r>
            <w:fldChar w:fldCharType="separate"/>
          </w:r>
          <w:r>
            <w:t>166</w:t>
          </w:r>
          <w:r>
            <w:fldChar w:fldCharType="end"/>
          </w:r>
          <w:r>
            <w:fldChar w:fldCharType="end"/>
          </w:r>
        </w:p>
        <w:p>
          <w:pPr>
            <w:pStyle w:val="9"/>
            <w:tabs>
              <w:tab w:val="right" w:leader="dot" w:pos="9430"/>
            </w:tabs>
          </w:pPr>
          <w:r>
            <w:fldChar w:fldCharType="begin"/>
          </w:r>
          <w:r>
            <w:instrText xml:space="preserve"> HYPERLINK \l _Toc9970 </w:instrText>
          </w:r>
          <w:r>
            <w:fldChar w:fldCharType="separate"/>
          </w:r>
          <w:r>
            <w:rPr>
              <w:rFonts w:hint="default" w:ascii="Times New Roman" w:hAnsi="Times New Roman" w:eastAsia="Times New Roman" w:cs="Times New Roman"/>
              <w:bCs/>
              <w:spacing w:val="-1"/>
              <w:w w:val="99"/>
              <w:szCs w:val="32"/>
              <w:lang w:val="zh-CN" w:eastAsia="zh-CN" w:bidi="zh-CN"/>
            </w:rPr>
            <w:t xml:space="preserve">8.3 </w:t>
          </w:r>
          <w:r>
            <w:t>竣工验收计划</w:t>
          </w:r>
          <w:r>
            <w:tab/>
          </w:r>
          <w:r>
            <w:fldChar w:fldCharType="begin"/>
          </w:r>
          <w:r>
            <w:instrText xml:space="preserve"> PAGEREF _Toc9970 </w:instrText>
          </w:r>
          <w:r>
            <w:fldChar w:fldCharType="separate"/>
          </w:r>
          <w:r>
            <w:t>168</w:t>
          </w:r>
          <w:r>
            <w:fldChar w:fldCharType="end"/>
          </w:r>
          <w:r>
            <w:fldChar w:fldCharType="end"/>
          </w:r>
        </w:p>
        <w:p>
          <w:pPr>
            <w:pStyle w:val="12"/>
            <w:tabs>
              <w:tab w:val="right" w:pos="2800"/>
              <w:tab w:val="right" w:leader="dot" w:pos="9430"/>
            </w:tabs>
            <w:rPr>
              <w:b w:val="0"/>
              <w:bCs w:val="0"/>
              <w:sz w:val="24"/>
              <w:szCs w:val="24"/>
            </w:rPr>
          </w:pPr>
          <w:r>
            <w:rPr>
              <w:b w:val="0"/>
              <w:bCs w:val="0"/>
              <w:sz w:val="24"/>
              <w:szCs w:val="24"/>
            </w:rPr>
            <w:fldChar w:fldCharType="begin"/>
          </w:r>
          <w:r>
            <w:rPr>
              <w:b w:val="0"/>
              <w:bCs w:val="0"/>
              <w:sz w:val="24"/>
              <w:szCs w:val="24"/>
            </w:rPr>
            <w:instrText xml:space="preserve"> HYPERLINK \l _Toc9895 </w:instrText>
          </w:r>
          <w:r>
            <w:rPr>
              <w:b w:val="0"/>
              <w:bCs w:val="0"/>
              <w:sz w:val="24"/>
              <w:szCs w:val="24"/>
            </w:rPr>
            <w:fldChar w:fldCharType="separate"/>
          </w:r>
          <w:r>
            <w:rPr>
              <w:b w:val="0"/>
              <w:bCs w:val="0"/>
              <w:sz w:val="24"/>
              <w:szCs w:val="24"/>
            </w:rPr>
            <w:t>第九章</w:t>
          </w:r>
          <w:r>
            <w:rPr>
              <w:b w:val="0"/>
              <w:bCs w:val="0"/>
              <w:sz w:val="24"/>
              <w:szCs w:val="24"/>
            </w:rPr>
            <w:tab/>
          </w:r>
          <w:r>
            <w:rPr>
              <w:b w:val="0"/>
              <w:bCs w:val="0"/>
              <w:sz w:val="24"/>
              <w:szCs w:val="24"/>
            </w:rPr>
            <w:t>评价结论与建议</w:t>
          </w:r>
          <w:r>
            <w:rPr>
              <w:b w:val="0"/>
              <w:bCs w:val="0"/>
              <w:sz w:val="24"/>
              <w:szCs w:val="24"/>
            </w:rPr>
            <w:tab/>
          </w:r>
          <w:r>
            <w:rPr>
              <w:b w:val="0"/>
              <w:bCs w:val="0"/>
              <w:sz w:val="24"/>
              <w:szCs w:val="24"/>
            </w:rPr>
            <w:fldChar w:fldCharType="begin"/>
          </w:r>
          <w:r>
            <w:rPr>
              <w:b w:val="0"/>
              <w:bCs w:val="0"/>
              <w:sz w:val="24"/>
              <w:szCs w:val="24"/>
            </w:rPr>
            <w:instrText xml:space="preserve"> PAGEREF _Toc9895 </w:instrText>
          </w:r>
          <w:r>
            <w:rPr>
              <w:b w:val="0"/>
              <w:bCs w:val="0"/>
              <w:sz w:val="24"/>
              <w:szCs w:val="24"/>
            </w:rPr>
            <w:fldChar w:fldCharType="separate"/>
          </w:r>
          <w:r>
            <w:rPr>
              <w:b w:val="0"/>
              <w:bCs w:val="0"/>
              <w:sz w:val="24"/>
              <w:szCs w:val="24"/>
            </w:rPr>
            <w:t>170</w:t>
          </w:r>
          <w:r>
            <w:rPr>
              <w:b w:val="0"/>
              <w:bCs w:val="0"/>
              <w:sz w:val="24"/>
              <w:szCs w:val="24"/>
            </w:rPr>
            <w:fldChar w:fldCharType="end"/>
          </w:r>
          <w:r>
            <w:rPr>
              <w:b w:val="0"/>
              <w:bCs w:val="0"/>
              <w:sz w:val="24"/>
              <w:szCs w:val="24"/>
            </w:rPr>
            <w:fldChar w:fldCharType="end"/>
          </w:r>
        </w:p>
        <w:p>
          <w:pPr>
            <w:pStyle w:val="13"/>
            <w:tabs>
              <w:tab w:val="right" w:leader="dot" w:pos="9430"/>
            </w:tabs>
          </w:pPr>
          <w:r>
            <w:rPr>
              <w:rFonts w:hint="eastAsia"/>
              <w:lang w:val="en-US" w:eastAsia="zh-CN"/>
            </w:rPr>
            <w:t xml:space="preserve">         </w:t>
          </w:r>
          <w:r>
            <w:fldChar w:fldCharType="begin"/>
          </w:r>
          <w:r>
            <w:instrText xml:space="preserve"> HYPERLINK \l _Toc23209 </w:instrText>
          </w:r>
          <w:r>
            <w:fldChar w:fldCharType="separate"/>
          </w:r>
          <w:r>
            <w:rPr>
              <w:rFonts w:hint="default" w:ascii="Times New Roman" w:hAnsi="Times New Roman" w:eastAsia="Times New Roman" w:cs="Times New Roman"/>
              <w:bCs/>
              <w:spacing w:val="-1"/>
              <w:w w:val="99"/>
              <w:szCs w:val="32"/>
              <w:lang w:val="zh-CN" w:eastAsia="zh-CN" w:bidi="zh-CN"/>
            </w:rPr>
            <w:t xml:space="preserve">9.1 </w:t>
          </w:r>
          <w:r>
            <w:rPr>
              <w:rFonts w:hint="eastAsia" w:ascii="Times New Roman" w:hAnsi="Times New Roman" w:eastAsia="Times New Roman" w:cs="Times New Roman"/>
              <w:bCs/>
              <w:spacing w:val="-1"/>
              <w:w w:val="99"/>
              <w:szCs w:val="32"/>
              <w:lang w:val="en-US" w:eastAsia="zh-CN" w:bidi="zh-CN"/>
            </w:rPr>
            <w:t xml:space="preserve">   </w:t>
          </w:r>
          <w:r>
            <w:t>项目概况</w:t>
          </w:r>
          <w:r>
            <w:tab/>
          </w:r>
          <w:r>
            <w:fldChar w:fldCharType="begin"/>
          </w:r>
          <w:r>
            <w:instrText xml:space="preserve"> PAGEREF _Toc23209 </w:instrText>
          </w:r>
          <w:r>
            <w:fldChar w:fldCharType="separate"/>
          </w:r>
          <w:r>
            <w:t>170</w:t>
          </w:r>
          <w:r>
            <w:fldChar w:fldCharType="end"/>
          </w:r>
          <w:r>
            <w:fldChar w:fldCharType="end"/>
          </w:r>
        </w:p>
        <w:p>
          <w:pPr>
            <w:pStyle w:val="9"/>
            <w:tabs>
              <w:tab w:val="right" w:leader="dot" w:pos="9430"/>
            </w:tabs>
          </w:pPr>
          <w:r>
            <w:fldChar w:fldCharType="begin"/>
          </w:r>
          <w:r>
            <w:instrText xml:space="preserve"> HYPERLINK \l _Toc18227 </w:instrText>
          </w:r>
          <w:r>
            <w:fldChar w:fldCharType="separate"/>
          </w:r>
          <w:r>
            <w:rPr>
              <w:rFonts w:hint="default" w:ascii="Times New Roman" w:hAnsi="Times New Roman" w:eastAsia="Times New Roman" w:cs="Times New Roman"/>
              <w:bCs/>
              <w:spacing w:val="-1"/>
              <w:w w:val="99"/>
              <w:szCs w:val="32"/>
              <w:lang w:val="zh-CN" w:eastAsia="zh-CN" w:bidi="zh-CN"/>
            </w:rPr>
            <w:t xml:space="preserve">9.2 </w:t>
          </w:r>
          <w:r>
            <w:t>产业政策及相关规划符合性</w:t>
          </w:r>
          <w:r>
            <w:tab/>
          </w:r>
          <w:r>
            <w:fldChar w:fldCharType="begin"/>
          </w:r>
          <w:r>
            <w:instrText xml:space="preserve"> PAGEREF _Toc18227 </w:instrText>
          </w:r>
          <w:r>
            <w:fldChar w:fldCharType="separate"/>
          </w:r>
          <w:r>
            <w:t>170</w:t>
          </w:r>
          <w:r>
            <w:fldChar w:fldCharType="end"/>
          </w:r>
          <w:r>
            <w:fldChar w:fldCharType="end"/>
          </w:r>
        </w:p>
        <w:p>
          <w:pPr>
            <w:pStyle w:val="9"/>
            <w:tabs>
              <w:tab w:val="right" w:leader="dot" w:pos="9430"/>
            </w:tabs>
          </w:pPr>
          <w:r>
            <w:fldChar w:fldCharType="begin"/>
          </w:r>
          <w:r>
            <w:instrText xml:space="preserve"> HYPERLINK \l _Toc16916 </w:instrText>
          </w:r>
          <w:r>
            <w:fldChar w:fldCharType="separate"/>
          </w:r>
          <w:r>
            <w:rPr>
              <w:rFonts w:hint="default" w:ascii="Times New Roman" w:hAnsi="Times New Roman" w:eastAsia="Times New Roman" w:cs="Times New Roman"/>
              <w:bCs/>
              <w:spacing w:val="-1"/>
              <w:w w:val="99"/>
              <w:szCs w:val="32"/>
              <w:lang w:val="zh-CN" w:eastAsia="zh-CN" w:bidi="zh-CN"/>
            </w:rPr>
            <w:t xml:space="preserve">9.3 </w:t>
          </w:r>
          <w:r>
            <w:t>环境质量现状</w:t>
          </w:r>
          <w:r>
            <w:tab/>
          </w:r>
          <w:r>
            <w:fldChar w:fldCharType="begin"/>
          </w:r>
          <w:r>
            <w:instrText xml:space="preserve"> PAGEREF _Toc16916 </w:instrText>
          </w:r>
          <w:r>
            <w:fldChar w:fldCharType="separate"/>
          </w:r>
          <w:r>
            <w:t>171</w:t>
          </w:r>
          <w:r>
            <w:fldChar w:fldCharType="end"/>
          </w:r>
          <w:r>
            <w:fldChar w:fldCharType="end"/>
          </w:r>
        </w:p>
        <w:p>
          <w:pPr>
            <w:pStyle w:val="9"/>
            <w:tabs>
              <w:tab w:val="right" w:leader="dot" w:pos="9430"/>
            </w:tabs>
          </w:pPr>
          <w:r>
            <w:fldChar w:fldCharType="begin"/>
          </w:r>
          <w:r>
            <w:instrText xml:space="preserve"> HYPERLINK \l _Toc16743 </w:instrText>
          </w:r>
          <w:r>
            <w:fldChar w:fldCharType="separate"/>
          </w:r>
          <w:r>
            <w:rPr>
              <w:rFonts w:hint="default" w:ascii="Times New Roman" w:hAnsi="Times New Roman" w:eastAsia="Times New Roman" w:cs="Times New Roman"/>
              <w:bCs/>
              <w:spacing w:val="-2"/>
              <w:w w:val="100"/>
              <w:szCs w:val="28"/>
              <w:lang w:val="zh-CN" w:eastAsia="zh-CN" w:bidi="zh-CN"/>
            </w:rPr>
            <w:t xml:space="preserve">9.3.1 </w:t>
          </w:r>
          <w:r>
            <w:t>环境空气质量现状</w:t>
          </w:r>
          <w:r>
            <w:tab/>
          </w:r>
          <w:r>
            <w:fldChar w:fldCharType="begin"/>
          </w:r>
          <w:r>
            <w:instrText xml:space="preserve"> PAGEREF _Toc16743 </w:instrText>
          </w:r>
          <w:r>
            <w:fldChar w:fldCharType="separate"/>
          </w:r>
          <w:r>
            <w:t>171</w:t>
          </w:r>
          <w:r>
            <w:fldChar w:fldCharType="end"/>
          </w:r>
          <w:r>
            <w:fldChar w:fldCharType="end"/>
          </w:r>
        </w:p>
        <w:p>
          <w:pPr>
            <w:pStyle w:val="9"/>
            <w:tabs>
              <w:tab w:val="right" w:leader="dot" w:pos="9430"/>
            </w:tabs>
          </w:pPr>
          <w:r>
            <w:fldChar w:fldCharType="begin"/>
          </w:r>
          <w:r>
            <w:instrText xml:space="preserve"> HYPERLINK \l _Toc7992 </w:instrText>
          </w:r>
          <w:r>
            <w:fldChar w:fldCharType="separate"/>
          </w:r>
          <w:r>
            <w:rPr>
              <w:rFonts w:hint="default" w:ascii="Times New Roman" w:hAnsi="Times New Roman" w:eastAsia="Times New Roman" w:cs="Times New Roman"/>
              <w:bCs/>
              <w:spacing w:val="-2"/>
              <w:w w:val="100"/>
              <w:szCs w:val="28"/>
              <w:lang w:val="zh-CN" w:eastAsia="zh-CN" w:bidi="zh-CN"/>
            </w:rPr>
            <w:t xml:space="preserve">9.3.2 </w:t>
          </w:r>
          <w:r>
            <w:t>地下水环境环境质量现状</w:t>
          </w:r>
          <w:r>
            <w:tab/>
          </w:r>
          <w:r>
            <w:fldChar w:fldCharType="begin"/>
          </w:r>
          <w:r>
            <w:instrText xml:space="preserve"> PAGEREF _Toc7992 </w:instrText>
          </w:r>
          <w:r>
            <w:fldChar w:fldCharType="separate"/>
          </w:r>
          <w:r>
            <w:t>172</w:t>
          </w:r>
          <w:r>
            <w:fldChar w:fldCharType="end"/>
          </w:r>
          <w:r>
            <w:fldChar w:fldCharType="end"/>
          </w:r>
        </w:p>
        <w:p>
          <w:pPr>
            <w:pStyle w:val="9"/>
            <w:tabs>
              <w:tab w:val="right" w:leader="dot" w:pos="9430"/>
            </w:tabs>
          </w:pPr>
          <w:r>
            <w:fldChar w:fldCharType="begin"/>
          </w:r>
          <w:r>
            <w:instrText xml:space="preserve"> HYPERLINK \l _Toc12117 </w:instrText>
          </w:r>
          <w:r>
            <w:fldChar w:fldCharType="separate"/>
          </w:r>
          <w:r>
            <w:rPr>
              <w:rFonts w:hint="default" w:ascii="Times New Roman" w:hAnsi="Times New Roman" w:eastAsia="Times New Roman" w:cs="Times New Roman"/>
              <w:bCs/>
              <w:spacing w:val="-2"/>
              <w:w w:val="100"/>
              <w:szCs w:val="28"/>
              <w:lang w:val="zh-CN" w:eastAsia="zh-CN" w:bidi="zh-CN"/>
            </w:rPr>
            <w:t xml:space="preserve">9.3.3 </w:t>
          </w:r>
          <w:r>
            <w:t>声环境</w:t>
          </w:r>
          <w:r>
            <w:tab/>
          </w:r>
          <w:r>
            <w:fldChar w:fldCharType="begin"/>
          </w:r>
          <w:r>
            <w:instrText xml:space="preserve"> PAGEREF _Toc12117 </w:instrText>
          </w:r>
          <w:r>
            <w:fldChar w:fldCharType="separate"/>
          </w:r>
          <w:r>
            <w:t>172</w:t>
          </w:r>
          <w:r>
            <w:fldChar w:fldCharType="end"/>
          </w:r>
          <w:r>
            <w:fldChar w:fldCharType="end"/>
          </w:r>
        </w:p>
        <w:p>
          <w:pPr>
            <w:pStyle w:val="9"/>
            <w:tabs>
              <w:tab w:val="right" w:leader="dot" w:pos="9430"/>
            </w:tabs>
          </w:pPr>
          <w:r>
            <w:fldChar w:fldCharType="begin"/>
          </w:r>
          <w:r>
            <w:instrText xml:space="preserve"> HYPERLINK \l _Toc2941 </w:instrText>
          </w:r>
          <w:r>
            <w:fldChar w:fldCharType="separate"/>
          </w:r>
          <w:r>
            <w:rPr>
              <w:rFonts w:hint="default" w:ascii="Times New Roman" w:hAnsi="Times New Roman" w:eastAsia="Times New Roman" w:cs="Times New Roman"/>
              <w:bCs/>
              <w:spacing w:val="-2"/>
              <w:w w:val="100"/>
              <w:szCs w:val="28"/>
              <w:lang w:val="zh-CN" w:eastAsia="zh-CN" w:bidi="zh-CN"/>
            </w:rPr>
            <w:t xml:space="preserve">9.3.4 </w:t>
          </w:r>
          <w:r>
            <w:t>土壤环境</w:t>
          </w:r>
          <w:r>
            <w:tab/>
          </w:r>
          <w:r>
            <w:fldChar w:fldCharType="begin"/>
          </w:r>
          <w:r>
            <w:instrText xml:space="preserve"> PAGEREF _Toc2941 </w:instrText>
          </w:r>
          <w:r>
            <w:fldChar w:fldCharType="separate"/>
          </w:r>
          <w:r>
            <w:t>172</w:t>
          </w:r>
          <w:r>
            <w:fldChar w:fldCharType="end"/>
          </w:r>
          <w:r>
            <w:fldChar w:fldCharType="end"/>
          </w:r>
        </w:p>
        <w:p>
          <w:pPr>
            <w:pStyle w:val="9"/>
            <w:tabs>
              <w:tab w:val="right" w:leader="dot" w:pos="9430"/>
            </w:tabs>
          </w:pPr>
          <w:r>
            <w:fldChar w:fldCharType="begin"/>
          </w:r>
          <w:r>
            <w:instrText xml:space="preserve"> HYPERLINK \l _Toc30203 </w:instrText>
          </w:r>
          <w:r>
            <w:fldChar w:fldCharType="separate"/>
          </w:r>
          <w:r>
            <w:rPr>
              <w:rFonts w:hint="default" w:ascii="Times New Roman" w:hAnsi="Times New Roman" w:eastAsia="Times New Roman" w:cs="Times New Roman"/>
              <w:bCs/>
              <w:spacing w:val="-1"/>
              <w:w w:val="99"/>
              <w:szCs w:val="32"/>
              <w:lang w:val="zh-CN" w:eastAsia="zh-CN" w:bidi="zh-CN"/>
            </w:rPr>
            <w:t xml:space="preserve">9.4 </w:t>
          </w:r>
          <w:r>
            <w:t>工程分析结论</w:t>
          </w:r>
          <w:r>
            <w:tab/>
          </w:r>
          <w:r>
            <w:fldChar w:fldCharType="begin"/>
          </w:r>
          <w:r>
            <w:instrText xml:space="preserve"> PAGEREF _Toc30203 </w:instrText>
          </w:r>
          <w:r>
            <w:fldChar w:fldCharType="separate"/>
          </w:r>
          <w:r>
            <w:t>173</w:t>
          </w:r>
          <w:r>
            <w:fldChar w:fldCharType="end"/>
          </w:r>
          <w:r>
            <w:fldChar w:fldCharType="end"/>
          </w:r>
        </w:p>
        <w:p>
          <w:pPr>
            <w:pStyle w:val="9"/>
            <w:tabs>
              <w:tab w:val="right" w:leader="dot" w:pos="9430"/>
            </w:tabs>
          </w:pPr>
          <w:r>
            <w:fldChar w:fldCharType="begin"/>
          </w:r>
          <w:r>
            <w:instrText xml:space="preserve"> HYPERLINK \l _Toc3153 </w:instrText>
          </w:r>
          <w:r>
            <w:fldChar w:fldCharType="separate"/>
          </w:r>
          <w:r>
            <w:rPr>
              <w:rFonts w:hint="default" w:ascii="Times New Roman" w:hAnsi="Times New Roman" w:eastAsia="Times New Roman" w:cs="Times New Roman"/>
              <w:bCs/>
              <w:spacing w:val="-2"/>
              <w:w w:val="100"/>
              <w:szCs w:val="28"/>
              <w:lang w:val="zh-CN" w:eastAsia="zh-CN" w:bidi="zh-CN"/>
            </w:rPr>
            <w:t xml:space="preserve">9.4.1 </w:t>
          </w:r>
          <w:r>
            <w:t>废气污染源</w:t>
          </w:r>
          <w:r>
            <w:tab/>
          </w:r>
          <w:r>
            <w:fldChar w:fldCharType="begin"/>
          </w:r>
          <w:r>
            <w:instrText xml:space="preserve"> PAGEREF _Toc3153 </w:instrText>
          </w:r>
          <w:r>
            <w:fldChar w:fldCharType="separate"/>
          </w:r>
          <w:r>
            <w:t>173</w:t>
          </w:r>
          <w:r>
            <w:fldChar w:fldCharType="end"/>
          </w:r>
          <w:r>
            <w:fldChar w:fldCharType="end"/>
          </w:r>
        </w:p>
        <w:p>
          <w:pPr>
            <w:pStyle w:val="9"/>
            <w:tabs>
              <w:tab w:val="right" w:leader="dot" w:pos="9430"/>
            </w:tabs>
          </w:pPr>
          <w:r>
            <w:fldChar w:fldCharType="begin"/>
          </w:r>
          <w:r>
            <w:instrText xml:space="preserve"> HYPERLINK \l _Toc4044 </w:instrText>
          </w:r>
          <w:r>
            <w:fldChar w:fldCharType="separate"/>
          </w:r>
          <w:r>
            <w:rPr>
              <w:rFonts w:hint="default" w:ascii="Times New Roman" w:hAnsi="Times New Roman" w:eastAsia="Times New Roman" w:cs="Times New Roman"/>
              <w:bCs/>
              <w:spacing w:val="-2"/>
              <w:w w:val="100"/>
              <w:szCs w:val="28"/>
              <w:lang w:val="zh-CN" w:eastAsia="zh-CN" w:bidi="zh-CN"/>
            </w:rPr>
            <w:t xml:space="preserve">9.4.2 </w:t>
          </w:r>
          <w:r>
            <w:t>废水污染源</w:t>
          </w:r>
          <w:r>
            <w:tab/>
          </w:r>
          <w:r>
            <w:fldChar w:fldCharType="begin"/>
          </w:r>
          <w:r>
            <w:instrText xml:space="preserve"> PAGEREF _Toc4044 </w:instrText>
          </w:r>
          <w:r>
            <w:fldChar w:fldCharType="separate"/>
          </w:r>
          <w:r>
            <w:t>173</w:t>
          </w:r>
          <w:r>
            <w:fldChar w:fldCharType="end"/>
          </w:r>
          <w:r>
            <w:fldChar w:fldCharType="end"/>
          </w:r>
        </w:p>
        <w:p>
          <w:pPr>
            <w:pStyle w:val="9"/>
            <w:tabs>
              <w:tab w:val="right" w:leader="dot" w:pos="9430"/>
            </w:tabs>
          </w:pPr>
          <w:r>
            <w:fldChar w:fldCharType="begin"/>
          </w:r>
          <w:r>
            <w:instrText xml:space="preserve"> HYPERLINK \l _Toc6680 </w:instrText>
          </w:r>
          <w:r>
            <w:fldChar w:fldCharType="separate"/>
          </w:r>
          <w:r>
            <w:rPr>
              <w:rFonts w:hint="default" w:ascii="Times New Roman" w:hAnsi="Times New Roman" w:eastAsia="Times New Roman" w:cs="Times New Roman"/>
              <w:bCs/>
              <w:spacing w:val="-2"/>
              <w:w w:val="100"/>
              <w:szCs w:val="28"/>
              <w:lang w:val="zh-CN" w:eastAsia="zh-CN" w:bidi="zh-CN"/>
            </w:rPr>
            <w:t xml:space="preserve">9.4.3 </w:t>
          </w:r>
          <w:r>
            <w:t>噪声污染源</w:t>
          </w:r>
          <w:r>
            <w:tab/>
          </w:r>
          <w:r>
            <w:fldChar w:fldCharType="begin"/>
          </w:r>
          <w:r>
            <w:instrText xml:space="preserve"> PAGEREF _Toc6680 </w:instrText>
          </w:r>
          <w:r>
            <w:fldChar w:fldCharType="separate"/>
          </w:r>
          <w:r>
            <w:t>174</w:t>
          </w:r>
          <w:r>
            <w:fldChar w:fldCharType="end"/>
          </w:r>
          <w:r>
            <w:fldChar w:fldCharType="end"/>
          </w:r>
        </w:p>
        <w:p>
          <w:pPr>
            <w:pStyle w:val="9"/>
            <w:tabs>
              <w:tab w:val="right" w:leader="dot" w:pos="9430"/>
            </w:tabs>
          </w:pPr>
          <w:r>
            <w:fldChar w:fldCharType="begin"/>
          </w:r>
          <w:r>
            <w:instrText xml:space="preserve"> HYPERLINK \l _Toc17522 </w:instrText>
          </w:r>
          <w:r>
            <w:fldChar w:fldCharType="separate"/>
          </w:r>
          <w:r>
            <w:rPr>
              <w:rFonts w:hint="default" w:ascii="Times New Roman" w:hAnsi="Times New Roman" w:eastAsia="Times New Roman" w:cs="Times New Roman"/>
              <w:bCs/>
              <w:spacing w:val="-2"/>
              <w:w w:val="100"/>
              <w:szCs w:val="28"/>
              <w:lang w:val="zh-CN" w:eastAsia="zh-CN" w:bidi="zh-CN"/>
            </w:rPr>
            <w:t xml:space="preserve">9.4.4 </w:t>
          </w:r>
          <w:r>
            <w:t>固体废弃物</w:t>
          </w:r>
          <w:r>
            <w:tab/>
          </w:r>
          <w:r>
            <w:fldChar w:fldCharType="begin"/>
          </w:r>
          <w:r>
            <w:instrText xml:space="preserve"> PAGEREF _Toc17522 </w:instrText>
          </w:r>
          <w:r>
            <w:fldChar w:fldCharType="separate"/>
          </w:r>
          <w:r>
            <w:t>174</w:t>
          </w:r>
          <w:r>
            <w:fldChar w:fldCharType="end"/>
          </w:r>
          <w:r>
            <w:fldChar w:fldCharType="end"/>
          </w:r>
        </w:p>
        <w:p>
          <w:pPr>
            <w:pStyle w:val="9"/>
            <w:tabs>
              <w:tab w:val="right" w:leader="dot" w:pos="9430"/>
            </w:tabs>
          </w:pPr>
          <w:r>
            <w:fldChar w:fldCharType="begin"/>
          </w:r>
          <w:r>
            <w:instrText xml:space="preserve"> HYPERLINK \l _Toc4950 </w:instrText>
          </w:r>
          <w:r>
            <w:fldChar w:fldCharType="separate"/>
          </w:r>
          <w:r>
            <w:rPr>
              <w:rFonts w:hint="default" w:ascii="Times New Roman" w:hAnsi="Times New Roman" w:eastAsia="Times New Roman" w:cs="Times New Roman"/>
              <w:bCs/>
              <w:spacing w:val="-1"/>
              <w:w w:val="99"/>
              <w:szCs w:val="32"/>
              <w:lang w:val="zh-CN" w:eastAsia="zh-CN" w:bidi="zh-CN"/>
            </w:rPr>
            <w:t xml:space="preserve">9.5 </w:t>
          </w:r>
          <w:r>
            <w:t>环境影响分析结论</w:t>
          </w:r>
          <w:r>
            <w:tab/>
          </w:r>
          <w:r>
            <w:fldChar w:fldCharType="begin"/>
          </w:r>
          <w:r>
            <w:instrText xml:space="preserve"> PAGEREF _Toc4950 </w:instrText>
          </w:r>
          <w:r>
            <w:fldChar w:fldCharType="separate"/>
          </w:r>
          <w:r>
            <w:t>175</w:t>
          </w:r>
          <w:r>
            <w:fldChar w:fldCharType="end"/>
          </w:r>
          <w:r>
            <w:fldChar w:fldCharType="end"/>
          </w:r>
        </w:p>
        <w:p>
          <w:pPr>
            <w:pStyle w:val="9"/>
            <w:tabs>
              <w:tab w:val="right" w:leader="dot" w:pos="9430"/>
            </w:tabs>
          </w:pPr>
          <w:r>
            <w:fldChar w:fldCharType="begin"/>
          </w:r>
          <w:r>
            <w:instrText xml:space="preserve"> HYPERLINK \l _Toc32702 </w:instrText>
          </w:r>
          <w:r>
            <w:fldChar w:fldCharType="separate"/>
          </w:r>
          <w:r>
            <w:rPr>
              <w:rFonts w:hint="default" w:ascii="Times New Roman" w:hAnsi="Times New Roman" w:eastAsia="Times New Roman" w:cs="Times New Roman"/>
              <w:bCs/>
              <w:spacing w:val="-2"/>
              <w:w w:val="100"/>
              <w:szCs w:val="28"/>
              <w:lang w:val="zh-CN" w:eastAsia="zh-CN" w:bidi="zh-CN"/>
            </w:rPr>
            <w:t xml:space="preserve">9.5.1 </w:t>
          </w:r>
          <w:r>
            <w:t>大气环境影响</w:t>
          </w:r>
          <w:r>
            <w:tab/>
          </w:r>
          <w:r>
            <w:fldChar w:fldCharType="begin"/>
          </w:r>
          <w:r>
            <w:instrText xml:space="preserve"> PAGEREF _Toc32702 </w:instrText>
          </w:r>
          <w:r>
            <w:fldChar w:fldCharType="separate"/>
          </w:r>
          <w:r>
            <w:t>175</w:t>
          </w:r>
          <w:r>
            <w:fldChar w:fldCharType="end"/>
          </w:r>
          <w:r>
            <w:fldChar w:fldCharType="end"/>
          </w:r>
        </w:p>
        <w:p>
          <w:pPr>
            <w:pStyle w:val="9"/>
            <w:tabs>
              <w:tab w:val="right" w:leader="dot" w:pos="9430"/>
            </w:tabs>
          </w:pPr>
          <w:r>
            <w:fldChar w:fldCharType="begin"/>
          </w:r>
          <w:r>
            <w:instrText xml:space="preserve"> HYPERLINK \l _Toc9852 </w:instrText>
          </w:r>
          <w:r>
            <w:fldChar w:fldCharType="separate"/>
          </w:r>
          <w:r>
            <w:rPr>
              <w:rFonts w:hint="default" w:ascii="Times New Roman" w:hAnsi="Times New Roman" w:eastAsia="Times New Roman" w:cs="Times New Roman"/>
              <w:bCs/>
              <w:spacing w:val="-2"/>
              <w:w w:val="100"/>
              <w:szCs w:val="28"/>
              <w:lang w:val="zh-CN" w:eastAsia="zh-CN" w:bidi="zh-CN"/>
            </w:rPr>
            <w:t xml:space="preserve">9.5.2 </w:t>
          </w:r>
          <w:r>
            <w:t>水环境影响</w:t>
          </w:r>
          <w:r>
            <w:tab/>
          </w:r>
          <w:r>
            <w:fldChar w:fldCharType="begin"/>
          </w:r>
          <w:r>
            <w:instrText xml:space="preserve"> PAGEREF _Toc9852 </w:instrText>
          </w:r>
          <w:r>
            <w:fldChar w:fldCharType="separate"/>
          </w:r>
          <w:r>
            <w:t>175</w:t>
          </w:r>
          <w:r>
            <w:fldChar w:fldCharType="end"/>
          </w:r>
          <w:r>
            <w:fldChar w:fldCharType="end"/>
          </w:r>
        </w:p>
        <w:p>
          <w:pPr>
            <w:pStyle w:val="9"/>
            <w:tabs>
              <w:tab w:val="right" w:leader="dot" w:pos="9430"/>
            </w:tabs>
          </w:pPr>
          <w:r>
            <w:fldChar w:fldCharType="begin"/>
          </w:r>
          <w:r>
            <w:instrText xml:space="preserve"> HYPERLINK \l _Toc18646 </w:instrText>
          </w:r>
          <w:r>
            <w:fldChar w:fldCharType="separate"/>
          </w:r>
          <w:r>
            <w:rPr>
              <w:rFonts w:hint="default" w:ascii="Times New Roman" w:hAnsi="Times New Roman" w:eastAsia="Times New Roman" w:cs="Times New Roman"/>
              <w:bCs/>
              <w:spacing w:val="-2"/>
              <w:w w:val="100"/>
              <w:szCs w:val="28"/>
              <w:lang w:val="zh-CN" w:eastAsia="zh-CN" w:bidi="zh-CN"/>
            </w:rPr>
            <w:t xml:space="preserve">9.5.3 </w:t>
          </w:r>
          <w:r>
            <w:t>声环境影响</w:t>
          </w:r>
          <w:r>
            <w:tab/>
          </w:r>
          <w:r>
            <w:fldChar w:fldCharType="begin"/>
          </w:r>
          <w:r>
            <w:instrText xml:space="preserve"> PAGEREF _Toc18646 </w:instrText>
          </w:r>
          <w:r>
            <w:fldChar w:fldCharType="separate"/>
          </w:r>
          <w:r>
            <w:t>176</w:t>
          </w:r>
          <w:r>
            <w:fldChar w:fldCharType="end"/>
          </w:r>
          <w:r>
            <w:fldChar w:fldCharType="end"/>
          </w:r>
        </w:p>
        <w:p>
          <w:pPr>
            <w:pStyle w:val="9"/>
            <w:tabs>
              <w:tab w:val="right" w:leader="dot" w:pos="9430"/>
            </w:tabs>
          </w:pPr>
          <w:r>
            <w:fldChar w:fldCharType="begin"/>
          </w:r>
          <w:r>
            <w:instrText xml:space="preserve"> HYPERLINK \l _Toc20153 </w:instrText>
          </w:r>
          <w:r>
            <w:fldChar w:fldCharType="separate"/>
          </w:r>
          <w:r>
            <w:rPr>
              <w:rFonts w:hint="default" w:ascii="Times New Roman" w:hAnsi="Times New Roman" w:eastAsia="Times New Roman" w:cs="Times New Roman"/>
              <w:bCs/>
              <w:spacing w:val="-2"/>
              <w:w w:val="100"/>
              <w:szCs w:val="28"/>
              <w:lang w:val="zh-CN" w:eastAsia="zh-CN" w:bidi="zh-CN"/>
            </w:rPr>
            <w:t xml:space="preserve">9.5.4 </w:t>
          </w:r>
          <w:r>
            <w:t>固体废物影响</w:t>
          </w:r>
          <w:r>
            <w:tab/>
          </w:r>
          <w:r>
            <w:fldChar w:fldCharType="begin"/>
          </w:r>
          <w:r>
            <w:instrText xml:space="preserve"> PAGEREF _Toc20153 </w:instrText>
          </w:r>
          <w:r>
            <w:fldChar w:fldCharType="separate"/>
          </w:r>
          <w:r>
            <w:t>176</w:t>
          </w:r>
          <w:r>
            <w:fldChar w:fldCharType="end"/>
          </w:r>
          <w:r>
            <w:fldChar w:fldCharType="end"/>
          </w:r>
        </w:p>
        <w:p>
          <w:pPr>
            <w:pStyle w:val="9"/>
            <w:tabs>
              <w:tab w:val="right" w:leader="dot" w:pos="9430"/>
            </w:tabs>
          </w:pPr>
          <w:r>
            <w:fldChar w:fldCharType="begin"/>
          </w:r>
          <w:r>
            <w:instrText xml:space="preserve"> HYPERLINK \l _Toc9257 </w:instrText>
          </w:r>
          <w:r>
            <w:fldChar w:fldCharType="separate"/>
          </w:r>
          <w:r>
            <w:rPr>
              <w:rFonts w:hint="default" w:ascii="Times New Roman" w:hAnsi="Times New Roman" w:eastAsia="Times New Roman" w:cs="Times New Roman"/>
              <w:bCs/>
              <w:spacing w:val="-2"/>
              <w:w w:val="100"/>
              <w:szCs w:val="28"/>
              <w:lang w:val="zh-CN" w:eastAsia="zh-CN" w:bidi="zh-CN"/>
            </w:rPr>
            <w:t xml:space="preserve">9.5.5 </w:t>
          </w:r>
          <w:r>
            <w:t>生态环境影响</w:t>
          </w:r>
          <w:r>
            <w:tab/>
          </w:r>
          <w:r>
            <w:fldChar w:fldCharType="begin"/>
          </w:r>
          <w:r>
            <w:instrText xml:space="preserve"> PAGEREF _Toc9257 </w:instrText>
          </w:r>
          <w:r>
            <w:fldChar w:fldCharType="separate"/>
          </w:r>
          <w:r>
            <w:t>177</w:t>
          </w:r>
          <w:r>
            <w:fldChar w:fldCharType="end"/>
          </w:r>
          <w:r>
            <w:fldChar w:fldCharType="end"/>
          </w:r>
        </w:p>
        <w:p>
          <w:pPr>
            <w:pStyle w:val="9"/>
            <w:tabs>
              <w:tab w:val="right" w:leader="dot" w:pos="9430"/>
            </w:tabs>
          </w:pPr>
          <w:r>
            <w:fldChar w:fldCharType="begin"/>
          </w:r>
          <w:r>
            <w:instrText xml:space="preserve"> HYPERLINK \l _Toc9408 </w:instrText>
          </w:r>
          <w:r>
            <w:fldChar w:fldCharType="separate"/>
          </w:r>
          <w:r>
            <w:rPr>
              <w:rFonts w:hint="default" w:ascii="Times New Roman" w:hAnsi="Times New Roman" w:eastAsia="Times New Roman" w:cs="Times New Roman"/>
              <w:bCs/>
              <w:spacing w:val="-2"/>
              <w:w w:val="100"/>
              <w:szCs w:val="28"/>
              <w:lang w:val="zh-CN" w:eastAsia="zh-CN" w:bidi="zh-CN"/>
            </w:rPr>
            <w:t xml:space="preserve">9.5.6 </w:t>
          </w:r>
          <w:r>
            <w:t>土壤环境影响</w:t>
          </w:r>
          <w:r>
            <w:tab/>
          </w:r>
          <w:r>
            <w:fldChar w:fldCharType="begin"/>
          </w:r>
          <w:r>
            <w:instrText xml:space="preserve"> PAGEREF _Toc9408 </w:instrText>
          </w:r>
          <w:r>
            <w:fldChar w:fldCharType="separate"/>
          </w:r>
          <w:r>
            <w:t>177</w:t>
          </w:r>
          <w:r>
            <w:fldChar w:fldCharType="end"/>
          </w:r>
          <w:r>
            <w:fldChar w:fldCharType="end"/>
          </w:r>
        </w:p>
        <w:p>
          <w:pPr>
            <w:pStyle w:val="9"/>
            <w:tabs>
              <w:tab w:val="right" w:leader="dot" w:pos="9430"/>
            </w:tabs>
          </w:pPr>
          <w:r>
            <w:fldChar w:fldCharType="begin"/>
          </w:r>
          <w:r>
            <w:instrText xml:space="preserve"> HYPERLINK \l _Toc15793 </w:instrText>
          </w:r>
          <w:r>
            <w:fldChar w:fldCharType="separate"/>
          </w:r>
          <w:r>
            <w:rPr>
              <w:rFonts w:hint="default" w:ascii="Times New Roman" w:hAnsi="Times New Roman" w:eastAsia="Times New Roman" w:cs="Times New Roman"/>
              <w:bCs/>
              <w:spacing w:val="-2"/>
              <w:w w:val="100"/>
              <w:szCs w:val="28"/>
              <w:lang w:val="zh-CN" w:eastAsia="zh-CN" w:bidi="zh-CN"/>
            </w:rPr>
            <w:t xml:space="preserve">9.5.7 </w:t>
          </w:r>
          <w:r>
            <w:t>环境风险评价结论</w:t>
          </w:r>
          <w:r>
            <w:tab/>
          </w:r>
          <w:r>
            <w:fldChar w:fldCharType="begin"/>
          </w:r>
          <w:r>
            <w:instrText xml:space="preserve"> PAGEREF _Toc15793 </w:instrText>
          </w:r>
          <w:r>
            <w:fldChar w:fldCharType="separate"/>
          </w:r>
          <w:r>
            <w:t>177</w:t>
          </w:r>
          <w:r>
            <w:fldChar w:fldCharType="end"/>
          </w:r>
          <w:r>
            <w:fldChar w:fldCharType="end"/>
          </w:r>
        </w:p>
        <w:p>
          <w:pPr>
            <w:pStyle w:val="9"/>
            <w:tabs>
              <w:tab w:val="right" w:leader="dot" w:pos="9430"/>
            </w:tabs>
          </w:pPr>
          <w:r>
            <w:fldChar w:fldCharType="begin"/>
          </w:r>
          <w:r>
            <w:instrText xml:space="preserve"> HYPERLINK \l _Toc2667 </w:instrText>
          </w:r>
          <w:r>
            <w:fldChar w:fldCharType="separate"/>
          </w:r>
          <w:r>
            <w:rPr>
              <w:rFonts w:hint="default" w:ascii="Times New Roman" w:hAnsi="Times New Roman" w:eastAsia="Times New Roman" w:cs="Times New Roman"/>
              <w:bCs/>
              <w:spacing w:val="-1"/>
              <w:w w:val="99"/>
              <w:szCs w:val="32"/>
              <w:lang w:val="zh-CN" w:eastAsia="zh-CN" w:bidi="zh-CN"/>
            </w:rPr>
            <w:t xml:space="preserve">9.6 </w:t>
          </w:r>
          <w:r>
            <w:t>污染防治措施</w:t>
          </w:r>
          <w:r>
            <w:tab/>
          </w:r>
          <w:r>
            <w:fldChar w:fldCharType="begin"/>
          </w:r>
          <w:r>
            <w:instrText xml:space="preserve"> PAGEREF _Toc2667 </w:instrText>
          </w:r>
          <w:r>
            <w:fldChar w:fldCharType="separate"/>
          </w:r>
          <w:r>
            <w:t>177</w:t>
          </w:r>
          <w:r>
            <w:fldChar w:fldCharType="end"/>
          </w:r>
          <w:r>
            <w:fldChar w:fldCharType="end"/>
          </w:r>
        </w:p>
        <w:p>
          <w:pPr>
            <w:pStyle w:val="9"/>
            <w:tabs>
              <w:tab w:val="right" w:leader="dot" w:pos="9430"/>
            </w:tabs>
          </w:pPr>
          <w:r>
            <w:fldChar w:fldCharType="begin"/>
          </w:r>
          <w:r>
            <w:instrText xml:space="preserve"> HYPERLINK \l _Toc26245 </w:instrText>
          </w:r>
          <w:r>
            <w:fldChar w:fldCharType="separate"/>
          </w:r>
          <w:r>
            <w:rPr>
              <w:rFonts w:hint="default" w:ascii="Times New Roman" w:hAnsi="Times New Roman" w:eastAsia="Times New Roman" w:cs="Times New Roman"/>
              <w:bCs/>
              <w:spacing w:val="-2"/>
              <w:w w:val="100"/>
              <w:szCs w:val="28"/>
              <w:lang w:val="zh-CN" w:eastAsia="zh-CN" w:bidi="zh-CN"/>
            </w:rPr>
            <w:t xml:space="preserve">9.6.1 </w:t>
          </w:r>
          <w:r>
            <w:t>大气环境保护措施</w:t>
          </w:r>
          <w:r>
            <w:tab/>
          </w:r>
          <w:r>
            <w:fldChar w:fldCharType="begin"/>
          </w:r>
          <w:r>
            <w:instrText xml:space="preserve"> PAGEREF _Toc26245 </w:instrText>
          </w:r>
          <w:r>
            <w:fldChar w:fldCharType="separate"/>
          </w:r>
          <w:r>
            <w:t>177</w:t>
          </w:r>
          <w:r>
            <w:fldChar w:fldCharType="end"/>
          </w:r>
          <w:r>
            <w:fldChar w:fldCharType="end"/>
          </w:r>
        </w:p>
        <w:p>
          <w:pPr>
            <w:pStyle w:val="9"/>
            <w:tabs>
              <w:tab w:val="right" w:leader="dot" w:pos="9430"/>
            </w:tabs>
          </w:pPr>
          <w:r>
            <w:fldChar w:fldCharType="begin"/>
          </w:r>
          <w:r>
            <w:instrText xml:space="preserve"> HYPERLINK \l _Toc12433 </w:instrText>
          </w:r>
          <w:r>
            <w:fldChar w:fldCharType="separate"/>
          </w:r>
          <w:r>
            <w:rPr>
              <w:rFonts w:hint="default" w:ascii="Times New Roman" w:hAnsi="Times New Roman" w:eastAsia="Times New Roman" w:cs="Times New Roman"/>
              <w:bCs/>
              <w:spacing w:val="-2"/>
              <w:w w:val="100"/>
              <w:szCs w:val="28"/>
              <w:lang w:val="zh-CN" w:eastAsia="zh-CN" w:bidi="zh-CN"/>
            </w:rPr>
            <w:t xml:space="preserve">9.6.2 </w:t>
          </w:r>
          <w:r>
            <w:t>水环境保护措施</w:t>
          </w:r>
          <w:r>
            <w:tab/>
          </w:r>
          <w:r>
            <w:fldChar w:fldCharType="begin"/>
          </w:r>
          <w:r>
            <w:instrText xml:space="preserve"> PAGEREF _Toc12433 </w:instrText>
          </w:r>
          <w:r>
            <w:fldChar w:fldCharType="separate"/>
          </w:r>
          <w:r>
            <w:t>178</w:t>
          </w:r>
          <w:r>
            <w:fldChar w:fldCharType="end"/>
          </w:r>
          <w:r>
            <w:fldChar w:fldCharType="end"/>
          </w:r>
        </w:p>
        <w:p>
          <w:pPr>
            <w:pStyle w:val="9"/>
            <w:tabs>
              <w:tab w:val="right" w:leader="dot" w:pos="9430"/>
            </w:tabs>
          </w:pPr>
          <w:r>
            <w:fldChar w:fldCharType="begin"/>
          </w:r>
          <w:r>
            <w:instrText xml:space="preserve"> HYPERLINK \l _Toc2000 </w:instrText>
          </w:r>
          <w:r>
            <w:fldChar w:fldCharType="separate"/>
          </w:r>
          <w:r>
            <w:rPr>
              <w:rFonts w:hint="default" w:ascii="Times New Roman" w:hAnsi="Times New Roman" w:eastAsia="Times New Roman" w:cs="Times New Roman"/>
              <w:bCs/>
              <w:spacing w:val="-2"/>
              <w:w w:val="100"/>
              <w:szCs w:val="28"/>
              <w:lang w:val="zh-CN" w:eastAsia="zh-CN" w:bidi="zh-CN"/>
            </w:rPr>
            <w:t xml:space="preserve">9.6.3 </w:t>
          </w:r>
          <w:r>
            <w:t>声环境保护措施</w:t>
          </w:r>
          <w:r>
            <w:tab/>
          </w:r>
          <w:r>
            <w:fldChar w:fldCharType="begin"/>
          </w:r>
          <w:r>
            <w:instrText xml:space="preserve"> PAGEREF _Toc2000 </w:instrText>
          </w:r>
          <w:r>
            <w:fldChar w:fldCharType="separate"/>
          </w:r>
          <w:r>
            <w:t>178</w:t>
          </w:r>
          <w:r>
            <w:fldChar w:fldCharType="end"/>
          </w:r>
          <w:r>
            <w:fldChar w:fldCharType="end"/>
          </w:r>
        </w:p>
        <w:p>
          <w:pPr>
            <w:pStyle w:val="9"/>
            <w:tabs>
              <w:tab w:val="right" w:leader="dot" w:pos="9430"/>
            </w:tabs>
          </w:pPr>
          <w:r>
            <w:fldChar w:fldCharType="begin"/>
          </w:r>
          <w:r>
            <w:instrText xml:space="preserve"> HYPERLINK \l _Toc12440 </w:instrText>
          </w:r>
          <w:r>
            <w:fldChar w:fldCharType="separate"/>
          </w:r>
          <w:r>
            <w:rPr>
              <w:rFonts w:hint="default" w:ascii="Times New Roman" w:hAnsi="Times New Roman" w:eastAsia="Times New Roman" w:cs="Times New Roman"/>
              <w:bCs/>
              <w:spacing w:val="-2"/>
              <w:w w:val="100"/>
              <w:szCs w:val="28"/>
              <w:lang w:val="zh-CN" w:eastAsia="zh-CN" w:bidi="zh-CN"/>
            </w:rPr>
            <w:t xml:space="preserve">9.6.4 </w:t>
          </w:r>
          <w:r>
            <w:t>固体废物处置措施</w:t>
          </w:r>
          <w:r>
            <w:tab/>
          </w:r>
          <w:r>
            <w:fldChar w:fldCharType="begin"/>
          </w:r>
          <w:r>
            <w:instrText xml:space="preserve"> PAGEREF _Toc12440 </w:instrText>
          </w:r>
          <w:r>
            <w:fldChar w:fldCharType="separate"/>
          </w:r>
          <w:r>
            <w:t>178</w:t>
          </w:r>
          <w:r>
            <w:fldChar w:fldCharType="end"/>
          </w:r>
          <w:r>
            <w:fldChar w:fldCharType="end"/>
          </w:r>
        </w:p>
        <w:p>
          <w:pPr>
            <w:pStyle w:val="9"/>
            <w:tabs>
              <w:tab w:val="right" w:leader="dot" w:pos="9430"/>
            </w:tabs>
          </w:pPr>
          <w:r>
            <w:fldChar w:fldCharType="begin"/>
          </w:r>
          <w:r>
            <w:instrText xml:space="preserve"> HYPERLINK \l _Toc32421 </w:instrText>
          </w:r>
          <w:r>
            <w:fldChar w:fldCharType="separate"/>
          </w:r>
          <w:r>
            <w:rPr>
              <w:rFonts w:hint="default" w:ascii="Times New Roman" w:hAnsi="Times New Roman" w:eastAsia="Times New Roman" w:cs="Times New Roman"/>
              <w:bCs/>
              <w:spacing w:val="-2"/>
              <w:w w:val="100"/>
              <w:szCs w:val="28"/>
              <w:lang w:val="zh-CN" w:eastAsia="zh-CN" w:bidi="zh-CN"/>
            </w:rPr>
            <w:t xml:space="preserve">9.6.5 </w:t>
          </w:r>
          <w:r>
            <w:t>土壤污染防治措施</w:t>
          </w:r>
          <w:r>
            <w:tab/>
          </w:r>
          <w:r>
            <w:fldChar w:fldCharType="begin"/>
          </w:r>
          <w:r>
            <w:instrText xml:space="preserve"> PAGEREF _Toc32421 </w:instrText>
          </w:r>
          <w:r>
            <w:fldChar w:fldCharType="separate"/>
          </w:r>
          <w:r>
            <w:t>179</w:t>
          </w:r>
          <w:r>
            <w:fldChar w:fldCharType="end"/>
          </w:r>
          <w:r>
            <w:fldChar w:fldCharType="end"/>
          </w:r>
        </w:p>
        <w:p>
          <w:pPr>
            <w:pStyle w:val="9"/>
            <w:tabs>
              <w:tab w:val="right" w:leader="dot" w:pos="9430"/>
            </w:tabs>
          </w:pPr>
          <w:r>
            <w:fldChar w:fldCharType="begin"/>
          </w:r>
          <w:r>
            <w:instrText xml:space="preserve"> HYPERLINK \l _Toc32643 </w:instrText>
          </w:r>
          <w:r>
            <w:fldChar w:fldCharType="separate"/>
          </w:r>
          <w:r>
            <w:rPr>
              <w:rFonts w:hint="default" w:ascii="Times New Roman" w:hAnsi="Times New Roman" w:eastAsia="Times New Roman" w:cs="Times New Roman"/>
              <w:bCs/>
              <w:spacing w:val="-1"/>
              <w:w w:val="99"/>
              <w:szCs w:val="32"/>
              <w:lang w:val="zh-CN" w:eastAsia="zh-CN" w:bidi="zh-CN"/>
            </w:rPr>
            <w:t xml:space="preserve">9.7 </w:t>
          </w:r>
          <w:r>
            <w:t>总量控制</w:t>
          </w:r>
          <w:r>
            <w:tab/>
          </w:r>
          <w:r>
            <w:fldChar w:fldCharType="begin"/>
          </w:r>
          <w:r>
            <w:instrText xml:space="preserve"> PAGEREF _Toc32643 </w:instrText>
          </w:r>
          <w:r>
            <w:fldChar w:fldCharType="separate"/>
          </w:r>
          <w:r>
            <w:t>179</w:t>
          </w:r>
          <w:r>
            <w:fldChar w:fldCharType="end"/>
          </w:r>
          <w:r>
            <w:fldChar w:fldCharType="end"/>
          </w:r>
        </w:p>
        <w:p>
          <w:pPr>
            <w:pStyle w:val="9"/>
            <w:tabs>
              <w:tab w:val="right" w:leader="dot" w:pos="9430"/>
            </w:tabs>
          </w:pPr>
          <w:r>
            <w:fldChar w:fldCharType="begin"/>
          </w:r>
          <w:r>
            <w:instrText xml:space="preserve"> HYPERLINK \l _Toc12103 </w:instrText>
          </w:r>
          <w:r>
            <w:fldChar w:fldCharType="separate"/>
          </w:r>
          <w:r>
            <w:rPr>
              <w:rFonts w:hint="default" w:ascii="Times New Roman" w:hAnsi="Times New Roman" w:eastAsia="Times New Roman" w:cs="Times New Roman"/>
              <w:bCs/>
              <w:spacing w:val="-1"/>
              <w:w w:val="99"/>
              <w:szCs w:val="32"/>
              <w:lang w:val="zh-CN" w:eastAsia="zh-CN" w:bidi="zh-CN"/>
            </w:rPr>
            <w:t xml:space="preserve">9.8 </w:t>
          </w:r>
          <w:r>
            <w:t>公众参与结论</w:t>
          </w:r>
          <w:r>
            <w:tab/>
          </w:r>
          <w:r>
            <w:fldChar w:fldCharType="begin"/>
          </w:r>
          <w:r>
            <w:instrText xml:space="preserve"> PAGEREF _Toc12103 </w:instrText>
          </w:r>
          <w:r>
            <w:fldChar w:fldCharType="separate"/>
          </w:r>
          <w:r>
            <w:t>180</w:t>
          </w:r>
          <w:r>
            <w:fldChar w:fldCharType="end"/>
          </w:r>
          <w:r>
            <w:fldChar w:fldCharType="end"/>
          </w:r>
        </w:p>
        <w:p>
          <w:pPr>
            <w:pStyle w:val="9"/>
            <w:tabs>
              <w:tab w:val="right" w:leader="dot" w:pos="9430"/>
            </w:tabs>
          </w:pPr>
          <w:r>
            <w:fldChar w:fldCharType="begin"/>
          </w:r>
          <w:r>
            <w:instrText xml:space="preserve"> HYPERLINK \l _Toc28305 </w:instrText>
          </w:r>
          <w:r>
            <w:fldChar w:fldCharType="separate"/>
          </w:r>
          <w:r>
            <w:rPr>
              <w:rFonts w:hint="default" w:ascii="Times New Roman" w:hAnsi="Times New Roman" w:eastAsia="Times New Roman" w:cs="Times New Roman"/>
              <w:bCs/>
              <w:spacing w:val="-1"/>
              <w:w w:val="99"/>
              <w:szCs w:val="32"/>
              <w:lang w:val="zh-CN" w:eastAsia="zh-CN" w:bidi="zh-CN"/>
            </w:rPr>
            <w:t xml:space="preserve">9.9 </w:t>
          </w:r>
          <w:r>
            <w:t>综合评价结论</w:t>
          </w:r>
          <w:r>
            <w:tab/>
          </w:r>
          <w:r>
            <w:fldChar w:fldCharType="begin"/>
          </w:r>
          <w:r>
            <w:instrText xml:space="preserve"> PAGEREF _Toc28305 </w:instrText>
          </w:r>
          <w:r>
            <w:fldChar w:fldCharType="separate"/>
          </w:r>
          <w:r>
            <w:t>180</w:t>
          </w:r>
          <w:r>
            <w:fldChar w:fldCharType="end"/>
          </w:r>
          <w:r>
            <w:fldChar w:fldCharType="end"/>
          </w:r>
        </w:p>
        <w:p>
          <w:pPr>
            <w:pStyle w:val="9"/>
            <w:tabs>
              <w:tab w:val="right" w:leader="dot" w:pos="9430"/>
            </w:tabs>
          </w:pPr>
          <w:r>
            <w:fldChar w:fldCharType="begin"/>
          </w:r>
          <w:r>
            <w:instrText xml:space="preserve"> HYPERLINK \l _Toc21471 </w:instrText>
          </w:r>
          <w:r>
            <w:fldChar w:fldCharType="separate"/>
          </w:r>
          <w:r>
            <w:rPr>
              <w:rFonts w:hint="default" w:ascii="Times New Roman" w:hAnsi="Times New Roman" w:eastAsia="Times New Roman" w:cs="Times New Roman"/>
              <w:bCs/>
              <w:spacing w:val="-1"/>
              <w:w w:val="99"/>
              <w:szCs w:val="32"/>
              <w:lang w:val="zh-CN" w:eastAsia="zh-CN" w:bidi="zh-CN"/>
            </w:rPr>
            <w:t xml:space="preserve">9.10 </w:t>
          </w:r>
          <w:r>
            <w:t>对策与建议</w:t>
          </w:r>
          <w:r>
            <w:tab/>
          </w:r>
          <w:r>
            <w:fldChar w:fldCharType="begin"/>
          </w:r>
          <w:r>
            <w:instrText xml:space="preserve"> PAGEREF _Toc21471 </w:instrText>
          </w:r>
          <w:r>
            <w:fldChar w:fldCharType="separate"/>
          </w:r>
          <w:r>
            <w:t>180</w:t>
          </w:r>
          <w:r>
            <w:fldChar w:fldCharType="end"/>
          </w:r>
          <w:r>
            <w:fldChar w:fldCharType="end"/>
          </w:r>
        </w:p>
        <w:p>
          <w:pPr>
            <w:pStyle w:val="3"/>
            <w:tabs>
              <w:tab w:val="left" w:pos="1444"/>
            </w:tabs>
            <w:ind w:right="37"/>
            <w:outlineLvl w:val="9"/>
          </w:pPr>
          <w:r>
            <w:fldChar w:fldCharType="end"/>
          </w:r>
        </w:p>
      </w:sdtContent>
    </w:sdt>
    <w:p>
      <w:pPr>
        <w:pStyle w:val="2"/>
        <w:sectPr>
          <w:pgSz w:w="11910" w:h="16840"/>
          <w:pgMar w:top="1360" w:right="1220" w:bottom="1300" w:left="1260" w:header="897" w:footer="1116" w:gutter="0"/>
          <w:pgBorders>
            <w:top w:val="none" w:sz="0" w:space="0"/>
            <w:left w:val="none" w:sz="0" w:space="0"/>
            <w:bottom w:val="none" w:sz="0" w:space="0"/>
            <w:right w:val="none" w:sz="0" w:space="0"/>
          </w:pgBorders>
          <w:pgNumType w:fmt="decimal" w:start="1"/>
        </w:sectPr>
      </w:pPr>
    </w:p>
    <w:p/>
    <w:p>
      <w:pPr>
        <w:pStyle w:val="2"/>
        <w:outlineLvl w:val="9"/>
      </w:pPr>
    </w:p>
    <w:p/>
    <w:p>
      <w:pPr>
        <w:pStyle w:val="2"/>
        <w:outlineLvl w:val="9"/>
      </w:pPr>
    </w:p>
    <w:p/>
    <w:p>
      <w:pPr>
        <w:pStyle w:val="2"/>
        <w:outlineLvl w:val="9"/>
      </w:pPr>
    </w:p>
    <w:p/>
    <w:p/>
    <w:p>
      <w:pPr>
        <w:pStyle w:val="3"/>
        <w:tabs>
          <w:tab w:val="left" w:pos="1444"/>
        </w:tabs>
        <w:ind w:right="37"/>
        <w:jc w:val="left"/>
        <w:outlineLvl w:val="9"/>
        <w:sectPr>
          <w:headerReference r:id="rId8" w:type="first"/>
          <w:footerReference r:id="rId9" w:type="first"/>
          <w:pgSz w:w="11910" w:h="16840"/>
          <w:pgMar w:top="1360" w:right="1220" w:bottom="1300" w:left="1260" w:header="897" w:footer="1116" w:gutter="0"/>
          <w:pgBorders>
            <w:top w:val="none" w:sz="0" w:space="0"/>
            <w:left w:val="none" w:sz="0" w:space="0"/>
            <w:bottom w:val="none" w:sz="0" w:space="0"/>
            <w:right w:val="none" w:sz="0" w:space="0"/>
          </w:pgBorders>
          <w:pgNumType w:fmt="decimal" w:start="1"/>
          <w:titlePg/>
        </w:sectPr>
      </w:pPr>
    </w:p>
    <w:p>
      <w:pPr>
        <w:pStyle w:val="3"/>
        <w:tabs>
          <w:tab w:val="left" w:pos="1444"/>
        </w:tabs>
        <w:ind w:right="37"/>
        <w:jc w:val="left"/>
        <w:outlineLvl w:val="0"/>
      </w:pPr>
      <w:bookmarkStart w:id="1" w:name="_Toc27150"/>
      <w:r>
        <w:t>第一章</w:t>
      </w:r>
      <w:r>
        <w:tab/>
      </w:r>
      <w:bookmarkStart w:id="2" w:name="第一章 概述"/>
      <w:bookmarkEnd w:id="2"/>
      <w:r>
        <w:t>概述</w:t>
      </w:r>
      <w:bookmarkEnd w:id="1"/>
    </w:p>
    <w:p>
      <w:pPr>
        <w:pStyle w:val="7"/>
        <w:spacing w:before="8"/>
        <w:ind w:left="0"/>
        <w:rPr>
          <w:b/>
        </w:rPr>
      </w:pPr>
    </w:p>
    <w:p>
      <w:pPr>
        <w:pStyle w:val="4"/>
        <w:numPr>
          <w:ilvl w:val="1"/>
          <w:numId w:val="1"/>
        </w:numPr>
        <w:tabs>
          <w:tab w:val="left" w:pos="1100"/>
        </w:tabs>
        <w:spacing w:before="0" w:after="0" w:line="240" w:lineRule="auto"/>
        <w:ind w:left="1099" w:right="0" w:hanging="560"/>
        <w:jc w:val="left"/>
        <w:outlineLvl w:val="1"/>
      </w:pPr>
      <w:bookmarkStart w:id="3" w:name="1.1 项目由来"/>
      <w:bookmarkEnd w:id="3"/>
      <w:bookmarkStart w:id="4" w:name="_bookmark1"/>
      <w:bookmarkEnd w:id="4"/>
      <w:bookmarkStart w:id="5" w:name="_Toc7557"/>
      <w:r>
        <w:t>项目由来</w:t>
      </w:r>
      <w:bookmarkEnd w:id="5"/>
    </w:p>
    <w:p>
      <w:pPr>
        <w:pStyle w:val="7"/>
        <w:spacing w:before="3"/>
        <w:ind w:left="0"/>
        <w:rPr>
          <w:b/>
          <w:color w:val="0000FF"/>
        </w:rPr>
      </w:pPr>
    </w:p>
    <w:p>
      <w:pPr>
        <w:pStyle w:val="7"/>
        <w:spacing w:before="4" w:line="364" w:lineRule="auto"/>
        <w:ind w:right="457" w:firstLine="480"/>
        <w:jc w:val="both"/>
        <w:rPr>
          <w:color w:val="0000FF"/>
          <w:spacing w:val="-10"/>
        </w:rPr>
      </w:pPr>
      <w:r>
        <w:rPr>
          <w:color w:val="0000FF"/>
          <w:spacing w:val="-10"/>
        </w:rPr>
        <w:t>随着畜牧业的快速发展，莎车县加大了对畜牧产业体系的建设力度，特别是把畜禽良种繁育体系的完善提上重要议事日程，将其作为推进社会主义新农村建设、促进畜牧业转变生产方式和经济持续健康发展、带动农民就业、脱贫致富的重要工作来抓。</w:t>
      </w:r>
    </w:p>
    <w:p>
      <w:pPr>
        <w:pStyle w:val="7"/>
        <w:spacing w:before="4" w:line="364" w:lineRule="auto"/>
        <w:ind w:right="457" w:firstLine="480"/>
        <w:jc w:val="both"/>
        <w:rPr>
          <w:color w:val="0000FF"/>
          <w:spacing w:val="-10"/>
        </w:rPr>
      </w:pPr>
      <w:r>
        <w:rPr>
          <w:color w:val="0000FF"/>
          <w:spacing w:val="-10"/>
        </w:rPr>
        <w:t>莎车县是传统的农业区，发达的种植业和丰富的饲草料资源为畜牧业的发展提供了优越条件；莎车县也是少数民族聚居区，群众具有牛羊养殖、贩运及经营畜禽产品的传统习惯，畜牧业已成为促进莎车县区域经济发展的优势产业和重要支柱产业。近年来，莎车县通过加强良种繁育工程、规模养殖基地、屠宰加工与市场流通体系建设，养殖规模不断扩大，畜牧业生产已向规模养殖、屠宰加工、流通贸易一体化经营的产业化发展转变并呈现出强劲发展势头。但由于资金投入不足和畜牧业产业化发展起步较晚，产业配套体系不完善等原因，良种繁育中心建设滞后，存在肉羊良种化程度低，养殖方式落后，肉羊供给的品种、质量不适应需求的变化，与国内外市场需求存在较大差距，部分产品不能体现出优质优价，缺乏市场竞争力等问题，以上问题的存在严重影响了莎车县良种繁育体系建设和畜牧业的持续健康发展。因此，依托莎车县及周边地区的畜牧资源优势，建设具有一定规模、层次较高、功能齐全、设施完善的现代化良种繁育中心，是完善肉羊良种繁育体系的重要组成部分，也是促进莎车县及周边地区畜牧产业优化升级、带动农民脱贫致富的现实需要。</w:t>
      </w:r>
    </w:p>
    <w:p>
      <w:pPr>
        <w:pStyle w:val="7"/>
        <w:spacing w:before="4" w:line="364" w:lineRule="auto"/>
        <w:ind w:right="457" w:firstLine="480"/>
        <w:jc w:val="both"/>
        <w:rPr>
          <w:color w:val="0000FF"/>
          <w:spacing w:val="-10"/>
        </w:rPr>
      </w:pPr>
      <w:r>
        <w:rPr>
          <w:color w:val="0000FF"/>
          <w:spacing w:val="-10"/>
        </w:rPr>
        <w:t>莎车县畜牧局根据中央、自治区政府关于产业脱贫的政策要求和产业导向，紧密联系莎车县畜牧业发展实际，针对莎车县良种繁育体系建设的总体规划和畜牧业发展的客观要求，立足于当地的资源优势、产业优势，加强肉羊良种繁育体系与相关基础设施的配套建设，加强对地方优质品种的保护与改良利用，完善良种繁育体系，加大对优良品种遗传特性的研究，利用现代保种技术和选育技术，做好对地方品种资源的保种、提纯复壮和扩繁工作，带动莎车县畜牧业产业化经营、农民持续增收、脱贫致富和当地经济快速发展，特提出“莎车县孜热甫夏提良种繁育中心建设项目”。</w:t>
      </w:r>
    </w:p>
    <w:p>
      <w:pPr>
        <w:pStyle w:val="7"/>
        <w:spacing w:before="4" w:line="364" w:lineRule="auto"/>
        <w:ind w:right="457" w:firstLine="480"/>
        <w:jc w:val="both"/>
        <w:rPr>
          <w:rFonts w:hint="eastAsia"/>
          <w:color w:val="0000FF"/>
          <w:spacing w:val="-10"/>
          <w:lang w:val="en-US" w:eastAsia="zh-CN"/>
        </w:rPr>
        <w:sectPr>
          <w:footerReference r:id="rId10" w:type="default"/>
          <w:pgSz w:w="11910" w:h="16840"/>
          <w:pgMar w:top="1360" w:right="1220" w:bottom="1300" w:left="1260" w:header="897" w:footer="1116" w:gutter="0"/>
          <w:pgBorders>
            <w:top w:val="none" w:sz="0" w:space="0"/>
            <w:left w:val="none" w:sz="0" w:space="0"/>
            <w:bottom w:val="none" w:sz="0" w:space="0"/>
            <w:right w:val="none" w:sz="0" w:space="0"/>
          </w:pgBorders>
          <w:pgNumType w:fmt="decimal" w:start="1"/>
        </w:sectPr>
      </w:pP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firstLine="480" w:firstLineChars="200"/>
        <w:jc w:val="both"/>
        <w:textAlignment w:val="auto"/>
        <w:rPr>
          <w:rFonts w:hint="eastAsia"/>
          <w:color w:val="0000FF"/>
          <w:lang w:val="en-US" w:eastAsia="zh-CN"/>
        </w:rPr>
      </w:pPr>
      <w:r>
        <w:rPr>
          <w:rFonts w:hint="eastAsia"/>
          <w:color w:val="0000FF"/>
          <w:lang w:val="en-US" w:eastAsia="zh-CN"/>
        </w:rPr>
        <w:t>本项目为标准化规模养殖项目，属于国家发展和改革委员会第29号令《产业结构调整指导目录》（2019年本）鼓励类，为农林业中的“4、畜禽标准化规模养殖技术开发与应用”，属于“当前国家重点鼓励发展的产业、产品和技术目录”中的第一类（农业），因此本项目符合国家产业政策。</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firstLine="480" w:firstLineChars="200"/>
        <w:jc w:val="both"/>
        <w:textAlignment w:val="auto"/>
        <w:rPr>
          <w:rFonts w:hint="default"/>
          <w:color w:val="0000FF"/>
          <w:lang w:val="en-US" w:eastAsia="zh-CN"/>
        </w:rPr>
      </w:pPr>
      <w:r>
        <w:rPr>
          <w:rFonts w:hint="eastAsia"/>
          <w:color w:val="0000FF"/>
          <w:lang w:val="en-US" w:eastAsia="zh-CN"/>
        </w:rPr>
        <w:t>根据《中华人民共和国环境影响评价法》、国家环保部令第</w:t>
      </w:r>
      <w:r>
        <w:rPr>
          <w:rFonts w:hint="default"/>
          <w:color w:val="0000FF"/>
          <w:lang w:val="en-US" w:eastAsia="zh-CN"/>
        </w:rPr>
        <w:t>44</w:t>
      </w:r>
      <w:r>
        <w:rPr>
          <w:rFonts w:hint="eastAsia"/>
          <w:color w:val="0000FF"/>
          <w:lang w:val="en-US" w:eastAsia="zh-CN"/>
        </w:rPr>
        <w:t>号《建设项目环境影响评价分类管理名录》及《关于修改〈建设项目环境影响评价分类管理名录〉部分内容的决定》（生态环境部令第</w:t>
      </w:r>
      <w:r>
        <w:rPr>
          <w:rFonts w:hint="default"/>
          <w:color w:val="0000FF"/>
          <w:lang w:val="en-US" w:eastAsia="zh-CN"/>
        </w:rPr>
        <w:t>1</w:t>
      </w:r>
      <w:r>
        <w:rPr>
          <w:rFonts w:hint="eastAsia"/>
          <w:color w:val="0000FF"/>
          <w:lang w:val="en-US" w:eastAsia="zh-CN"/>
        </w:rPr>
        <w:t>号）和《建设项目环境保护管理条例》（国务院2017年第682号令）中的有关规定，本项目属于</w:t>
      </w:r>
      <w:r>
        <w:rPr>
          <w:rFonts w:hint="default"/>
          <w:color w:val="0000FF"/>
          <w:lang w:val="en-US" w:eastAsia="zh-CN"/>
        </w:rPr>
        <w:t>“</w:t>
      </w:r>
      <w:r>
        <w:rPr>
          <w:rFonts w:hint="eastAsia"/>
          <w:color w:val="0000FF"/>
          <w:lang w:val="en-US" w:eastAsia="zh-CN"/>
        </w:rPr>
        <w:t>一、畜牧业</w:t>
      </w:r>
      <w:r>
        <w:rPr>
          <w:rFonts w:hint="default"/>
          <w:color w:val="0000FF"/>
          <w:lang w:val="en-US" w:eastAsia="zh-CN"/>
        </w:rPr>
        <w:t>”</w:t>
      </w:r>
      <w:r>
        <w:rPr>
          <w:rFonts w:hint="eastAsia"/>
          <w:color w:val="0000FF"/>
          <w:lang w:val="en-US" w:eastAsia="zh-CN"/>
        </w:rPr>
        <w:t>中“1畜禽养殖场、养殖小区-年出栏生猪5000头（其他畜禽种类折合猪的养殖规模）及以上”，应编制环境影响报告书。项目完成后，种羊场存栏规模达到10万只以上，年出栏种公羊4万余只，折合猪约1.3万头，应当编环境影响报告书。为此，莎车县畜牧兽医局委托新疆新农丽景环境工程咨询有限公司承担本项目环境影响报告书的编制工作。</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firstLine="480" w:firstLineChars="200"/>
        <w:jc w:val="both"/>
        <w:textAlignment w:val="auto"/>
        <w:rPr>
          <w:rFonts w:hint="eastAsia"/>
          <w:color w:val="0000FF"/>
          <w:lang w:val="en-US" w:eastAsia="zh-CN"/>
        </w:rPr>
      </w:pPr>
      <w:r>
        <w:rPr>
          <w:rFonts w:hint="eastAsia"/>
          <w:color w:val="0000FF"/>
          <w:lang w:val="en-US" w:eastAsia="zh-CN"/>
        </w:rPr>
        <w:t>接受委托后，我公司通过实地调查并根据该项目和当地环境实际情况，确定评价工作深度，根据环评导则和有关规范要求，在实施现状监测和环境影响分析的基础上，结合现场踏勘调查的实际情况，本着科学、求实、客观、公正的精神编写完成了《</w:t>
      </w:r>
      <w:r>
        <w:rPr>
          <w:rFonts w:hint="eastAsia"/>
          <w:color w:val="0000FF"/>
          <w:lang w:eastAsia="zh-CN"/>
        </w:rPr>
        <w:t>莎车县孜热甫夏提良种繁育中心建设项目</w:t>
      </w:r>
      <w:r>
        <w:rPr>
          <w:rFonts w:hint="eastAsia"/>
          <w:color w:val="0000FF"/>
          <w:lang w:val="en-US" w:eastAsia="zh-CN"/>
        </w:rPr>
        <w:t>环境影响报告书》。旨在通过环境影响评价，预测项目建设过程中和建成后对周围水环境、大气环境及声环境的影响程度和范围，并提出防治污染和减缓建设项目对周围环境影响的可行措施，从环境保护的角度分析该项目的选址及建设的可行性，为建设单位项目建设和环境保护主管部门项目审批时提供决策参考依据。</w:t>
      </w:r>
    </w:p>
    <w:p>
      <w:pPr>
        <w:keepNext w:val="0"/>
        <w:keepLines w:val="0"/>
        <w:pageBreakBefore w:val="0"/>
        <w:widowControl w:val="0"/>
        <w:kinsoku/>
        <w:wordWrap/>
        <w:overflowPunct/>
        <w:topLinePunct w:val="0"/>
        <w:autoSpaceDE w:val="0"/>
        <w:autoSpaceDN w:val="0"/>
        <w:bidi w:val="0"/>
        <w:adjustRightInd/>
        <w:snapToGrid/>
        <w:spacing w:after="0" w:line="360" w:lineRule="auto"/>
        <w:ind w:left="220" w:leftChars="100"/>
        <w:jc w:val="both"/>
        <w:textAlignment w:val="auto"/>
        <w:rPr>
          <w:color w:val="0000FF"/>
        </w:rPr>
        <w:sectPr>
          <w:footerReference r:id="rId11" w:type="default"/>
          <w:pgSz w:w="11910" w:h="16840"/>
          <w:pgMar w:top="1360" w:right="1220" w:bottom="1300" w:left="1260" w:header="897" w:footer="1116" w:gutter="0"/>
          <w:pgBorders>
            <w:top w:val="none" w:sz="0" w:space="0"/>
            <w:left w:val="none" w:sz="0" w:space="0"/>
            <w:bottom w:val="none" w:sz="0" w:space="0"/>
            <w:right w:val="none" w:sz="0" w:space="0"/>
          </w:pgBorders>
          <w:pgNumType w:fmt="decimal" w:start="1"/>
        </w:sectPr>
      </w:pPr>
    </w:p>
    <w:p>
      <w:pPr>
        <w:pStyle w:val="7"/>
        <w:spacing w:before="4"/>
        <w:ind w:left="0"/>
        <w:rPr>
          <w:sz w:val="8"/>
        </w:rPr>
      </w:pPr>
    </w:p>
    <w:p>
      <w:pPr>
        <w:pStyle w:val="4"/>
        <w:numPr>
          <w:ilvl w:val="1"/>
          <w:numId w:val="1"/>
        </w:numPr>
        <w:tabs>
          <w:tab w:val="left" w:pos="1100"/>
        </w:tabs>
        <w:spacing w:before="64" w:after="0" w:line="240" w:lineRule="auto"/>
        <w:ind w:left="1099" w:right="0" w:hanging="560"/>
        <w:jc w:val="left"/>
        <w:outlineLvl w:val="1"/>
      </w:pPr>
      <w:bookmarkStart w:id="6" w:name="_bookmark2"/>
      <w:bookmarkEnd w:id="6"/>
      <w:bookmarkStart w:id="7" w:name="1.2 建设项目概况"/>
      <w:bookmarkEnd w:id="7"/>
      <w:bookmarkStart w:id="8" w:name="_Toc7343"/>
      <w:r>
        <w:t>建设项目概况</w:t>
      </w:r>
      <w:bookmarkEnd w:id="8"/>
    </w:p>
    <w:p>
      <w:pPr>
        <w:keepNext w:val="0"/>
        <w:keepLines w:val="0"/>
        <w:pageBreakBefore w:val="0"/>
        <w:widowControl w:val="0"/>
        <w:kinsoku/>
        <w:wordWrap/>
        <w:overflowPunct/>
        <w:topLinePunct w:val="0"/>
        <w:autoSpaceDE w:val="0"/>
        <w:autoSpaceDN w:val="0"/>
        <w:bidi w:val="0"/>
        <w:adjustRightInd w:val="0"/>
        <w:snapToGrid/>
        <w:spacing w:line="360" w:lineRule="auto"/>
        <w:ind w:left="220" w:leftChars="100" w:firstLine="480" w:firstLineChars="200"/>
        <w:jc w:val="both"/>
        <w:textAlignment w:val="auto"/>
        <w:rPr>
          <w:color w:val="0000FF"/>
          <w:sz w:val="24"/>
          <w:szCs w:val="24"/>
        </w:rPr>
      </w:pPr>
      <w:r>
        <w:rPr>
          <w:rFonts w:ascii="宋?" w:hAnsi="宋?" w:cs="宋?"/>
          <w:color w:val="0000FF"/>
          <w:kern w:val="0"/>
          <w:sz w:val="24"/>
          <w:szCs w:val="24"/>
        </w:rPr>
        <w:t>本项目拟在莎车县孜热甫夏提乡新建一座良种羊繁育中心。拟建筑面积为</w:t>
      </w:r>
      <w:r>
        <w:rPr>
          <w:rFonts w:hint="eastAsia" w:ascii="宋?" w:hAnsi="宋?" w:cs="宋?"/>
          <w:color w:val="0000FF"/>
          <w:kern w:val="0"/>
          <w:sz w:val="24"/>
          <w:szCs w:val="24"/>
          <w:lang w:val="en-US" w:eastAsia="zh-CN"/>
        </w:rPr>
        <w:t xml:space="preserve"> </w:t>
      </w:r>
      <w:r>
        <w:rPr>
          <w:rFonts w:ascii="Times New Roman" w:hAnsi="Times New Roman" w:cs="Times New Roman"/>
          <w:color w:val="0000FF"/>
          <w:kern w:val="0"/>
          <w:sz w:val="24"/>
          <w:szCs w:val="24"/>
        </w:rPr>
        <w:t>20730.00m2</w:t>
      </w:r>
      <w:r>
        <w:rPr>
          <w:rFonts w:ascii="宋?" w:hAnsi="宋?" w:cs="宋?"/>
          <w:color w:val="0000FF"/>
          <w:kern w:val="0"/>
          <w:sz w:val="24"/>
          <w:szCs w:val="24"/>
        </w:rPr>
        <w:t>，包括土建工程（宿舍楼、附属用房、办公楼、消毒通道、</w:t>
      </w:r>
      <w:r>
        <w:rPr>
          <w:rFonts w:ascii="Times New Roman" w:hAnsi="Times New Roman" w:cs="Times New Roman"/>
          <w:color w:val="0000FF"/>
          <w:kern w:val="0"/>
          <w:sz w:val="24"/>
          <w:szCs w:val="24"/>
        </w:rPr>
        <w:t>TMR</w:t>
      </w:r>
      <w:r>
        <w:rPr>
          <w:rFonts w:ascii="宋?" w:hAnsi="宋?" w:cs="宋?"/>
          <w:color w:val="0000FF"/>
          <w:kern w:val="0"/>
          <w:sz w:val="24"/>
          <w:szCs w:val="24"/>
        </w:rPr>
        <w:t xml:space="preserve"> 加工搅拌站、青贮池、精料加工间、干草棚、羊圈、隔离舍、防疫区、配电室、消防水池等）；购置多胎羊等。</w:t>
      </w:r>
    </w:p>
    <w:p>
      <w:pPr>
        <w:pStyle w:val="4"/>
        <w:numPr>
          <w:ilvl w:val="1"/>
          <w:numId w:val="1"/>
        </w:numPr>
        <w:tabs>
          <w:tab w:val="left" w:pos="1100"/>
        </w:tabs>
        <w:spacing w:before="156" w:after="0" w:line="240" w:lineRule="auto"/>
        <w:ind w:left="1099" w:right="0" w:hanging="560"/>
        <w:jc w:val="left"/>
        <w:outlineLvl w:val="1"/>
      </w:pPr>
      <w:bookmarkStart w:id="9" w:name="_bookmark3"/>
      <w:bookmarkEnd w:id="9"/>
      <w:bookmarkStart w:id="10" w:name="1.3 环境影响评价工作过程"/>
      <w:bookmarkEnd w:id="10"/>
      <w:bookmarkStart w:id="11" w:name="_Toc6066"/>
      <w:r>
        <w:t>环境影响评价工作过程</w:t>
      </w:r>
      <w:bookmarkEnd w:id="11"/>
    </w:p>
    <w:p>
      <w:pPr>
        <w:pStyle w:val="7"/>
        <w:spacing w:before="5"/>
        <w:ind w:left="0"/>
        <w:jc w:val="both"/>
        <w:rPr>
          <w:b/>
        </w:rPr>
      </w:pP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right="220" w:rightChars="100" w:firstLine="436" w:firstLineChars="200"/>
        <w:jc w:val="both"/>
        <w:textAlignment w:val="auto"/>
        <w:rPr>
          <w:color w:val="0000FF"/>
        </w:rPr>
      </w:pPr>
      <w:r>
        <w:rPr>
          <w:color w:val="0000FF"/>
          <w:spacing w:val="-11"/>
        </w:rPr>
        <w:t>评价单位于</w:t>
      </w:r>
      <w:r>
        <w:rPr>
          <w:rFonts w:ascii="Times New Roman" w:eastAsia="Times New Roman"/>
          <w:color w:val="0000FF"/>
        </w:rPr>
        <w:t>20</w:t>
      </w:r>
      <w:r>
        <w:rPr>
          <w:rFonts w:hint="eastAsia" w:ascii="Times New Roman" w:eastAsia="宋体"/>
          <w:color w:val="0000FF"/>
          <w:lang w:val="en-US" w:eastAsia="zh-CN"/>
        </w:rPr>
        <w:t>20</w:t>
      </w:r>
      <w:r>
        <w:rPr>
          <w:color w:val="0000FF"/>
          <w:spacing w:val="-30"/>
        </w:rPr>
        <w:t>年</w:t>
      </w:r>
      <w:r>
        <w:rPr>
          <w:rFonts w:hint="eastAsia"/>
          <w:color w:val="0000FF"/>
          <w:spacing w:val="-30"/>
          <w:lang w:val="en-US" w:eastAsia="zh-CN"/>
        </w:rPr>
        <w:t>1</w:t>
      </w:r>
      <w:r>
        <w:rPr>
          <w:color w:val="0000FF"/>
          <w:spacing w:val="-10"/>
        </w:rPr>
        <w:t>月接受建设单位委托后，及时组织技术人员现场踏勘、</w:t>
      </w:r>
      <w:r>
        <w:rPr>
          <w:color w:val="0000FF"/>
          <w:spacing w:val="-9"/>
        </w:rPr>
        <w:t>收集资料，对周围区域大气、地下水、土壤、声环境等环境质量现状进行调查及</w:t>
      </w:r>
      <w:r>
        <w:rPr>
          <w:color w:val="0000FF"/>
          <w:spacing w:val="-12"/>
        </w:rPr>
        <w:t>监测等工作，进行初步的工程分析。根据现场踏勘、现状调查监测、环境影响预</w:t>
      </w:r>
      <w:r>
        <w:rPr>
          <w:color w:val="0000FF"/>
          <w:spacing w:val="-13"/>
        </w:rPr>
        <w:t>测等结果，确定项目建设对区域环境可能造成不良影响的范围和程度，从而提出</w:t>
      </w:r>
      <w:r>
        <w:rPr>
          <w:color w:val="0000FF"/>
          <w:spacing w:val="-15"/>
        </w:rPr>
        <w:t>避免污染、减少污染的对策措施，在此基础上于</w:t>
      </w:r>
      <w:r>
        <w:rPr>
          <w:rFonts w:ascii="Times New Roman" w:eastAsia="Times New Roman"/>
          <w:color w:val="0000FF"/>
        </w:rPr>
        <w:t>2020</w:t>
      </w:r>
      <w:r>
        <w:rPr>
          <w:color w:val="0000FF"/>
          <w:spacing w:val="-29"/>
        </w:rPr>
        <w:t>年</w:t>
      </w:r>
      <w:r>
        <w:rPr>
          <w:rFonts w:hint="eastAsia" w:ascii="Times New Roman" w:eastAsia="宋体"/>
          <w:color w:val="0000FF"/>
          <w:lang w:val="en-US" w:eastAsia="zh-CN"/>
        </w:rPr>
        <w:t>6</w:t>
      </w:r>
      <w:r>
        <w:rPr>
          <w:color w:val="0000FF"/>
        </w:rPr>
        <w:t>月编制完成《</w:t>
      </w:r>
      <w:r>
        <w:rPr>
          <w:rFonts w:hint="eastAsia"/>
          <w:bCs/>
          <w:color w:val="0000FF"/>
          <w:sz w:val="24"/>
          <w:lang w:eastAsia="zh-CN"/>
        </w:rPr>
        <w:t>莎车县孜热甫夏提良种繁育中心建设项目</w:t>
      </w:r>
      <w:r>
        <w:rPr>
          <w:rFonts w:hint="eastAsia" w:ascii="Times New Roman" w:hAnsi="Times New Roman" w:eastAsia="宋体" w:cs="Times New Roman"/>
          <w:color w:val="0000FF"/>
          <w:sz w:val="24"/>
          <w:lang w:val="en-US" w:eastAsia="zh-CN"/>
        </w:rPr>
        <w:t>环境影响报告书</w:t>
      </w:r>
      <w:r>
        <w:rPr>
          <w:color w:val="0000FF"/>
          <w:spacing w:val="-6"/>
        </w:rPr>
        <w:t>》，现提交环境保护行政主管部门和专家予以审查。</w:t>
      </w:r>
      <w:r>
        <w:rPr>
          <w:color w:val="0000FF"/>
        </w:rPr>
        <w:t>项目环境影响评价工作程序见图</w:t>
      </w:r>
      <w:r>
        <w:rPr>
          <w:rFonts w:ascii="Times New Roman" w:eastAsia="Times New Roman"/>
          <w:color w:val="0000FF"/>
        </w:rPr>
        <w:t>1.3-1</w:t>
      </w:r>
      <w:r>
        <w:rPr>
          <w:color w:val="0000FF"/>
        </w:rPr>
        <w:t>。</w:t>
      </w:r>
    </w:p>
    <w:p>
      <w:pPr>
        <w:spacing w:after="0"/>
        <w:jc w:val="both"/>
        <w:rPr>
          <w:color w:val="0000FF"/>
        </w:rPr>
        <w:sectPr>
          <w:footerReference r:id="rId12"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ind w:left="0"/>
        <w:rPr>
          <w:sz w:val="20"/>
        </w:rPr>
      </w:pPr>
    </w:p>
    <w:p>
      <w:pPr>
        <w:pStyle w:val="7"/>
        <w:ind w:left="0"/>
        <w:rPr>
          <w:sz w:val="20"/>
        </w:rPr>
      </w:pPr>
    </w:p>
    <w:p>
      <w:pPr>
        <w:pStyle w:val="7"/>
        <w:spacing w:before="3"/>
        <w:ind w:left="0"/>
        <w:rPr>
          <w:sz w:val="18"/>
        </w:rPr>
      </w:pPr>
    </w:p>
    <w:p>
      <w:pPr>
        <w:spacing w:before="70"/>
        <w:ind w:left="290" w:right="40" w:firstLine="0"/>
        <w:jc w:val="center"/>
        <w:rPr>
          <w:sz w:val="21"/>
        </w:rPr>
      </w:pPr>
      <w:r>
        <w:rPr>
          <w:sz w:val="21"/>
        </w:rPr>
        <w:t>依据相关规定确定环境影响评价文件类型</w:t>
      </w:r>
    </w:p>
    <w:p>
      <w:pPr>
        <w:pStyle w:val="7"/>
        <w:ind w:left="0"/>
        <w:rPr>
          <w:sz w:val="20"/>
        </w:rPr>
      </w:pPr>
    </w:p>
    <w:p>
      <w:pPr>
        <w:pStyle w:val="7"/>
        <w:ind w:left="0"/>
        <w:rPr>
          <w:sz w:val="20"/>
        </w:rPr>
      </w:pPr>
    </w:p>
    <w:p>
      <w:pPr>
        <w:pStyle w:val="7"/>
        <w:ind w:left="0"/>
        <w:rPr>
          <w:sz w:val="21"/>
        </w:rPr>
      </w:pPr>
    </w:p>
    <w:p>
      <w:pPr>
        <w:tabs>
          <w:tab w:val="left" w:pos="3131"/>
        </w:tabs>
        <w:spacing w:before="72"/>
        <w:ind w:left="842" w:right="0" w:firstLine="0"/>
        <w:jc w:val="left"/>
        <w:rPr>
          <w:sz w:val="21"/>
        </w:rPr>
      </w:pPr>
      <w:r>
        <w:rPr>
          <w:position w:val="2"/>
          <w:sz w:val="21"/>
        </w:rPr>
        <w:t>第</w:t>
      </w:r>
      <w:r>
        <w:rPr>
          <w:position w:val="2"/>
          <w:sz w:val="21"/>
        </w:rPr>
        <w:tab/>
      </w:r>
      <w:r>
        <w:rPr>
          <w:rFonts w:ascii="Times New Roman" w:eastAsia="Times New Roman"/>
          <w:sz w:val="21"/>
        </w:rPr>
        <w:t>1</w:t>
      </w:r>
      <w:r>
        <w:rPr>
          <w:sz w:val="21"/>
        </w:rPr>
        <w:t>研究相关技术文件和其他有关文件</w:t>
      </w:r>
    </w:p>
    <w:p>
      <w:pPr>
        <w:tabs>
          <w:tab w:val="left" w:pos="3148"/>
        </w:tabs>
        <w:spacing w:before="23"/>
        <w:ind w:left="842" w:right="0" w:firstLine="0"/>
        <w:jc w:val="left"/>
        <w:rPr>
          <w:sz w:val="21"/>
        </w:rPr>
      </w:pPr>
      <w:r>
        <w:rPr>
          <w:position w:val="2"/>
          <w:sz w:val="21"/>
        </w:rPr>
        <w:t>一</w:t>
      </w:r>
      <w:r>
        <w:rPr>
          <w:position w:val="2"/>
          <w:sz w:val="21"/>
        </w:rPr>
        <w:tab/>
      </w:r>
      <w:r>
        <w:rPr>
          <w:rFonts w:ascii="Times New Roman" w:eastAsia="Times New Roman"/>
          <w:sz w:val="21"/>
        </w:rPr>
        <w:t>2</w:t>
      </w:r>
      <w:r>
        <w:rPr>
          <w:sz w:val="21"/>
        </w:rPr>
        <w:t>进行初步工程分析</w:t>
      </w:r>
    </w:p>
    <w:p>
      <w:pPr>
        <w:tabs>
          <w:tab w:val="left" w:pos="3148"/>
        </w:tabs>
        <w:spacing w:before="22" w:line="259" w:lineRule="auto"/>
        <w:ind w:left="842" w:right="3757" w:firstLine="0"/>
        <w:jc w:val="left"/>
        <w:rPr>
          <w:sz w:val="21"/>
        </w:rPr>
      </w:pPr>
      <w:r>
        <w:rPr>
          <w:position w:val="2"/>
          <w:sz w:val="21"/>
        </w:rPr>
        <w:t>阶</w:t>
      </w:r>
      <w:r>
        <w:rPr>
          <w:position w:val="2"/>
          <w:sz w:val="21"/>
        </w:rPr>
        <w:tab/>
      </w:r>
      <w:r>
        <w:rPr>
          <w:rFonts w:ascii="Times New Roman" w:eastAsia="Times New Roman"/>
          <w:sz w:val="21"/>
        </w:rPr>
        <w:t>3</w:t>
      </w:r>
      <w:r>
        <w:rPr>
          <w:sz w:val="21"/>
        </w:rPr>
        <w:t>开展初步的环境状况调</w:t>
      </w:r>
      <w:r>
        <w:rPr>
          <w:spacing w:val="-11"/>
          <w:sz w:val="21"/>
        </w:rPr>
        <w:t>查</w:t>
      </w:r>
      <w:r>
        <w:rPr>
          <w:sz w:val="21"/>
        </w:rPr>
        <w:t>段</w:t>
      </w:r>
    </w:p>
    <w:p>
      <w:pPr>
        <w:pStyle w:val="7"/>
        <w:ind w:left="0"/>
        <w:rPr>
          <w:sz w:val="20"/>
        </w:rPr>
      </w:pPr>
    </w:p>
    <w:p>
      <w:pPr>
        <w:pStyle w:val="7"/>
        <w:spacing w:before="12"/>
        <w:ind w:left="0"/>
        <w:rPr>
          <w:sz w:val="18"/>
        </w:rPr>
      </w:pPr>
    </w:p>
    <w:p>
      <w:pPr>
        <w:pStyle w:val="18"/>
        <w:numPr>
          <w:ilvl w:val="2"/>
          <w:numId w:val="1"/>
        </w:numPr>
        <w:tabs>
          <w:tab w:val="left" w:pos="3334"/>
        </w:tabs>
        <w:spacing w:before="0" w:after="0" w:line="240" w:lineRule="auto"/>
        <w:ind w:left="3333" w:right="0" w:hanging="210"/>
        <w:jc w:val="left"/>
        <w:rPr>
          <w:sz w:val="21"/>
        </w:rPr>
      </w:pPr>
      <w:r>
        <w:rPr>
          <w:w w:val="95"/>
          <w:sz w:val="21"/>
        </w:rPr>
        <w:t>环境影响识别和评价因子筛选</w:t>
      </w:r>
    </w:p>
    <w:p>
      <w:pPr>
        <w:pStyle w:val="18"/>
        <w:numPr>
          <w:ilvl w:val="2"/>
          <w:numId w:val="1"/>
        </w:numPr>
        <w:tabs>
          <w:tab w:val="left" w:pos="3334"/>
        </w:tabs>
        <w:spacing w:before="12" w:after="0" w:line="240" w:lineRule="auto"/>
        <w:ind w:left="3333" w:right="0" w:hanging="210"/>
        <w:jc w:val="left"/>
        <w:rPr>
          <w:sz w:val="21"/>
        </w:rPr>
      </w:pPr>
      <w:r>
        <w:rPr>
          <w:w w:val="95"/>
          <w:sz w:val="21"/>
        </w:rPr>
        <w:t>明确评价重点和环境保护目标</w:t>
      </w:r>
    </w:p>
    <w:p>
      <w:pPr>
        <w:pStyle w:val="18"/>
        <w:numPr>
          <w:ilvl w:val="2"/>
          <w:numId w:val="1"/>
        </w:numPr>
        <w:tabs>
          <w:tab w:val="left" w:pos="3334"/>
        </w:tabs>
        <w:spacing w:before="10" w:after="0" w:line="240" w:lineRule="auto"/>
        <w:ind w:left="3333" w:right="0" w:hanging="210"/>
        <w:jc w:val="left"/>
        <w:rPr>
          <w:sz w:val="21"/>
        </w:rPr>
      </w:pPr>
      <w:r>
        <w:rPr>
          <w:sz w:val="21"/>
        </w:rPr>
        <w:t>确定工作等级、评价范围和评价标准</w:t>
      </w:r>
    </w:p>
    <w:p>
      <w:pPr>
        <w:pStyle w:val="7"/>
        <w:ind w:left="0"/>
        <w:rPr>
          <w:sz w:val="20"/>
        </w:rPr>
      </w:pPr>
    </w:p>
    <w:p>
      <w:pPr>
        <w:pStyle w:val="7"/>
        <w:spacing w:before="10"/>
        <w:ind w:left="0"/>
        <w:rPr>
          <w:sz w:val="28"/>
        </w:rPr>
      </w:pPr>
    </w:p>
    <w:p>
      <w:pPr>
        <w:spacing w:before="70"/>
        <w:ind w:left="46" w:right="40" w:firstLine="0"/>
        <w:jc w:val="center"/>
        <w:rPr>
          <w:sz w:val="21"/>
        </w:rPr>
      </w:pPr>
      <w:r>
        <w:rPr>
          <w:sz w:val="21"/>
        </w:rPr>
        <w:t>制定工作方案</w:t>
      </w:r>
    </w:p>
    <w:p>
      <w:pPr>
        <w:pStyle w:val="7"/>
        <w:ind w:left="0"/>
        <w:rPr>
          <w:sz w:val="20"/>
        </w:rPr>
      </w:pPr>
    </w:p>
    <w:p>
      <w:pPr>
        <w:pStyle w:val="7"/>
        <w:ind w:left="0"/>
        <w:rPr>
          <w:sz w:val="20"/>
        </w:rPr>
      </w:pPr>
    </w:p>
    <w:p>
      <w:pPr>
        <w:pStyle w:val="7"/>
        <w:ind w:left="0"/>
        <w:rPr>
          <w:sz w:val="20"/>
        </w:rPr>
      </w:pPr>
    </w:p>
    <w:p>
      <w:pPr>
        <w:pStyle w:val="7"/>
        <w:ind w:left="0"/>
        <w:rPr>
          <w:sz w:val="20"/>
        </w:rPr>
      </w:pPr>
    </w:p>
    <w:p>
      <w:pPr>
        <w:pStyle w:val="7"/>
        <w:spacing w:before="8"/>
        <w:ind w:left="0"/>
        <w:rPr>
          <w:sz w:val="28"/>
        </w:rPr>
      </w:pPr>
    </w:p>
    <w:p>
      <w:pPr>
        <w:spacing w:after="0"/>
        <w:rPr>
          <w:sz w:val="28"/>
        </w:rPr>
        <w:sectPr>
          <w:footerReference r:id="rId13"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spacing w:before="70" w:line="288" w:lineRule="auto"/>
        <w:ind w:left="2844" w:right="38" w:hanging="526"/>
        <w:jc w:val="left"/>
        <w:rPr>
          <w:sz w:val="21"/>
        </w:rPr>
      </w:pPr>
      <w:r>
        <w:rPr>
          <w:sz w:val="21"/>
        </w:rPr>
        <w:t>环境现状调查监测与评价</w:t>
      </w:r>
    </w:p>
    <w:p>
      <w:pPr>
        <w:spacing w:before="0" w:line="195" w:lineRule="exact"/>
        <w:ind w:left="806" w:right="0" w:firstLine="0"/>
        <w:jc w:val="left"/>
        <w:rPr>
          <w:sz w:val="21"/>
        </w:rPr>
      </w:pPr>
      <w:r>
        <w:rPr>
          <w:w w:val="99"/>
          <w:sz w:val="21"/>
        </w:rPr>
        <w:t>第</w:t>
      </w:r>
    </w:p>
    <w:p>
      <w:pPr>
        <w:spacing w:before="43" w:line="278" w:lineRule="auto"/>
        <w:ind w:left="806" w:right="3018" w:firstLine="0"/>
        <w:jc w:val="both"/>
        <w:rPr>
          <w:sz w:val="21"/>
        </w:rPr>
      </w:pPr>
      <w:r>
        <w:rPr>
          <w:sz w:val="21"/>
        </w:rPr>
        <w:t>二阶段</w:t>
      </w:r>
    </w:p>
    <w:p>
      <w:pPr>
        <w:spacing w:before="84" w:line="288" w:lineRule="auto"/>
        <w:ind w:left="806" w:right="2941" w:firstLine="0"/>
        <w:jc w:val="left"/>
        <w:rPr>
          <w:sz w:val="21"/>
        </w:rPr>
      </w:pPr>
      <w:r>
        <w:br w:type="column"/>
      </w:r>
      <w:r>
        <w:rPr>
          <w:sz w:val="21"/>
        </w:rPr>
        <w:t>建设项目工程分析</w:t>
      </w:r>
    </w:p>
    <w:p>
      <w:pPr>
        <w:spacing w:after="0" w:line="288" w:lineRule="auto"/>
        <w:jc w:val="left"/>
        <w:rPr>
          <w:sz w:val="21"/>
        </w:rP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cols w:equalWidth="0" w:num="2">
            <w:col w:w="4037" w:space="802"/>
            <w:col w:w="4591"/>
          </w:cols>
        </w:sectPr>
      </w:pPr>
    </w:p>
    <w:p>
      <w:pPr>
        <w:pStyle w:val="18"/>
        <w:numPr>
          <w:ilvl w:val="3"/>
          <w:numId w:val="1"/>
        </w:numPr>
        <w:tabs>
          <w:tab w:val="left" w:pos="3492"/>
        </w:tabs>
        <w:spacing w:before="67" w:after="0" w:line="240" w:lineRule="auto"/>
        <w:ind w:left="3492" w:right="0" w:hanging="212"/>
        <w:jc w:val="left"/>
        <w:rPr>
          <w:sz w:val="21"/>
        </w:rPr>
      </w:pPr>
      <w:r>
        <w:pict>
          <v:group id="_x0000_s1026" o:spid="_x0000_s1026" o:spt="203" style="position:absolute;left:0pt;margin-left:92.05pt;margin-top:91.3pt;height:627.2pt;width:424.65pt;mso-position-horizontal-relative:page;mso-position-vertical-relative:page;z-index:-271080448;mso-width-relative:page;mso-height-relative:page;" coordorigin="1841,1827" coordsize="8493,12544">
            <o:lock v:ext="edit"/>
            <v:shape id="_x0000_s1027" o:spid="_x0000_s1027" o:spt="75" type="#_x0000_t75" style="position:absolute;left:5978;top:6091;height:374;width:120;" filled="f" stroked="f" coordsize="21600,21600">
              <v:path/>
              <v:fill on="f" focussize="0,0"/>
              <v:stroke on="f"/>
              <v:imagedata r:id="rId35" o:title=""/>
              <o:lock v:ext="edit" aspectratio="t"/>
            </v:shape>
            <v:shape id="_x0000_s1028" o:spid="_x0000_s1028" style="position:absolute;left:3830;top:2086;height:2308;width:4520;" fillcolor="#000000" filled="t" stroked="f" coordorigin="3831,2086" coordsize="4520,2308" path="m8316,3071l8301,3071,8301,3086,8301,4378,3846,4378,3846,3086,8301,3086,8301,3071,6044,3071,6088,2984,6103,2953,6050,2954,6050,2653,6035,2653,6035,2954,5983,2954,6042,3071,3831,3071,3831,4393,8316,4393,8316,4386,8316,4378,8316,3086,8316,3079,8316,3071m8351,2086l8336,2086,8336,2101,8336,2594,3863,2594,3863,2101,8336,2101,8336,2086,3848,2086,3848,2609,8351,2609,8351,2602,8351,2594,8351,2101,8351,2094,8351,2086e">
              <v:path arrowok="t"/>
              <v:fill on="t" focussize="0,0"/>
              <v:stroke on="f"/>
              <v:imagedata o:title=""/>
              <o:lock v:ext="edit"/>
            </v:shape>
            <v:shape id="_x0000_s1029" o:spid="_x0000_s1029" o:spt="75" type="#_x0000_t75" style="position:absolute;left:5978;top:4400;height:374;width:120;" filled="f" stroked="f" coordsize="21600,21600">
              <v:path/>
              <v:fill on="f" focussize="0,0"/>
              <v:stroke on="f"/>
              <v:imagedata r:id="rId36" o:title=""/>
              <o:lock v:ext="edit" aspectratio="t"/>
            </v:shape>
            <v:shape id="_x0000_s1030" o:spid="_x0000_s1030" style="position:absolute;left:3804;top:4782;height:2196;width:4485;" fillcolor="#000000" filled="t" stroked="f" coordorigin="3805,4782" coordsize="4485,2196" path="m6954,6454l6939,6454,6939,6469,6939,6962,5019,6962,5019,6469,6939,6469,6939,6454,5004,6454,5004,6977,6954,6977,6954,6970,6954,6962,6954,6469,6954,6462,6954,6454m8290,4782l8275,4782,8275,4797,8275,6089,3820,6089,3820,4797,8275,4797,8275,4782,3805,4782,3805,6104,8290,6104,8290,6097,8290,6089,8290,4797,8290,4790,8290,4782e">
              <v:path arrowok="t"/>
              <v:fill on="t" focussize="0,0"/>
              <v:stroke on="f"/>
              <v:imagedata o:title=""/>
              <o:lock v:ext="edit"/>
            </v:shape>
            <v:shape id="_x0000_s1031" o:spid="_x0000_s1031" style="position:absolute;left:1841;top:7193;height:16;width:8415;" fillcolor="#000000" filled="t" stroked="f" coordorigin="1841,7193" coordsize="8415,16" path="m1901,7193l1841,7193,1841,7208,1901,7208,1901,7193m2006,7193l1946,7193,1946,7208,2006,7208,2006,7193m2111,7193l2051,7193,2051,7208,2111,7208,2111,7193m2216,7193l2156,7193,2156,7208,2216,7208,2216,7193m2321,7193l2261,7193,2261,7208,2321,7208,2321,7193m2426,7193l2366,7193,2366,7208,2426,7208,2426,7193m2531,7193l2471,7193,2471,7208,2531,7208,2531,7193m2636,7193l2576,7193,2576,7208,2636,7208,2636,7193m2741,7193l2681,7193,2681,7208,2741,7208,2741,7193m2846,7193l2786,7193,2786,7208,2846,7208,2846,7193m2951,7193l2891,7193,2891,7208,2951,7208,2951,7193m3056,7193l2996,7193,2996,7208,3056,7208,3056,7193m3161,7193l3101,7193,3101,7208,3161,7208,3161,7193m3266,7193l3206,7193,3206,7208,3266,7208,3266,7193m3371,7194l3311,7193,3311,7208,3371,7209,3371,7194m3476,7194l3416,7194,3416,7209,3476,7209,3476,7194m3581,7194l3521,7194,3521,7209,3581,7209,3581,7194m3686,7194l3626,7194,3626,7209,3686,7209,3686,7194m3791,7194l3731,7194,3731,7209,3791,7209,3791,7194m3896,7194l3836,7194,3836,7209,3896,7209,3896,7194m4001,7194l3941,7194,3941,7209,4001,7209,4001,7194m4106,7194l4046,7194,4046,7209,4106,7209,4106,7194m4211,7194l4151,7194,4151,7209,4211,7209,4211,7194m4316,7194l4256,7194,4256,7209,4316,7209,4316,7194m4421,7194l4361,7194,4361,7209,4421,7209,4421,7194m4526,7194l4466,7194,4466,7209,4526,7209,4526,7194m4631,7194l4571,7194,4571,7209,4631,7209,4631,7194m4736,7194l4676,7194,4676,7209,4736,7209,4736,7194m4841,7194l4781,7194,4781,7209,4841,7209,4841,7194m4946,7194l4886,7194,4886,7209,4946,7209,4946,7194m5051,7194l4991,7194,4991,7209,5051,7209,5051,7194m5156,7194l5096,7194,5096,7209,5156,7209,5156,7194m5261,7194l5201,7194,5201,7209,5261,7209,5261,7194m5366,7194l5306,7194,5306,7209,5366,7209,5366,7194m5471,7194l5411,7194,5411,7209,5471,7209,5471,7194m5576,7194l5516,7194,5516,7209,5576,7209,5576,7194m5681,7194l5621,7194,5621,7209,5681,7209,5681,7194m5786,7194l5726,7194,5726,7209,5786,7209,5786,7194m5891,7194l5831,7194,5831,7209,5891,7209,5891,7194m5996,7194l5936,7194,5936,7209,5996,7209,5996,7194m6101,7194l6041,7194,6041,7209,6101,7209,6101,7194m6206,7194l6146,7194,6146,7209,6206,7209,6206,7194m6311,7194l6251,7194,6251,7209,6311,7209,6311,7194m6416,7194l6356,7194,6356,7209,6416,7209,6416,7194m6521,7194l6461,7194,6461,7209,6521,7209,6521,7194m6626,7194l6566,7194,6566,7209,6626,7209,6626,7194m6731,7194l6671,7194,6671,7209,6731,7209,6731,7194m6836,7194l6776,7194,6776,7209,6836,7209,6836,7194m6941,7194l6881,7194,6881,7209,6941,7209,6941,7194m7046,7194l6986,7194,6986,7209,7046,7209,7046,7194m7151,7194l7091,7194,7091,7209,7151,7209,7151,7194m7256,7194l7196,7194,7196,7209,7256,7209,7256,7194m7361,7194l7301,7194,7301,7209,7361,7209,7361,7194m7466,7194l7406,7194,7406,7209,7466,7209,7466,7194m7571,7194l7511,7194,7511,7209,7571,7209,7571,7194m7676,7194l7616,7194,7616,7209,7676,7209,7676,7194m7781,7194l7721,7194,7721,7209,7781,7209,7781,7194m7886,7194l7826,7194,7826,7209,7886,7209,7886,7194m7991,7194l7931,7194,7931,7209,7991,7209,7991,7194m8096,7194l8036,7194,8036,7209,8096,7209,8096,7194m8201,7194l8141,7194,8141,7209,8201,7209,8201,7194m8306,7194l8246,7194,8246,7209,8306,7209,8306,7194m8411,7194l8351,7194,8351,7209,8411,7209,8411,7194m8516,7194l8456,7194,8456,7209,8516,7209,8516,7194m8621,7194l8561,7194,8561,7209,8621,7209,8621,7194m8726,7194l8666,7194,8666,7209,8726,7209,8726,7194m8831,7194l8771,7194,8771,7209,8831,7209,8831,7194m8936,7194l8876,7194,8876,7209,8936,7209,8936,7194m9041,7194l8981,7194,8981,7209,9041,7209,9041,7194m9146,7194l9086,7194,9086,7209,9146,7209,9146,7194m9251,7194l9191,7194,9191,7209,9251,7209,9251,7194m9356,7194l9296,7194,9296,7209,9356,7209,9356,7194m9461,7194l9401,7194,9401,7209,9461,7209,9461,7194m9566,7194l9506,7194,9506,7209,9566,7209,9566,7194m9671,7194l9611,7194,9611,7209,9671,7209,9671,7194m9776,7194l9716,7194,9716,7209,9776,7209,9776,7194m9881,7194l9821,7194,9821,7209,9881,7209,9881,7194m9986,7194l9926,7194,9926,7209,9986,7209,9986,7194m10091,7194l10031,7194,10031,7209,10091,7209,10091,7194m10196,7194l10136,7194,10136,7209,10196,7209,10196,7194m10256,7194l10241,7194,10241,7209,10256,7209,10256,7194e">
              <v:path arrowok="t"/>
              <v:fill on="t" focussize="0,0"/>
              <v:stroke on="f"/>
              <v:imagedata o:title=""/>
              <o:lock v:ext="edit"/>
            </v:shape>
            <v:shape id="_x0000_s1032" o:spid="_x0000_s1032" style="position:absolute;left:5936;top:7014;height:562;width:120;" fillcolor="#000000" filled="t" stroked="f" coordorigin="5936,7015" coordsize="120,562" path="m6004,7456l5989,7456,5994,7015,6009,7015,6004,7456xm5995,7576l5936,7455,5989,7456,5989,7486,6004,7486,6041,7486,5995,7576xm6004,7486l5989,7486,5989,7456,6004,7456,6004,7486xm6041,7486l6004,7486,6004,7456,6056,7457,6041,7486xe">
              <v:path arrowok="t"/>
              <v:fill on="t" focussize="0,0"/>
              <v:stroke on="f"/>
              <v:imagedata o:title=""/>
              <o:lock v:ext="edit"/>
            </v:shape>
            <v:line id="_x0000_s1033" o:spid="_x0000_s1033" o:spt="20" style="position:absolute;left:4406;top:7557;height:514;width:0;" stroked="t" coordsize="21600,21600">
              <v:path arrowok="t"/>
              <v:fill focussize="0,0"/>
              <v:stroke weight="0.8pt" color="#000000"/>
              <v:imagedata o:title=""/>
              <o:lock v:ext="edit"/>
            </v:line>
            <v:line id="_x0000_s1034" o:spid="_x0000_s1034" o:spt="20" style="position:absolute;left:7333;top:7575;height:515;width:0;" stroked="t" coordsize="21600,21600">
              <v:path arrowok="t"/>
              <v:fill focussize="0,0"/>
              <v:stroke weight="0.8pt" color="#000000"/>
              <v:imagedata o:title=""/>
              <o:lock v:ext="edit"/>
            </v:line>
            <v:line id="_x0000_s1035" o:spid="_x0000_s1035" o:spt="20" style="position:absolute;left:4391;top:7574;height:0;width:2940;" stroked="t" coordsize="21600,21600">
              <v:path arrowok="t"/>
              <v:fill focussize="0,0"/>
              <v:stroke weight="0.8pt" color="#000000"/>
              <v:imagedata o:title=""/>
              <o:lock v:ext="edit"/>
            </v:line>
            <v:line id="_x0000_s1036" o:spid="_x0000_s1036" o:spt="20" style="position:absolute;left:4420;top:9005;height:431;width:0;" stroked="t" coordsize="21600,21600">
              <v:path arrowok="t"/>
              <v:fill focussize="0,0"/>
              <v:stroke weight="0.8pt" color="#000000"/>
              <v:imagedata o:title=""/>
              <o:lock v:ext="edit"/>
            </v:line>
            <v:shape id="_x0000_s1037" o:spid="_x0000_s1037" style="position:absolute;left:3390;top:8067;height:944;width:2057;" fillcolor="#000000" filled="t" stroked="f" coordorigin="3391,8067" coordsize="2057,944" path="m5448,9011l3391,9011,3391,8067,5448,8067,5448,8075,3406,8075,3398,8082,3406,8082,3406,8996,3398,8996,3406,9004,5448,9004,5448,9011xm3406,8082l3398,8082,3406,8075,3406,8082xm5433,8082l3406,8082,3406,8075,5433,8075,5433,8082xm5433,9004l5433,8075,5440,8082,5448,8082,5448,8996,5440,8996,5433,9004xm5448,8082l5440,8082,5433,8075,5448,8075,5448,8082xm3406,9004l3398,8996,3406,8996,3406,9004xm5433,9004l3406,9004,3406,8996,5433,8996,5433,9004xm5448,9004l5433,9004,5440,8996,5448,8996,5448,9004xe">
              <v:path arrowok="t"/>
              <v:fill on="t" focussize="0,0"/>
              <v:stroke on="f"/>
              <v:imagedata o:title=""/>
              <o:lock v:ext="edit"/>
            </v:shape>
            <v:line id="_x0000_s1038" o:spid="_x0000_s1038" o:spt="20" style="position:absolute;left:7361;top:9031;height:431;width:0;" stroked="t" coordsize="21600,21600">
              <v:path arrowok="t"/>
              <v:fill focussize="0,0"/>
              <v:stroke weight="0.8pt" color="#000000"/>
              <v:imagedata o:title=""/>
              <o:lock v:ext="edit"/>
            </v:line>
            <v:shape id="_x0000_s1039" o:spid="_x0000_s1039" style="position:absolute;left:5913;top:8081;height:1829;width:2077;" fillcolor="#000000" filled="t" stroked="f" coordorigin="5914,8082" coordsize="2077,1829" path="m6034,9791l5981,9791,5981,9430,5966,9430,5966,9791,5914,9791,5974,9911,6019,9821,6034,9791m7991,8082l7976,8082,7976,8097,7976,9024,6676,9024,6676,8097,7976,8097,7976,8082,6661,8082,6661,9039,7991,9039,7991,9031,7991,9024,7991,8097,7991,8089,7991,8082e">
              <v:path arrowok="t"/>
              <v:fill on="t" focussize="0,0"/>
              <v:stroke on="f"/>
              <v:imagedata o:title=""/>
              <o:lock v:ext="edit"/>
            </v:shape>
            <v:line id="_x0000_s1040" o:spid="_x0000_s1040" o:spt="20" style="position:absolute;left:4403;top:9431;height:0;width:2940;" stroked="t" coordsize="21600,21600">
              <v:path arrowok="t"/>
              <v:fill focussize="0,0"/>
              <v:stroke weight="0.8pt" color="#000000"/>
              <v:imagedata o:title=""/>
              <o:lock v:ext="edit"/>
            </v:line>
            <v:shape id="_x0000_s1041" o:spid="_x0000_s1041" style="position:absolute;left:1858;top:1826;height:12544;width:8476;" fillcolor="#000000" filled="t" stroked="f" coordorigin="1859,1826" coordsize="8476,12544" path="m1874,14209l1859,14209,1859,14269,1874,14269,1874,14209m1874,14104l1859,14104,1859,14164,1874,14164,1874,14104m1874,13999l1859,13999,1859,14059,1874,14059,1874,13999m1874,13894l1859,13894,1859,13954,1874,13954,1874,13894m1874,13789l1859,13789,1859,13849,1874,13849,1874,13789m1874,13684l1859,13684,1859,13744,1874,13744,1874,13684m1874,13579l1859,13579,1859,13639,1874,13639,1874,13579m1874,13474l1859,13474,1859,13534,1874,13534,1874,13474m1874,13369l1859,13369,1859,13429,1874,13429,1874,13369m1874,13264l1859,13264,1859,13324,1874,13324,1874,13264m1874,13159l1859,13159,1859,13219,1874,13219,1874,13159m1874,13054l1859,13054,1859,13114,1874,13114,1874,13054m1874,12949l1859,12949,1859,13009,1874,13009,1874,12949m1874,12844l1859,12844,1859,12904,1874,12904,1874,12844m1874,12739l1859,12739,1859,12799,1874,12799,1874,12739m1874,12634l1859,12634,1859,12694,1874,12694,1874,12634m1874,12529l1859,12529,1859,12589,1874,12589,1874,12529m1874,12424l1859,12424,1859,12484,1874,12484,1874,12424m1874,12319l1859,12319,1859,12379,1874,12379,1874,12319m1874,12214l1859,12214,1859,12274,1874,12274,1874,12214m1874,12109l1859,12109,1859,12169,1874,12169,1874,12109m1874,12004l1859,12004,1859,12064,1874,12064,1874,12004m1874,11899l1859,11899,1859,11959,1874,11959,1874,11899m1874,11794l1859,11794,1859,11854,1874,11854,1874,11794m1874,11689l1859,11689,1859,11749,1874,11749,1874,11689m1874,11584l1859,11584,1859,11644,1874,11644,1874,11584m1874,11479l1859,11479,1859,11539,1874,11539,1874,11479m1874,11374l1859,11374,1859,11434,1874,11434,1874,11374m1874,11269l1859,11269,1859,11329,1874,11329,1874,11269m1874,11164l1859,11164,1859,11224,1874,11224,1874,11164m1874,11059l1859,11059,1859,11119,1874,11119,1874,11059m1874,10954l1859,10954,1859,11014,1874,11014,1874,10954m1874,10849l1859,10849,1859,10909,1874,10909,1874,10849m1874,10744l1859,10744,1859,10804,1874,10804,1874,10744m1874,10639l1859,10639,1859,10699,1874,10699,1874,10639m1874,10534l1859,10534,1859,10594,1874,10594,1874,10534m1874,10429l1859,10429,1859,10489,1874,10489,1874,10429m1874,10324l1859,10324,1859,10384,1874,10384,1874,10324m1874,10219l1859,10219,1859,10279,1874,10279,1874,10219m1874,10114l1859,10114,1859,10174,1874,10174,1874,10114m1874,10009l1859,10009,1859,10069,1874,10069,1874,10009m1874,9904l1859,9904,1859,9964,1874,9964,1874,9904m1874,9799l1859,9799,1859,9859,1874,9859,1874,9799m1874,9694l1859,9694,1859,9754,1874,9754,1874,9694m1874,9589l1859,9589,1859,9649,1874,9649,1874,9589m1874,9484l1859,9484,1859,9544,1874,9544,1874,9484m1874,9379l1859,9379,1859,9439,1874,9439,1874,9379m1874,9274l1859,9274,1859,9334,1874,9334,1874,9274m1874,9169l1859,9169,1859,9229,1874,9229,1874,9169m1874,9064l1859,9064,1859,9124,1874,9124,1874,9064m1874,8959l1859,8959,1859,9019,1874,9019,1874,8959m1874,8854l1859,8854,1859,8914,1874,8914,1874,8854m1874,8749l1859,8749,1859,8809,1874,8809,1874,8749m1874,8644l1859,8644,1859,8704,1874,8704,1874,8644m1874,8539l1859,8539,1859,8599,1874,8599,1874,8539m1874,8434l1859,8434,1859,8494,1874,8494,1874,8434m1874,8329l1859,8329,1859,8389,1874,8389,1874,8329m1874,8224l1859,8224,1859,8284,1874,8284,1874,8224m1874,8119l1859,8119,1859,8179,1874,8179,1874,8119m1874,8014l1859,8014,1859,8074,1874,8074,1874,8014m1874,7909l1859,7909,1859,7969,1874,7969,1874,7909m1874,7804l1859,7804,1859,7864,1874,7864,1874,7804m1874,7699l1859,7699,1859,7759,1874,7759,1874,7699m1874,7594l1859,7594,1859,7654,1874,7654,1874,7594m1874,7489l1859,7489,1859,7549,1874,7549,1874,7489m1874,7384l1859,7384,1859,7444,1874,7444,1874,7384m1874,7279l1859,7279,1859,7339,1874,7339,1874,7279m1874,7174l1859,7174,1859,7234,1874,7234,1874,7174m1874,7069l1859,7069,1859,7129,1874,7129,1874,7069m1874,6964l1859,6964,1859,7024,1874,7024,1874,6964m1874,6859l1859,6859,1859,6919,1874,6919,1874,6859m1874,6754l1859,6754,1859,6814,1874,6814,1874,6754m1874,6649l1859,6649,1859,6709,1874,6709,1874,6649m1874,6544l1859,6544,1859,6604,1874,6604,1874,6544m1874,6439l1859,6439,1859,6499,1874,6499,1874,6439m1874,6334l1859,6334,1859,6394,1874,6394,1874,6334m1874,6229l1859,6229,1859,6289,1874,6289,1874,6229m1874,6124l1859,6124,1859,6184,1874,6184,1874,6124m1874,6019l1859,6019,1859,6079,1874,6079,1874,6019m1874,5914l1859,5914,1859,5974,1874,5974,1874,5914m1874,5809l1859,5809,1859,5869,1874,5869,1874,5809m1874,5704l1859,5704,1859,5764,1874,5764,1874,5704m1874,5599l1859,5599,1859,5659,1874,5659,1874,5599m1874,5494l1859,5494,1859,5554,1874,5554,1874,5494m1874,5389l1859,5389,1859,5449,1874,5449,1874,5389m1874,5284l1859,5284,1859,5344,1874,5344,1874,5284m1874,5179l1859,5179,1859,5239,1874,5239,1874,5179m1874,5074l1859,5074,1859,5134,1874,5134,1874,5074m1874,4969l1859,4969,1859,5029,1874,5029,1874,4969m1874,4864l1859,4864,1859,4924,1874,4924,1874,4864m1874,4759l1859,4759,1859,4819,1874,4819,1874,4759m1874,4654l1859,4654,1859,4714,1874,4714,1874,4654m1874,4549l1859,4549,1859,4609,1874,4609,1874,4549m1874,4444l1859,4444,1859,4504,1874,4504,1874,4444m1874,4339l1859,4339,1859,4399,1874,4399,1874,4339m1874,4234l1859,4234,1859,4294,1874,4294,1874,4234m1874,4129l1859,4129,1859,4189,1874,4189,1874,4129m1874,4024l1859,4024,1859,4084,1874,4084,1874,4024m1874,3919l1859,3919,1859,3979,1874,3979,1874,3919m1874,3814l1859,3814,1859,3874,1874,3874,1874,3814m1874,3709l1859,3709,1859,3769,1874,3769,1874,3709m1874,3604l1859,3604,1859,3664,1874,3664,1874,3604m1874,3499l1859,3499,1859,3559,1874,3559,1874,3499m1874,3394l1859,3394,1859,3454,1874,3454,1874,3394m1874,3289l1859,3289,1859,3349,1874,3349,1874,3289m1874,3184l1859,3184,1859,3244,1874,3244,1874,3184m1874,3079l1859,3079,1859,3139,1874,3139,1874,3079m1874,2974l1859,2974,1859,3034,1874,3034,1874,2974m1874,2869l1859,2869,1859,2929,1874,2929,1874,2869m1874,2764l1859,2764,1859,2824,1874,2824,1874,2764m1874,2659l1859,2659,1859,2719,1874,2719,1874,2659m1874,2554l1859,2554,1859,2614,1874,2614,1874,2554m1874,2449l1859,2449,1859,2509,1874,2509,1874,2449m1874,2344l1859,2344,1859,2404,1874,2404,1874,2344m1874,2239l1859,2239,1859,2299,1874,2299,1874,2239m1874,2134l1859,2134,1859,2194,1874,2194,1874,2134m1874,2029l1859,2029,1859,2089,1874,2089,1874,2029m1874,1924l1859,1924,1859,1984,1874,1984,1874,1924m1877,14356l1874,14356,1874,14314,1859,14314,1859,14371,1877,14371,1877,14363,1877,14356m1881,1826l1859,1826,1859,1879,1874,1879,1874,1841,1881,1841,1881,1834,1881,1826m1979,11192l1919,11192,1919,11207,1979,11207,1979,11192m1982,14356l1922,14356,1922,14371,1982,14371,1982,14356m1986,1826l1926,1826,1926,1841,1986,1841,1986,1826m2084,11192l2024,11192,2024,11207,2084,11207,2084,11192m2087,14356l2027,14356,2027,14371,2087,14371,2087,14356m2091,1826l2031,1826,2031,1841,2091,1841,2091,1826m2189,11192l2129,11192,2129,11207,2189,11207,2189,11192m2192,14356l2132,14356,2132,14371,2192,14371,2192,14356m2196,1826l2136,1826,2136,1841,2196,1841,2196,1826m2294,11192l2234,11192,2234,11207,2294,11207,2294,11192m2297,14356l2237,14356,2237,14371,2297,14371,2297,14356m2301,1826l2241,1826,2241,1841,2301,1841,2301,1826m2399,11192l2339,11192,2339,11207,2399,11207,2399,11192m2402,14356l2342,14356,2342,14371,2402,14371,2402,14356m2406,1826l2346,1826,2346,1841,2406,1841,2406,1826m2504,11192l2444,11192,2444,11207,2504,11207,2504,11192m2507,14356l2447,14356,2447,14371,2507,14371,2507,14356m2511,1826l2451,1826,2451,1841,2511,1841,2511,1826m2609,11192l2549,11192,2549,11207,2609,11207,2609,11192m2612,14356l2552,14356,2552,14371,2612,14371,2612,14356m2616,1826l2556,1826,2556,1841,2616,1841,2616,1826m2714,11192l2654,11192,2654,11207,2714,11207,2714,11192m2717,14356l2657,14356,2657,14371,2717,14371,2717,14356m2721,1826l2661,1826,2661,1841,2721,1841,2721,1826m2819,11192l2759,11192,2759,11207,2819,11207,2819,11192m2822,14356l2762,14356,2762,14371,2822,14371,2822,14356m2826,1826l2766,1826,2766,1841,2826,1841,2826,1826m2924,11192l2864,11192,2864,11207,2924,11207,2924,11192m2927,14356l2867,14356,2867,14371,2927,14371,2927,14356m2931,1826l2871,1826,2871,1841,2931,1841,2931,1826m3029,11192l2969,11192,2969,11207,3029,11207,3029,11192m3032,14356l2972,14356,2972,14371,3032,14371,3032,14356m3036,1826l2976,1826,2976,1841,3036,1841,3036,1826m3134,11192l3074,11192,3074,11207,3134,11207,3134,11192m3137,14356l3077,14356,3077,14371,3137,14371,3137,14356m3141,1826l3081,1826,3081,1841,3141,1841,3141,1826m3239,11192l3179,11192,3179,11207,3239,11207,3239,11192m3242,14356l3182,14356,3182,14371,3242,14371,3242,14356m3246,1826l3186,1826,3186,1841,3246,1841,3246,1826m3344,11192l3284,11192,3284,11207,3344,11207,3344,11192m3347,14356l3287,14356,3287,14371,3347,14371,3347,14356m3351,1826l3291,1826,3291,1841,3351,1841,3351,1826m3449,11192l3389,11192,3389,11207,3449,11207,3449,11192m3452,14356l3392,14356,3392,14371,3452,14371,3452,14356m3456,1826l3396,1826,3396,1841,3456,1841,3456,1826m3554,11192l3494,11192,3494,11207,3554,11207,3554,11192m3557,14356l3497,14356,3497,14371,3557,14371,3557,14356m3561,1826l3501,1826,3501,1841,3561,1841,3561,1826m3659,11192l3599,11192,3599,11207,3659,11207,3659,11192m3662,14356l3602,14356,3602,14371,3662,14371,3662,14356m3666,1826l3606,1826,3606,1841,3666,1841,3666,1826m3764,11192l3704,11192,3704,11207,3764,11207,3764,11192m3767,14356l3707,14356,3707,14371,3767,14371,3767,14356m3771,1826l3711,1826,3711,1841,3771,1841,3771,1826m3869,11192l3809,11192,3809,11207,3869,11207,3869,11192m3872,14356l3812,14356,3812,14371,3872,14371,3872,14356m3876,1826l3816,1826,3816,1841,3876,1841,3876,1826m3974,11192l3914,11192,3914,11207,3974,11207,3974,11192m3977,14356l3917,14356,3917,14371,3977,14371,3977,14356m3981,1826l3921,1826,3921,1841,3981,1841,3981,1826m4079,11192l4019,11192,4019,11207,4079,11207,4079,11192m4082,14356l4022,14356,4022,14371,4082,14371,4082,14356m4086,1826l4026,1826,4026,1841,4086,1841,4086,1826m4184,11192l4124,11192,4124,11207,4184,11207,4184,11192m4187,14356l4127,14356,4127,14371,4187,14371,4187,14356m4191,1826l4131,1826,4131,1841,4191,1841,4191,1826m4289,11192l4229,11192,4229,11207,4289,11207,4289,11192m4292,14356l4232,14356,4232,14371,4292,14371,4292,14356m4296,1826l4236,1826,4236,1841,4296,1841,4296,1826m4394,11192l4334,11192,4334,11207,4394,11207,4394,11192m4397,14356l4337,14356,4337,14371,4397,14371,4397,14356m4401,1826l4341,1826,4341,1841,4401,1841,4401,1826m4499,11192l4439,11192,4439,11207,4499,11207,4499,11192m4502,14356l4442,14356,4442,14371,4502,14371,4502,14356m4506,1826l4446,1826,4446,1841,4506,1841,4506,1826m4604,11192l4544,11192,4544,11207,4604,11207,4604,11192m4607,14356l4547,14356,4547,14371,4607,14371,4607,14356m4611,1826l4551,1826,4551,1841,4611,1841,4611,1826m4709,11193l4649,11192,4649,11207,4709,11208,4709,11193m4712,14356l4652,14356,4652,14371,4712,14371,4712,14356m4716,1826l4656,1826,4656,1841,4716,1841,4716,1826m4814,11193l4754,11193,4754,11208,4814,11208,4814,11193m4817,14356l4757,14356,4757,14371,4817,14371,4817,14356m4821,1826l4761,1826,4761,1841,4821,1841,4821,1826m4919,11193l4859,11193,4859,11208,4919,11208,4919,11193m4922,14356l4862,14356,4862,14371,4922,14371,4922,14356m4926,1826l4866,1826,4866,1841,4926,1841,4926,1826m5024,11193l4964,11193,4964,11208,5024,11208,5024,11193m5027,14356l4967,14356,4967,14371,5027,14371,5027,14356m5031,1826l4971,1826,4971,1841,5031,1841,5031,1826m5129,11193l5069,11193,5069,11208,5129,11208,5129,11193m5132,14356l5072,14356,5072,14371,5132,14371,5132,14356m5136,1826l5076,1826,5076,1841,5136,1841,5136,1826m5234,11193l5174,11193,5174,11208,5234,11208,5234,11193m5237,14356l5177,14356,5177,14371,5237,14371,5237,14356m5241,1826l5181,1826,5181,1841,5241,1841,5241,1826m5339,11193l5279,11193,5279,11208,5339,11208,5339,11193m5342,14356l5282,14356,5282,14371,5342,14371,5342,14356m5346,1826l5286,1826,5286,1841,5346,1841,5346,1826m5444,11193l5384,11193,5384,11208,5444,11208,5444,11193m5447,14356l5387,14356,5387,14371,5447,14371,5447,14356m5451,1826l5391,1826,5391,1841,5451,1841,5451,1826m5549,11193l5489,11193,5489,11208,5549,11208,5549,11193m5552,14356l5492,14356,5492,14371,5552,14371,5552,14356m5556,1826l5496,1826,5496,1841,5556,1841,5556,1826m5654,11193l5594,11193,5594,11208,5654,11208,5654,11193m5657,14356l5597,14356,5597,14371,5657,14371,5657,14356m5661,1826l5601,1826,5601,1841,5661,1841,5661,1826m5759,11193l5699,11193,5699,11208,5759,11208,5759,11193m5762,14356l5702,14356,5702,14371,5762,14371,5762,14356m5766,1826l5706,1826,5706,1841,5766,1841,5766,1826m5864,11193l5804,11193,5804,11208,5864,11208,5864,11193m5867,14356l5807,14356,5807,14371,5867,14371,5867,14356m5871,1826l5811,1826,5811,1841,5871,1841,5871,1826m5972,14356l5912,14356,5912,14371,5972,14371,5972,14356m5976,1826l5916,1826,5916,1841,5976,1841,5976,1826m6074,11193l6014,11193,6014,11208,6074,11208,6074,11193m6077,14356l6017,14356,6017,14371,6077,14371,6077,14356m6081,1826l6021,1826,6021,1841,6081,1841,6081,1826m6179,11193l6119,11193,6119,11208,6179,11208,6179,11193m6182,14356l6122,14356,6122,14371,6182,14371,6182,14356m6186,1826l6126,1826,6126,1841,6186,1841,6186,1826m6284,11193l6224,11193,6224,11208,6284,11208,6284,11193m6287,14356l6227,14356,6227,14371,6287,14371,6287,14356m6291,1826l6231,1826,6231,1841,6291,1841,6291,1826m6389,11193l6329,11193,6329,11208,6389,11208,6389,11193m6392,14356l6332,14356,6332,14371,6392,14371,6392,14356m6396,1826l6336,1826,6336,1841,6396,1841,6396,1826m6494,11193l6434,11193,6434,11208,6494,11208,6494,11193m6497,14356l6437,14356,6437,14371,6497,14371,6497,14356m6501,1826l6441,1826,6441,1841,6501,1841,6501,1826m6599,11193l6539,11193,6539,11208,6599,11208,6599,11193m6602,14356l6542,14356,6542,14371,6602,14371,6602,14356m6606,1826l6546,1826,6546,1841,6606,1841,6606,1826m6704,11193l6644,11193,6644,11208,6704,11208,6704,11193m6707,14356l6647,14356,6647,14371,6707,14371,6707,14356m6711,1826l6651,1826,6651,1841,6711,1841,6711,1826m6809,11193l6749,11193,6749,11208,6809,11208,6809,11193m6812,14356l6752,14356,6752,14371,6812,14371,6812,14356m6816,1826l6756,1826,6756,1841,6816,1841,6816,1826m6914,11193l6854,11193,6854,11208,6914,11208,6914,11193m6917,14356l6857,14356,6857,14371,6917,14371,6917,14356m6921,1826l6861,1826,6861,1841,6921,1841,6921,1826m7019,11193l6959,11193,6959,11208,7019,11208,7019,11193m7022,14356l6962,14356,6962,14371,7022,14371,7022,14356m7026,1826l6966,1826,6966,1841,7026,1841,7026,1826m7124,11193l7064,11193,7064,11208,7124,11208,7124,11193m7127,14356l7067,14356,7067,14371,7127,14371,7127,14356m7131,1826l7071,1826,7071,1841,7131,1841,7131,1826m7229,11193l7169,11193,7169,11208,7229,11208,7229,11193m7232,14356l7172,14356,7172,14371,7232,14371,7232,14356m7236,1826l7176,1826,7176,1841,7236,1841,7236,1826m7334,11193l7274,11193,7274,11208,7334,11208,7334,11193m7337,14356l7277,14356,7277,14371,7337,14371,7337,14356m7341,1826l7281,1826,7281,1841,7341,1841,7341,1826m7360,13467l7345,13467,7345,13482,7345,13966,4451,13966,4451,13482,7345,13482,7345,13467,5941,13467,5979,13391,5994,13361,5941,13361,5941,13043,5926,13043,5926,13361,5874,13361,5927,13467,4436,13467,4436,13981,7360,13981,7360,13973,7360,13966,7360,13482,7360,13474,7360,13467m7439,11193l7379,11193,7379,11208,7439,11208,7439,11193m7442,14356l7382,14356,7382,14371,7442,14371,7442,14356m7446,1826l7386,1826,7386,1841,7446,1841,7446,1826m7544,11193l7484,11193,7484,11208,7544,11208,7544,11193m7547,14356l7487,14356,7487,14371,7547,14371,7547,14356m7551,1826l7491,1826,7491,1841,7551,1841,7551,1826m7649,11193l7589,11193,7589,11208,7649,11208,7649,11193m7652,14356l7592,14356,7592,14371,7652,14371,7652,14356m7656,1826l7596,1826,7596,1841,7656,1841,7656,1826m7754,11193l7694,11193,7694,11208,7754,11208,7754,11193m7757,14356l7697,14356,7697,14371,7757,14371,7757,14356m7761,1826l7701,1826,7701,1841,7761,1841,7761,1826m7859,11193l7799,11193,7799,11208,7859,11208,7859,11193m7862,14356l7802,14356,7802,14371,7862,14371,7862,14356m7863,9892l7848,9892,7848,9907,7848,10972,3978,10972,3978,9907,7848,9907,7848,9892,3963,9892,3963,10987,7863,10987,7863,10979,7863,10972,7863,9907,7863,9899,7863,9892m7866,1826l7806,1826,7806,1841,7866,1841,7866,1826m7964,11193l7904,11193,7904,11208,7964,11208,7964,11193m7967,14356l7907,14356,7907,14371,7967,14371,7967,14356m7971,1826l7911,1826,7911,1841,7971,1841,7971,1826m8013,11453l7998,11453,7998,11468,7998,13015,3843,13015,3843,11468,5922,11468,5935,11495,5948,11468,7998,11468,7998,11453,5956,11453,5980,11405,5995,11375,5942,11375,5942,11208,5969,11208,5969,11193,5942,11193,5942,11014,5927,11014,5927,11193,5909,11193,5909,11208,5927,11208,5927,11375,5875,11375,5914,11453,3828,11453,3828,13030,8013,13030,8013,13022,8013,13015,8013,11468,8013,11460,8013,11453m8069,11193l8009,11193,8009,11208,8069,11208,8069,11193m8072,14356l8012,14356,8012,14371,8072,14371,8072,14356m8076,1826l8016,1826,8016,1841,8076,1841,8076,1826m8174,11193l8114,11193,8114,11208,8174,11208,8174,11193m8177,14356l8117,14356,8117,14371,8177,14371,8177,14356m8181,1826l8121,1826,8121,1841,8181,1841,8181,1826m8279,11193l8219,11193,8219,11208,8279,11208,8279,11193m8282,14356l8222,14356,8222,14371,8282,14371,8282,14356m8286,1826l8226,1826,8226,1841,8286,1841,8286,1826m8384,11193l8324,11193,8324,11208,8384,11208,8384,11193m8387,14356l8327,14356,8327,14371,8387,14371,8387,14356m8391,1826l8331,1826,8331,1841,8391,1841,8391,1826m8489,11193l8429,11193,8429,11208,8489,11208,8489,11193m8492,14356l8432,14356,8432,14371,8492,14371,8492,14356m8496,1826l8436,1826,8436,1841,8496,1841,8496,1826m8594,11193l8534,11193,8534,11208,8594,11208,8594,11193m8597,14356l8537,14356,8537,14371,8597,14371,8597,14356m8601,1826l8541,1826,8541,1841,8601,1841,8601,1826m8699,11193l8639,11193,8639,11208,8699,11208,8699,11193m8702,14356l8642,14356,8642,14371,8702,14371,8702,14356m8706,1826l8646,1826,8646,1841,8706,1841,8706,1826m8804,11193l8744,11193,8744,11208,8804,11208,8804,11193m8807,14356l8747,14356,8747,14371,8807,14371,8807,14356m8811,1826l8751,1826,8751,1841,8811,1841,8811,1826m8909,11193l8849,11193,8849,11208,8909,11208,8909,11193m8912,14356l8852,14356,8852,14371,8912,14371,8912,14356m8916,1826l8856,1826,8856,1841,8916,1841,8916,1826m9014,11193l8954,11193,8954,11208,9014,11208,9014,11193m9017,14356l8957,14356,8957,14371,9017,14371,9017,14356m9021,1826l8961,1826,8961,1841,9021,1841,9021,1826m9119,11193l9059,11193,9059,11208,9119,11208,9119,11193m9122,14356l9062,14356,9062,14371,9122,14371,9122,14356m9126,1826l9066,1826,9066,1841,9126,1841,9126,1826m9224,11193l9164,11193,9164,11208,9224,11208,9224,11193m9227,14356l9167,14356,9167,14371,9227,14371,9227,14356m9231,1826l9171,1826,9171,1841,9231,1841,9231,1826m9329,11193l9269,11193,9269,11208,9329,11208,9329,11193m9332,14356l9272,14356,9272,14371,9332,14371,9332,14356m9336,1826l9276,1826,9276,1841,9336,1841,9336,1826m9434,11193l9374,11193,9374,11208,9434,11208,9434,11193m9437,14356l9377,14356,9377,14371,9437,14371,9437,14356m9441,1826l9381,1826,9381,1841,9441,1841,9441,1826m9539,11193l9479,11193,9479,11208,9539,11208,9539,11193m9542,14356l9482,14356,9482,14371,9542,14371,9542,14356m9546,1826l9486,1826,9486,1841,9546,1841,9546,1826m9644,11193l9584,11193,9584,11208,9644,11208,9644,11193m9647,14356l9587,14356,9587,14371,9647,14371,9647,14356m9651,1826l9591,1826,9591,1841,9651,1841,9651,1826m9749,11193l9689,11193,9689,11208,9749,11208,9749,11193m9752,14356l9692,14356,9692,14371,9752,14371,9752,14356m9756,1826l9696,1826,9696,1841,9756,1841,9756,1826m9854,11193l9794,11193,9794,11208,9854,11208,9854,11193m9857,14356l9797,14356,9797,14371,9857,14371,9857,14356m9861,1826l9801,1826,9801,1841,9861,1841,9861,1826m9959,11193l9899,11193,9899,11208,9959,11208,9959,11193m9962,14356l9902,14356,9902,14371,9962,14371,9962,14356m9966,1826l9906,1826,9906,1841,9966,1841,9966,1826m10064,11193l10004,11193,10004,11208,10064,11208,10064,11193m10067,14356l10007,14356,10007,14371,10067,14371,10067,14356m10071,1826l10011,1826,10011,1841,10071,1841,10071,1826m10169,11193l10109,11193,10109,11208,10169,11208,10169,11193m10172,14356l10112,14356,10112,14371,10172,14371,10172,14356m10176,1826l10116,1826,10116,1841,10176,1841,10176,1826m10274,11193l10214,11193,10214,11208,10274,11208,10274,11193m10277,14356l10217,14356,10217,14371,10277,14371,10277,14356m10281,1826l10221,1826,10221,1841,10281,1841,10281,1826m10288,14262l10273,14262,10273,14322,10288,14322,10288,14262m10288,14157l10273,14157,10273,14217,10288,14217,10288,14157m10288,14052l10273,14052,10273,14112,10288,14112,10288,14052m10288,13947l10273,13947,10273,14007,10288,14007,10288,13947m10288,13842l10273,13842,10273,13902,10288,13902,10288,13842m10288,13737l10273,13737,10273,13797,10288,13797,10288,13737m10288,13632l10273,13632,10273,13692,10288,13692,10288,13632m10288,13527l10273,13527,10273,13587,10288,13587,10288,13527m10288,13422l10273,13422,10273,13482,10288,13482,10288,13422m10288,13317l10273,13317,10273,13377,10288,13377,10288,13317m10288,13212l10273,13212,10273,13272,10288,13272,10288,13212m10288,13107l10273,13107,10273,13167,10288,13167,10288,13107m10288,13002l10273,13002,10273,13062,10288,13062,10288,13002m10288,12897l10273,12897,10273,12957,10288,12957,10288,12897m10288,12792l10273,12792,10273,12852,10288,12852,10288,12792m10288,12687l10273,12687,10273,12747,10288,12747,10288,12687m10288,12582l10273,12582,10273,12642,10288,12642,10288,12582m10288,12477l10273,12477,10273,12537,10288,12537,10288,12477m10288,12372l10273,12372,10273,12432,10288,12432,10288,12372m10288,12267l10273,12267,10273,12327,10288,12327,10288,12267m10288,12162l10273,12162,10273,12222,10288,12222,10288,12162m10288,12057l10273,12057,10273,12117,10288,12117,10288,12057m10288,11952l10273,11952,10273,12012,10288,12012,10288,11952m10288,11847l10273,11847,10273,11907,10288,11907,10288,11847m10288,11742l10273,11742,10273,11802,10288,11802,10288,11742m10288,11637l10273,11637,10273,11697,10288,11697,10288,11637m10288,11532l10273,11532,10273,11592,10288,11592,10288,11532m10288,11427l10273,11427,10273,11487,10288,11487,10288,11427m10288,11322l10273,11322,10273,11382,10288,11382,10288,11322m10288,11217l10273,11217,10273,11277,10288,11277,10288,11217m10288,11112l10273,11112,10273,11172,10288,11172,10288,11112m10288,11007l10273,11007,10273,11067,10288,11067,10288,11007m10288,10902l10273,10902,10273,10962,10288,10962,10288,10902m10288,10797l10273,10797,10273,10857,10288,10857,10288,10797m10288,10692l10273,10692,10273,10752,10288,10752,10288,10692m10288,10587l10273,10587,10273,10647,10288,10647,10288,10587m10288,10482l10273,10482,10273,10542,10288,10542,10288,10482m10288,10377l10273,10377,10273,10437,10288,10437,10288,10377m10288,10272l10273,10272,10273,10332,10288,10332,10288,10272m10288,10167l10273,10167,10273,10227,10288,10227,10288,10167m10288,10062l10273,10062,10273,10122,10288,10122,10288,10062m10288,9957l10273,9957,10273,10017,10288,10017,10288,9957m10288,9852l10273,9852,10273,9912,10288,9912,10288,9852m10288,9747l10273,9747,10273,9807,10288,9807,10288,9747m10288,9642l10273,9642,10273,9702,10288,9702,10288,9642m10288,9537l10273,9537,10273,9597,10288,9597,10288,9537m10288,9432l10273,9432,10273,9492,10288,9492,10288,9432m10288,9327l10273,9327,10273,9387,10288,9387,10288,9327m10288,9222l10273,9222,10273,9282,10288,9282,10288,9222m10288,9117l10273,9117,10273,9177,10288,9177,10288,9117m10288,9012l10273,9012,10273,9072,10288,9072,10288,9012m10288,8907l10273,8907,10273,8967,10288,8967,10288,8907m10288,8802l10273,8802,10273,8862,10288,8862,10288,8802m10288,8697l10273,8697,10273,8757,10288,8757,10288,8697m10288,8592l10273,8592,10273,8652,10288,8652,10288,8592m10288,8487l10273,8487,10273,8547,10288,8547,10288,8487m10288,8382l10273,8382,10273,8442,10288,8442,10288,8382m10288,8277l10273,8277,10273,8337,10288,8337,10288,8277m10288,8172l10273,8172,10273,8232,10288,8232,10288,8172m10288,8067l10273,8067,10273,8127,10288,8127,10288,8067m10288,7962l10273,7962,10273,8022,10288,8022,10288,7962m10288,7857l10273,7857,10273,7917,10288,7917,10288,7857m10288,7752l10273,7752,10273,7812,10288,7812,10288,7752m10288,7647l10273,7647,10273,7707,10288,7707,10288,7647m10288,7542l10273,7542,10273,7602,10288,7602,10288,7542m10288,7437l10273,7437,10273,7497,10288,7497,10288,7437m10288,7332l10273,7332,10273,7392,10288,7392,10288,7332m10288,7227l10273,7227,10273,7287,10288,7287,10288,7227m10288,7122l10273,7122,10273,7182,10288,7182,10288,7122m10288,7017l10273,7017,10273,7077,10288,7077,10288,7017m10288,6912l10273,6912,10273,6972,10288,6972,10288,6912m10288,6807l10273,6807,10273,6867,10288,6867,10288,6807m10288,6702l10273,6702,10273,6762,10288,6762,10288,6702m10288,6597l10273,6597,10273,6657,10288,6657,10288,6597m10288,6492l10273,6492,10273,6552,10288,6552,10288,6492m10288,6387l10273,6387,10273,6447,10288,6447,10288,6387m10288,6282l10273,6282,10273,6342,10288,6342,10288,6282m10288,6177l10273,6177,10273,6237,10288,6237,10288,6177m10288,6072l10273,6072,10273,6132,10288,6132,10288,6072m10288,5967l10273,5967,10273,6027,10288,6027,10288,5967m10288,5862l10273,5862,10273,5922,10288,5922,10288,5862m10288,5757l10273,5757,10273,5817,10288,5817,10288,5757m10288,5652l10273,5652,10273,5712,10288,5712,10288,5652m10288,5547l10273,5547,10273,5607,10288,5607,10288,5547m10288,5442l10273,5442,10273,5502,10288,5502,10288,5442m10288,5337l10273,5337,10273,5397,10288,5397,10288,5337m10288,5232l10273,5232,10273,5292,10288,5292,10288,5232m10288,5127l10273,5127,10273,5187,10288,5187,10288,5127m10288,5022l10273,5022,10273,5082,10288,5082,10288,5022m10288,4917l10273,4917,10273,4977,10288,4977,10288,4917m10288,4812l10273,4812,10273,4872,10288,4872,10288,4812m10288,4707l10273,4707,10273,4767,10288,4767,10288,4707m10288,4602l10273,4602,10273,4662,10288,4662,10288,4602m10288,4497l10273,4497,10273,4557,10288,4557,10288,4497m10288,4392l10273,4392,10273,4452,10288,4452,10288,4392m10288,4287l10273,4287,10273,4347,10288,4347,10288,4287m10288,4182l10273,4182,10273,4242,10288,4242,10288,4182m10288,4077l10273,4077,10273,4137,10288,4137,10288,4077m10288,3972l10273,3972,10273,4032,10288,4032,10288,3972m10288,3867l10273,3867,10273,3927,10288,3927,10288,3867m10288,3762l10273,3762,10273,3822,10288,3822,10288,3762m10288,3657l10273,3657,10273,3717,10288,3717,10288,3657m10288,3552l10273,3552,10273,3612,10288,3612,10288,3552m10288,3447l10273,3447,10273,3507,10288,3507,10288,3447m10288,3342l10273,3342,10273,3402,10288,3402,10288,3342m10288,3237l10273,3237,10273,3297,10288,3297,10288,3237m10288,3132l10273,3132,10273,3192,10288,3192,10288,3132m10288,3027l10273,3027,10273,3087,10288,3087,10288,3027m10288,2922l10273,2922,10273,2982,10288,2982,10288,2922m10288,2817l10273,2817,10273,2877,10288,2877,10288,2817m10288,2712l10273,2712,10273,2772,10288,2772,10288,2712m10288,2607l10273,2607,10273,2667,10288,2667,10288,2607m10288,2502l10273,2502,10273,2562,10288,2562,10288,2502m10288,2397l10273,2397,10273,2457,10288,2457,10288,2397m10288,2292l10273,2292,10273,2352,10288,2352,10288,2292m10288,2187l10273,2187,10273,2247,10288,2247,10288,2187m10288,2082l10273,2082,10273,2142,10288,2142,10288,2082m10288,1977l10273,1977,10273,2037,10288,2037,10288,1977m10288,1872l10273,1872,10273,1932,10288,1932,10288,1872m10334,11193l10319,11193,10319,11208,10334,11208,10334,11193e">
              <v:path arrowok="t"/>
              <v:fill on="t" focussize="0,0"/>
              <v:stroke on="f"/>
              <v:imagedata o:title=""/>
              <o:lock v:ext="edit"/>
            </v:shape>
          </v:group>
        </w:pict>
      </w:r>
      <w:r>
        <w:rPr>
          <w:sz w:val="21"/>
        </w:rPr>
        <w:t>各环境要素环境影响预测与评价</w:t>
      </w:r>
    </w:p>
    <w:p>
      <w:pPr>
        <w:pStyle w:val="18"/>
        <w:numPr>
          <w:ilvl w:val="3"/>
          <w:numId w:val="1"/>
        </w:numPr>
        <w:tabs>
          <w:tab w:val="left" w:pos="3492"/>
        </w:tabs>
        <w:spacing w:before="52" w:after="0" w:line="240" w:lineRule="auto"/>
        <w:ind w:left="3492" w:right="0" w:hanging="212"/>
        <w:jc w:val="left"/>
        <w:rPr>
          <w:sz w:val="21"/>
        </w:rPr>
      </w:pPr>
      <w:r>
        <w:rPr>
          <w:sz w:val="21"/>
        </w:rPr>
        <w:t>各专题环境影响分析与评价</w:t>
      </w:r>
    </w:p>
    <w:p>
      <w:pPr>
        <w:pStyle w:val="7"/>
        <w:ind w:left="0"/>
        <w:rPr>
          <w:sz w:val="20"/>
        </w:rPr>
      </w:pPr>
    </w:p>
    <w:p>
      <w:pPr>
        <w:pStyle w:val="7"/>
        <w:ind w:left="0"/>
        <w:rPr>
          <w:sz w:val="20"/>
        </w:rPr>
      </w:pPr>
    </w:p>
    <w:p>
      <w:pPr>
        <w:pStyle w:val="7"/>
        <w:ind w:left="0"/>
        <w:rPr>
          <w:sz w:val="20"/>
        </w:rPr>
      </w:pPr>
    </w:p>
    <w:p>
      <w:pPr>
        <w:pStyle w:val="7"/>
        <w:spacing w:before="4"/>
        <w:ind w:left="0"/>
        <w:rPr>
          <w:sz w:val="18"/>
        </w:rPr>
      </w:pPr>
    </w:p>
    <w:p>
      <w:pPr>
        <w:tabs>
          <w:tab w:val="left" w:pos="2726"/>
        </w:tabs>
        <w:spacing w:before="0"/>
        <w:ind w:left="760" w:right="0" w:firstLine="0"/>
        <w:jc w:val="left"/>
        <w:rPr>
          <w:sz w:val="21"/>
        </w:rPr>
      </w:pPr>
      <w:r>
        <w:rPr>
          <w:position w:val="-4"/>
          <w:sz w:val="21"/>
        </w:rPr>
        <w:t>第</w:t>
      </w:r>
      <w:r>
        <w:rPr>
          <w:position w:val="-4"/>
          <w:sz w:val="21"/>
        </w:rPr>
        <w:tab/>
      </w:r>
      <w:r>
        <w:rPr>
          <w:rFonts w:ascii="Times New Roman" w:eastAsia="Times New Roman"/>
          <w:sz w:val="21"/>
        </w:rPr>
        <w:t>1</w:t>
      </w:r>
      <w:r>
        <w:rPr>
          <w:sz w:val="21"/>
        </w:rPr>
        <w:t>提出环境保护措施，进行技术经济论证</w:t>
      </w:r>
    </w:p>
    <w:p>
      <w:pPr>
        <w:tabs>
          <w:tab w:val="left" w:pos="2726"/>
        </w:tabs>
        <w:spacing w:before="41"/>
        <w:ind w:left="760" w:right="0" w:firstLine="0"/>
        <w:jc w:val="left"/>
        <w:rPr>
          <w:sz w:val="21"/>
        </w:rPr>
      </w:pPr>
      <w:r>
        <w:rPr>
          <w:sz w:val="21"/>
        </w:rPr>
        <w:t>三</w:t>
      </w:r>
      <w:r>
        <w:rPr>
          <w:sz w:val="21"/>
        </w:rPr>
        <w:tab/>
      </w:r>
      <w:r>
        <w:rPr>
          <w:rFonts w:ascii="Times New Roman" w:eastAsia="Times New Roman"/>
          <w:sz w:val="21"/>
        </w:rPr>
        <w:t>2</w:t>
      </w:r>
      <w:r>
        <w:rPr>
          <w:sz w:val="21"/>
        </w:rPr>
        <w:t>给出污染物排放清单</w:t>
      </w:r>
    </w:p>
    <w:p>
      <w:pPr>
        <w:tabs>
          <w:tab w:val="left" w:pos="2726"/>
        </w:tabs>
        <w:spacing w:before="45" w:line="235" w:lineRule="auto"/>
        <w:ind w:left="760" w:right="3601" w:firstLine="0"/>
        <w:jc w:val="left"/>
        <w:rPr>
          <w:sz w:val="21"/>
        </w:rPr>
      </w:pPr>
      <w:r>
        <w:rPr>
          <w:position w:val="5"/>
          <w:sz w:val="21"/>
        </w:rPr>
        <w:t>阶</w:t>
      </w:r>
      <w:r>
        <w:rPr>
          <w:position w:val="5"/>
          <w:sz w:val="21"/>
        </w:rPr>
        <w:tab/>
      </w:r>
      <w:r>
        <w:rPr>
          <w:rFonts w:ascii="Times New Roman" w:eastAsia="Times New Roman"/>
          <w:sz w:val="21"/>
        </w:rPr>
        <w:t>3</w:t>
      </w:r>
      <w:r>
        <w:rPr>
          <w:sz w:val="21"/>
        </w:rPr>
        <w:t>给出建设项目环境影响评价结</w:t>
      </w:r>
      <w:r>
        <w:rPr>
          <w:spacing w:val="-10"/>
          <w:sz w:val="21"/>
        </w:rPr>
        <w:t>论</w:t>
      </w:r>
      <w:r>
        <w:rPr>
          <w:sz w:val="21"/>
        </w:rPr>
        <w:t>段</w:t>
      </w:r>
    </w:p>
    <w:p>
      <w:pPr>
        <w:pStyle w:val="7"/>
        <w:ind w:left="0"/>
        <w:rPr>
          <w:sz w:val="20"/>
        </w:rPr>
      </w:pPr>
    </w:p>
    <w:p>
      <w:pPr>
        <w:pStyle w:val="7"/>
        <w:spacing w:before="4"/>
        <w:ind w:left="0"/>
        <w:rPr>
          <w:sz w:val="17"/>
        </w:rPr>
      </w:pPr>
    </w:p>
    <w:p>
      <w:pPr>
        <w:spacing w:before="70"/>
        <w:ind w:left="0" w:right="152" w:firstLine="0"/>
        <w:jc w:val="center"/>
        <w:rPr>
          <w:sz w:val="21"/>
        </w:rPr>
      </w:pPr>
      <w:r>
        <w:rPr>
          <w:sz w:val="21"/>
        </w:rPr>
        <w:t>编制环境影响报告书（表）</w:t>
      </w:r>
    </w:p>
    <w:p>
      <w:pPr>
        <w:pStyle w:val="7"/>
        <w:ind w:left="0"/>
        <w:rPr>
          <w:sz w:val="20"/>
        </w:rPr>
      </w:pPr>
    </w:p>
    <w:p>
      <w:pPr>
        <w:pStyle w:val="7"/>
        <w:ind w:left="0"/>
        <w:rPr>
          <w:sz w:val="20"/>
        </w:rPr>
      </w:pPr>
    </w:p>
    <w:p>
      <w:pPr>
        <w:pStyle w:val="7"/>
        <w:spacing w:before="1"/>
        <w:ind w:left="0"/>
        <w:rPr>
          <w:sz w:val="19"/>
        </w:rPr>
      </w:pPr>
    </w:p>
    <w:p>
      <w:pPr>
        <w:bidi w:val="0"/>
        <w:jc w:val="center"/>
      </w:pPr>
      <w:r>
        <w:t>图1.3-1</w:t>
      </w:r>
      <w:r>
        <w:tab/>
      </w:r>
      <w:r>
        <w:t>环境影响评价工作程序图</w:t>
      </w:r>
    </w:p>
    <w:p>
      <w:pPr>
        <w:bidi w:val="0"/>
        <w:jc w:val="cente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sectPr>
      </w:pPr>
    </w:p>
    <w:p>
      <w:pPr>
        <w:pStyle w:val="7"/>
        <w:spacing w:before="4"/>
        <w:ind w:left="0"/>
        <w:rPr>
          <w:b/>
          <w:sz w:val="8"/>
        </w:rPr>
      </w:pPr>
    </w:p>
    <w:p>
      <w:pPr>
        <w:pStyle w:val="4"/>
        <w:numPr>
          <w:ilvl w:val="1"/>
          <w:numId w:val="1"/>
        </w:numPr>
        <w:tabs>
          <w:tab w:val="left" w:pos="1100"/>
        </w:tabs>
        <w:spacing w:before="64" w:after="0" w:line="240" w:lineRule="auto"/>
        <w:ind w:left="1099" w:right="0" w:hanging="560"/>
        <w:jc w:val="both"/>
        <w:outlineLvl w:val="1"/>
      </w:pPr>
      <w:bookmarkStart w:id="12" w:name="1.4 分析判定相关情况"/>
      <w:bookmarkEnd w:id="12"/>
      <w:bookmarkStart w:id="13" w:name="1.4 分析判定相关情况"/>
      <w:bookmarkEnd w:id="13"/>
      <w:bookmarkStart w:id="14" w:name="_Toc11669"/>
      <w:r>
        <w:t>分析判定相关情况</w:t>
      </w:r>
      <w:bookmarkEnd w:id="14"/>
    </w:p>
    <w:p>
      <w:pPr>
        <w:pStyle w:val="7"/>
        <w:spacing w:before="3"/>
        <w:ind w:left="0"/>
        <w:rPr>
          <w:b/>
        </w:rPr>
      </w:pPr>
    </w:p>
    <w:p>
      <w:pPr>
        <w:pStyle w:val="18"/>
        <w:numPr>
          <w:ilvl w:val="2"/>
          <w:numId w:val="2"/>
        </w:numPr>
        <w:tabs>
          <w:tab w:val="left" w:pos="1140"/>
        </w:tabs>
        <w:spacing w:before="1" w:after="0" w:line="240" w:lineRule="auto"/>
        <w:ind w:left="1140" w:right="0" w:hanging="600"/>
        <w:jc w:val="both"/>
        <w:outlineLvl w:val="2"/>
        <w:rPr>
          <w:b/>
          <w:sz w:val="24"/>
        </w:rPr>
      </w:pPr>
      <w:bookmarkStart w:id="15" w:name="_Toc17881"/>
      <w:r>
        <w:rPr>
          <w:b/>
          <w:sz w:val="24"/>
        </w:rPr>
        <w:t>产业政策符合性分析</w:t>
      </w:r>
      <w:bookmarkEnd w:id="15"/>
    </w:p>
    <w:p>
      <w:pPr>
        <w:pStyle w:val="7"/>
        <w:spacing w:before="160" w:line="364" w:lineRule="auto"/>
        <w:ind w:right="577" w:firstLine="480"/>
        <w:jc w:val="both"/>
        <w:rPr>
          <w:color w:val="0000FF"/>
        </w:rPr>
      </w:pPr>
      <w:r>
        <w:rPr>
          <w:color w:val="0000FF"/>
          <w:spacing w:val="-2"/>
        </w:rPr>
        <w:t>本项目为标准化规模养殖项目，属于国家发展和改革委员会第</w:t>
      </w:r>
      <w:r>
        <w:rPr>
          <w:rFonts w:ascii="Times New Roman" w:hAnsi="Times New Roman" w:eastAsia="Times New Roman"/>
          <w:color w:val="0000FF"/>
        </w:rPr>
        <w:t>29</w:t>
      </w:r>
      <w:r>
        <w:rPr>
          <w:color w:val="0000FF"/>
          <w:spacing w:val="-4"/>
        </w:rPr>
        <w:t>号令《产</w:t>
      </w:r>
      <w:r>
        <w:rPr>
          <w:color w:val="0000FF"/>
          <w:spacing w:val="-2"/>
        </w:rPr>
        <w:t>业结构调整指导目录》</w:t>
      </w:r>
      <w:r>
        <w:rPr>
          <w:color w:val="0000FF"/>
        </w:rPr>
        <w:t>（</w:t>
      </w:r>
      <w:r>
        <w:rPr>
          <w:rFonts w:ascii="Times New Roman" w:hAnsi="Times New Roman" w:eastAsia="Times New Roman"/>
          <w:color w:val="0000FF"/>
        </w:rPr>
        <w:t>2019</w:t>
      </w:r>
      <w:r>
        <w:rPr>
          <w:color w:val="0000FF"/>
        </w:rPr>
        <w:t>年本</w:t>
      </w:r>
      <w:r>
        <w:rPr>
          <w:color w:val="0000FF"/>
          <w:spacing w:val="-5"/>
        </w:rPr>
        <w:t>）</w:t>
      </w:r>
      <w:r>
        <w:rPr>
          <w:color w:val="0000FF"/>
          <w:spacing w:val="-3"/>
        </w:rPr>
        <w:t>鼓励类，为农林业中的“</w:t>
      </w:r>
      <w:r>
        <w:rPr>
          <w:rFonts w:ascii="Times New Roman" w:hAnsi="Times New Roman" w:eastAsia="Times New Roman"/>
          <w:color w:val="0000FF"/>
        </w:rPr>
        <w:t>4</w:t>
      </w:r>
      <w:r>
        <w:rPr>
          <w:color w:val="0000FF"/>
          <w:spacing w:val="-5"/>
        </w:rPr>
        <w:t>、畜禽标准化规</w:t>
      </w:r>
      <w:r>
        <w:rPr>
          <w:color w:val="0000FF"/>
          <w:spacing w:val="-8"/>
        </w:rPr>
        <w:t>模养殖技术开发与应用”，属于“当前国家重点鼓励发展的产业、产品和技术目</w:t>
      </w:r>
      <w:r>
        <w:rPr>
          <w:color w:val="0000FF"/>
        </w:rPr>
        <w:t>录”中的第一类（农业），因此本项目符合国家产业政策。</w:t>
      </w:r>
    </w:p>
    <w:p>
      <w:pPr>
        <w:pStyle w:val="2"/>
        <w:numPr>
          <w:ilvl w:val="2"/>
          <w:numId w:val="2"/>
        </w:numPr>
        <w:tabs>
          <w:tab w:val="left" w:pos="1140"/>
        </w:tabs>
        <w:spacing w:before="2" w:after="0" w:line="240" w:lineRule="auto"/>
        <w:ind w:left="1140" w:right="0" w:hanging="600"/>
        <w:jc w:val="both"/>
        <w:outlineLvl w:val="2"/>
      </w:pPr>
      <w:bookmarkStart w:id="16" w:name="_Toc25400"/>
      <w:r>
        <w:t>规划符合性分析</w:t>
      </w:r>
      <w:bookmarkEnd w:id="16"/>
    </w:p>
    <w:p>
      <w:pPr>
        <w:pStyle w:val="18"/>
        <w:numPr>
          <w:ilvl w:val="3"/>
          <w:numId w:val="2"/>
        </w:numPr>
        <w:tabs>
          <w:tab w:val="left" w:pos="1621"/>
        </w:tabs>
        <w:spacing w:before="161" w:after="0" w:line="240" w:lineRule="auto"/>
        <w:ind w:left="1621" w:right="0" w:hanging="601"/>
        <w:jc w:val="both"/>
        <w:rPr>
          <w:color w:val="0000FF"/>
          <w:sz w:val="24"/>
        </w:rPr>
      </w:pPr>
      <w:r>
        <w:rPr>
          <w:color w:val="0000FF"/>
          <w:spacing w:val="-5"/>
          <w:sz w:val="24"/>
        </w:rPr>
        <w:t>《新疆维吾尔自治区畜牧业现代化“十三五”发展规划》符合性分析；</w:t>
      </w:r>
    </w:p>
    <w:p>
      <w:pPr>
        <w:pStyle w:val="7"/>
        <w:spacing w:before="160" w:line="364" w:lineRule="auto"/>
        <w:ind w:right="457" w:firstLine="480"/>
        <w:jc w:val="both"/>
        <w:rPr>
          <w:color w:val="0000FF"/>
        </w:rPr>
      </w:pPr>
      <w:r>
        <w:rPr>
          <w:color w:val="0000FF"/>
          <w:spacing w:val="-6"/>
        </w:rPr>
        <w:t>《新疆维吾尔自治区畜牧业现代化“十三五”发展规划》提出“十三五”期</w:t>
      </w:r>
      <w:r>
        <w:rPr>
          <w:color w:val="0000FF"/>
          <w:spacing w:val="-11"/>
        </w:rPr>
        <w:t>间以供给侧结构性改革为主线，以变革创新、可持续发展和全产业链建设统揽全</w:t>
      </w:r>
      <w:r>
        <w:rPr>
          <w:color w:val="0000FF"/>
          <w:spacing w:val="-16"/>
        </w:rPr>
        <w:t>局，全面推进传统畜牧业改造提升和现代畜牧业开拓创新。遵循现代化发展规律，</w:t>
      </w:r>
      <w:r>
        <w:rPr>
          <w:color w:val="0000FF"/>
          <w:spacing w:val="-5"/>
        </w:rPr>
        <w:t>以结构调整和科技创新为动力，以培育发展大产业、大品牌、大市场为目标，加</w:t>
      </w:r>
      <w:r>
        <w:rPr>
          <w:color w:val="0000FF"/>
          <w:spacing w:val="-11"/>
        </w:rPr>
        <w:t>快构建新型畜牧业产业体系、生产体系和经营体系，强化生产保障体系建设。推</w:t>
      </w:r>
      <w:r>
        <w:rPr>
          <w:color w:val="0000FF"/>
          <w:spacing w:val="-14"/>
        </w:rPr>
        <w:t>进产业精准脱贫，把畜牧业提质增效和农牧民增收放到更加突出位置，尽快走出</w:t>
      </w:r>
      <w:r>
        <w:rPr>
          <w:color w:val="0000FF"/>
          <w:spacing w:val="-15"/>
        </w:rPr>
        <w:t>一条产出高效、产品安全、资源节约、环境友好的具有新疆特色的畜牧业化现代</w:t>
      </w:r>
      <w:r>
        <w:rPr>
          <w:color w:val="0000FF"/>
          <w:spacing w:val="-11"/>
        </w:rPr>
        <w:t>道路，促进新疆畜牧业转型升级和民生持续改善，为新疆农牧区经济平稳健康发展和社会稳定和谐提供有力支撑。</w:t>
      </w:r>
    </w:p>
    <w:p>
      <w:pPr>
        <w:pStyle w:val="7"/>
        <w:spacing w:before="6" w:line="364" w:lineRule="auto"/>
        <w:ind w:right="485" w:firstLine="480"/>
        <w:jc w:val="both"/>
        <w:rPr>
          <w:color w:val="0000FF"/>
        </w:rPr>
      </w:pPr>
      <w:r>
        <w:rPr>
          <w:color w:val="0000FF"/>
          <w:spacing w:val="-10"/>
        </w:rPr>
        <w:t>“十三五”期间，新疆畜牧业力争在畜产品市场保供、生态环境保护、畜牧</w:t>
      </w:r>
      <w:r>
        <w:rPr>
          <w:color w:val="0000FF"/>
          <w:spacing w:val="-13"/>
        </w:rPr>
        <w:t>生产基础保障、畜牧产业融合、畜牧业物质装备和提高动物防疫、畜产品质量安</w:t>
      </w:r>
      <w:r>
        <w:rPr>
          <w:color w:val="0000FF"/>
          <w:spacing w:val="-16"/>
        </w:rPr>
        <w:t>全水平等重点领域取得显著进展。到</w:t>
      </w:r>
      <w:r>
        <w:rPr>
          <w:rFonts w:ascii="Times New Roman" w:hAnsi="Times New Roman" w:eastAsia="Times New Roman"/>
          <w:color w:val="0000FF"/>
        </w:rPr>
        <w:t>2020</w:t>
      </w:r>
      <w:r>
        <w:rPr>
          <w:color w:val="0000FF"/>
        </w:rPr>
        <w:t>年，构建起更加健全的现代畜牧业产</w:t>
      </w:r>
      <w:r>
        <w:rPr>
          <w:color w:val="0000FF"/>
          <w:spacing w:val="-10"/>
        </w:rPr>
        <w:t>业体系、生产体系、经营体系，和强有力的生产保障体系。全区畜牧业产值达到</w:t>
      </w:r>
      <w:r>
        <w:rPr>
          <w:rFonts w:ascii="Times New Roman" w:hAnsi="Times New Roman" w:eastAsia="Times New Roman"/>
          <w:color w:val="0000FF"/>
          <w:spacing w:val="-10"/>
        </w:rPr>
        <w:t>800</w:t>
      </w:r>
      <w:r>
        <w:rPr>
          <w:color w:val="0000FF"/>
          <w:spacing w:val="-15"/>
        </w:rPr>
        <w:t>亿元以上，年均增长</w:t>
      </w:r>
      <w:r>
        <w:rPr>
          <w:rFonts w:ascii="Times New Roman" w:hAnsi="Times New Roman" w:eastAsia="Times New Roman"/>
          <w:color w:val="0000FF"/>
          <w:spacing w:val="-8"/>
        </w:rPr>
        <w:t>4.2%</w:t>
      </w:r>
      <w:r>
        <w:rPr>
          <w:color w:val="0000FF"/>
          <w:spacing w:val="-8"/>
        </w:rPr>
        <w:t>，农牧民来自畜牧业年均增收</w:t>
      </w:r>
      <w:r>
        <w:rPr>
          <w:rFonts w:ascii="Times New Roman" w:hAnsi="Times New Roman" w:eastAsia="Times New Roman"/>
          <w:color w:val="0000FF"/>
        </w:rPr>
        <w:t>400</w:t>
      </w:r>
      <w:r>
        <w:rPr>
          <w:color w:val="0000FF"/>
          <w:spacing w:val="-6"/>
        </w:rPr>
        <w:t>元以上，全区畜</w:t>
      </w:r>
      <w:r>
        <w:rPr>
          <w:color w:val="0000FF"/>
        </w:rPr>
        <w:t>牧业现代化发展水平明显提高。继续推动畜牧业发展重心由草原牧区向农区转</w:t>
      </w:r>
      <w:r>
        <w:rPr>
          <w:color w:val="0000FF"/>
          <w:spacing w:val="-10"/>
        </w:rPr>
        <w:t>移，严格禁养区、禁牧区管理，突出农牧结合部、重点特色乡镇、规模牧业定居点、畜牧养殖园区等养殖环境容量较大区域发展。以天山北坡经济带为主，着力</w:t>
      </w:r>
      <w:r>
        <w:rPr>
          <w:color w:val="0000FF"/>
          <w:spacing w:val="-11"/>
        </w:rPr>
        <w:t>打造和培育新疆现代畜牧业转型升级驱动带，构筑疆内畜牧业产业核心发展区，</w:t>
      </w:r>
      <w:r>
        <w:rPr>
          <w:color w:val="0000FF"/>
          <w:spacing w:val="-5"/>
        </w:rPr>
        <w:t>带动全区现代畜牧业加速转型升级。统筹南疆畜牧业优势区域发展，因地制宜建设特色畜牧业发展区。</w:t>
      </w:r>
    </w:p>
    <w:p>
      <w:pPr>
        <w:pStyle w:val="7"/>
        <w:spacing w:before="6"/>
        <w:ind w:left="1020"/>
        <w:jc w:val="both"/>
        <w:rPr>
          <w:color w:val="0000FF"/>
        </w:rPr>
      </w:pPr>
      <w:r>
        <w:rPr>
          <w:color w:val="0000FF"/>
        </w:rPr>
        <w:t>畜禽产业布局及发展方向：以天山北坡、昌吉州东部、哈密地区、焉耆盆地</w:t>
      </w:r>
    </w:p>
    <w:p>
      <w:pPr>
        <w:spacing w:after="0"/>
        <w:jc w:val="both"/>
        <w:sectPr>
          <w:footerReference r:id="rId14"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485"/>
        <w:jc w:val="both"/>
        <w:rPr>
          <w:color w:val="0000FF"/>
        </w:rPr>
      </w:pPr>
      <w:r>
        <w:rPr>
          <w:color w:val="0000FF"/>
          <w:spacing w:val="-1"/>
        </w:rPr>
        <w:t>以及南北疆中心城市为主，通过畜禽种业龙头企业拉动猪禽产业向育种、养殖、</w:t>
      </w:r>
      <w:r>
        <w:rPr>
          <w:color w:val="0000FF"/>
          <w:spacing w:val="-9"/>
        </w:rPr>
        <w:t>加工、销售一体化方向发展，全面提升畜禽产业生产水平。发挥南疆特禽养殖市</w:t>
      </w:r>
      <w:r>
        <w:rPr>
          <w:color w:val="0000FF"/>
          <w:spacing w:val="-12"/>
        </w:rPr>
        <w:t>场潜力大、投资少、见效快和助农增收脱贫作用明显的优势，统筹推动南疆特禽产业发展。</w:t>
      </w:r>
    </w:p>
    <w:p>
      <w:pPr>
        <w:pStyle w:val="7"/>
        <w:spacing w:before="2" w:line="364" w:lineRule="auto"/>
        <w:ind w:right="577" w:firstLine="480"/>
        <w:jc w:val="both"/>
        <w:rPr>
          <w:color w:val="0000FF"/>
        </w:rPr>
      </w:pPr>
      <w:r>
        <w:rPr>
          <w:color w:val="0000FF"/>
          <w:spacing w:val="-5"/>
        </w:rPr>
        <w:t>本项目肉羊养殖基地位于新疆</w:t>
      </w:r>
      <w:r>
        <w:rPr>
          <w:rFonts w:hint="eastAsia"/>
          <w:color w:val="0000FF"/>
          <w:spacing w:val="-5"/>
          <w:lang w:val="en-US" w:eastAsia="zh-CN"/>
        </w:rPr>
        <w:t>喀什</w:t>
      </w:r>
      <w:r>
        <w:rPr>
          <w:color w:val="0000FF"/>
          <w:spacing w:val="-5"/>
        </w:rPr>
        <w:t>地区</w:t>
      </w:r>
      <w:r>
        <w:rPr>
          <w:rFonts w:hint="eastAsia"/>
          <w:color w:val="0000FF"/>
          <w:spacing w:val="-5"/>
          <w:lang w:val="en-US" w:eastAsia="zh-CN"/>
        </w:rPr>
        <w:t>莎车</w:t>
      </w:r>
      <w:r>
        <w:rPr>
          <w:color w:val="0000FF"/>
          <w:spacing w:val="-5"/>
        </w:rPr>
        <w:t>县</w:t>
      </w:r>
      <w:r>
        <w:rPr>
          <w:rFonts w:hint="eastAsia" w:ascii="宋体" w:hAnsi="宋体"/>
          <w:color w:val="0000FF"/>
          <w:szCs w:val="21"/>
        </w:rPr>
        <w:t>孜热甫夏提乡3村</w:t>
      </w:r>
      <w:r>
        <w:rPr>
          <w:color w:val="0000FF"/>
          <w:spacing w:val="-5"/>
        </w:rPr>
        <w:t>，是</w:t>
      </w:r>
      <w:r>
        <w:rPr>
          <w:rFonts w:hint="eastAsia"/>
          <w:color w:val="0000FF"/>
          <w:spacing w:val="-5"/>
          <w:lang w:val="en-US" w:eastAsia="zh-CN"/>
        </w:rPr>
        <w:t>莎车</w:t>
      </w:r>
      <w:r>
        <w:rPr>
          <w:color w:val="0000FF"/>
          <w:spacing w:val="-5"/>
        </w:rPr>
        <w:t>县精</w:t>
      </w:r>
      <w:r>
        <w:rPr>
          <w:color w:val="0000FF"/>
          <w:spacing w:val="-8"/>
        </w:rPr>
        <w:t>准扶贫项目的一部分，项目与当地贫困户建立长效的增收机制，可促进贫困地区</w:t>
      </w:r>
      <w:r>
        <w:rPr>
          <w:color w:val="0000FF"/>
          <w:spacing w:val="-9"/>
        </w:rPr>
        <w:t>农民增收致富。项目集约化养殖方式，可推进传统畜牧业的改造提升。因此，本</w:t>
      </w:r>
      <w:r>
        <w:rPr>
          <w:color w:val="0000FF"/>
          <w:spacing w:val="-8"/>
        </w:rPr>
        <w:t>项目的建设符合《新疆维吾尔自治区畜牧业现代化“十三五”发展规划》的相关</w:t>
      </w:r>
      <w:r>
        <w:rPr>
          <w:color w:val="0000FF"/>
        </w:rPr>
        <w:t>要求。</w:t>
      </w:r>
    </w:p>
    <w:p>
      <w:pPr>
        <w:pStyle w:val="18"/>
        <w:numPr>
          <w:ilvl w:val="3"/>
          <w:numId w:val="2"/>
        </w:numPr>
        <w:tabs>
          <w:tab w:val="left" w:pos="1621"/>
        </w:tabs>
        <w:spacing w:before="3" w:after="0" w:line="240" w:lineRule="auto"/>
        <w:ind w:left="1621" w:right="0" w:hanging="601"/>
        <w:jc w:val="left"/>
        <w:rPr>
          <w:color w:val="0000FF"/>
          <w:sz w:val="24"/>
        </w:rPr>
      </w:pPr>
      <w:r>
        <w:rPr>
          <w:color w:val="0000FF"/>
          <w:sz w:val="24"/>
        </w:rPr>
        <w:t>《新疆规模化畜禽养殖污染防治“十三五”规划》符合性分析；</w:t>
      </w:r>
    </w:p>
    <w:p>
      <w:pPr>
        <w:pStyle w:val="7"/>
        <w:spacing w:before="161" w:line="364" w:lineRule="auto"/>
        <w:ind w:right="577" w:firstLine="480"/>
        <w:jc w:val="both"/>
        <w:rPr>
          <w:color w:val="0000FF"/>
        </w:rPr>
      </w:pPr>
      <w:r>
        <w:rPr>
          <w:color w:val="0000FF"/>
          <w:spacing w:val="-7"/>
        </w:rPr>
        <w:t>《新疆规模化畜禽养殖污染防治“十三五”规划》指出，各畜禽养殖单位应</w:t>
      </w:r>
      <w:r>
        <w:rPr>
          <w:color w:val="0000FF"/>
          <w:spacing w:val="-12"/>
        </w:rPr>
        <w:t>根据养殖种类、养殖规模、粪污收集方式以及当地的地理环境条件和废水排放去</w:t>
      </w:r>
      <w:r>
        <w:rPr>
          <w:color w:val="0000FF"/>
          <w:spacing w:val="-10"/>
        </w:rPr>
        <w:t>向等因素，因地制宜发展生态养殖模式，优先考虑资源综合利用，合理确定畜禽</w:t>
      </w:r>
      <w:r>
        <w:rPr>
          <w:color w:val="0000FF"/>
          <w:spacing w:val="-11"/>
        </w:rPr>
        <w:t>养殖污染防治措施。鼓励发展专业化集中式畜禽养殖粪污能源化利用和肥料化利</w:t>
      </w:r>
      <w:r>
        <w:rPr>
          <w:color w:val="0000FF"/>
          <w:spacing w:val="-12"/>
        </w:rPr>
        <w:t>用，加大对粪污水处理、有机肥加工和发酵产物综合利用产业政策的扶持和资金</w:t>
      </w:r>
      <w:r>
        <w:rPr>
          <w:color w:val="0000FF"/>
          <w:spacing w:val="-10"/>
        </w:rPr>
        <w:t>补贴力度，支持畜禽养殖粪污的社会化集中处理和规模化利用，加快建立循环经</w:t>
      </w:r>
      <w:r>
        <w:rPr>
          <w:color w:val="0000FF"/>
        </w:rPr>
        <w:t>济产业链。</w:t>
      </w:r>
    </w:p>
    <w:p>
      <w:pPr>
        <w:pStyle w:val="7"/>
        <w:spacing w:before="4" w:line="364" w:lineRule="auto"/>
        <w:ind w:right="575" w:firstLine="480"/>
        <w:jc w:val="both"/>
        <w:rPr>
          <w:color w:val="0000FF"/>
        </w:rPr>
      </w:pPr>
      <w:r>
        <w:rPr>
          <w:color w:val="0000FF"/>
          <w:spacing w:val="-8"/>
        </w:rPr>
        <w:t>本项目属于集约化养殖项目。项目粪污采用干清粪工艺，羊粪、废弃垫料人</w:t>
      </w:r>
      <w:r>
        <w:rPr>
          <w:color w:val="0000FF"/>
          <w:spacing w:val="-9"/>
        </w:rPr>
        <w:t>工清理后运往堆肥厂，羊尿进入垫料层，清运至堆肥厂与羊粪一起发酵生产有机</w:t>
      </w:r>
      <w:r>
        <w:rPr>
          <w:color w:val="0000FF"/>
          <w:spacing w:val="-10"/>
        </w:rPr>
        <w:t>肥。羊粪发酵后用作有机肥厂生产原料，有机肥最终外售给农户回用于农田。因</w:t>
      </w:r>
      <w:r>
        <w:rPr>
          <w:color w:val="0000FF"/>
          <w:spacing w:val="-7"/>
        </w:rPr>
        <w:t>此，本项目能够形成“畜禽</w:t>
      </w:r>
      <w:r>
        <w:rPr>
          <w:rFonts w:ascii="Times New Roman" w:hAnsi="Times New Roman" w:eastAsia="Times New Roman"/>
          <w:color w:val="0000FF"/>
        </w:rPr>
        <w:t>-</w:t>
      </w:r>
      <w:r>
        <w:rPr>
          <w:color w:val="0000FF"/>
        </w:rPr>
        <w:t>粪便</w:t>
      </w:r>
      <w:r>
        <w:rPr>
          <w:rFonts w:ascii="Times New Roman" w:hAnsi="Times New Roman" w:eastAsia="Times New Roman"/>
          <w:color w:val="0000FF"/>
        </w:rPr>
        <w:t>-</w:t>
      </w:r>
      <w:r>
        <w:rPr>
          <w:color w:val="0000FF"/>
        </w:rPr>
        <w:t>肥料</w:t>
      </w:r>
      <w:r>
        <w:rPr>
          <w:rFonts w:ascii="Times New Roman" w:hAnsi="Times New Roman" w:eastAsia="Times New Roman"/>
          <w:color w:val="0000FF"/>
        </w:rPr>
        <w:t>-</w:t>
      </w:r>
      <w:r>
        <w:rPr>
          <w:color w:val="0000FF"/>
          <w:spacing w:val="-10"/>
        </w:rPr>
        <w:t>农田”的良性循环，符合《新疆规模化畜</w:t>
      </w:r>
      <w:r>
        <w:rPr>
          <w:color w:val="0000FF"/>
        </w:rPr>
        <w:t>禽养殖污染防治“十三五”规划》。</w:t>
      </w:r>
    </w:p>
    <w:p>
      <w:pPr>
        <w:pStyle w:val="18"/>
        <w:numPr>
          <w:ilvl w:val="3"/>
          <w:numId w:val="2"/>
        </w:numPr>
        <w:tabs>
          <w:tab w:val="left" w:pos="1621"/>
        </w:tabs>
        <w:spacing w:before="3" w:after="0" w:line="364" w:lineRule="auto"/>
        <w:ind w:left="540" w:right="572" w:firstLine="480"/>
        <w:jc w:val="both"/>
        <w:rPr>
          <w:color w:val="0000FF"/>
          <w:sz w:val="24"/>
        </w:rPr>
      </w:pPr>
      <w:r>
        <w:rPr>
          <w:color w:val="0000FF"/>
          <w:spacing w:val="-6"/>
          <w:sz w:val="24"/>
        </w:rPr>
        <w:t>《自治区畜牧行业“十三五”脱贫攻坚实施计划</w:t>
      </w:r>
      <w:r>
        <w:rPr>
          <w:color w:val="0000FF"/>
          <w:sz w:val="24"/>
        </w:rPr>
        <w:t>（</w:t>
      </w:r>
      <w:r>
        <w:rPr>
          <w:rFonts w:ascii="Times New Roman" w:hAnsi="Times New Roman" w:eastAsia="Times New Roman"/>
          <w:color w:val="0000FF"/>
          <w:sz w:val="24"/>
        </w:rPr>
        <w:t>2016-2020</w:t>
      </w:r>
      <w:r>
        <w:rPr>
          <w:color w:val="0000FF"/>
          <w:sz w:val="24"/>
        </w:rPr>
        <w:t>年</w:t>
      </w:r>
      <w:r>
        <w:rPr>
          <w:color w:val="0000FF"/>
          <w:spacing w:val="-17"/>
          <w:sz w:val="24"/>
        </w:rPr>
        <w:t>）》</w:t>
      </w:r>
      <w:r>
        <w:rPr>
          <w:color w:val="0000FF"/>
          <w:spacing w:val="-4"/>
          <w:sz w:val="24"/>
        </w:rPr>
        <w:t>符合性分析；</w:t>
      </w:r>
    </w:p>
    <w:p>
      <w:pPr>
        <w:pStyle w:val="7"/>
        <w:spacing w:before="1" w:line="364" w:lineRule="auto"/>
        <w:ind w:right="457" w:firstLine="480"/>
        <w:jc w:val="both"/>
      </w:pPr>
      <w:r>
        <w:rPr>
          <w:color w:val="0000FF"/>
          <w:spacing w:val="-6"/>
        </w:rPr>
        <w:t>《自治区畜牧行业“十三五”脱贫攻坚实施计划</w:t>
      </w:r>
      <w:r>
        <w:rPr>
          <w:color w:val="0000FF"/>
        </w:rPr>
        <w:t>（</w:t>
      </w:r>
      <w:r>
        <w:rPr>
          <w:rFonts w:ascii="Times New Roman" w:hAnsi="Times New Roman" w:eastAsia="Times New Roman"/>
          <w:color w:val="0000FF"/>
        </w:rPr>
        <w:t>2016-2020</w:t>
      </w:r>
      <w:r>
        <w:rPr>
          <w:color w:val="0000FF"/>
        </w:rPr>
        <w:t>年</w:t>
      </w:r>
      <w:r>
        <w:rPr>
          <w:color w:val="0000FF"/>
          <w:spacing w:val="-22"/>
        </w:rPr>
        <w:t>）</w:t>
      </w:r>
      <w:r>
        <w:rPr>
          <w:color w:val="0000FF"/>
          <w:spacing w:val="-9"/>
        </w:rPr>
        <w:t>》中提出：</w:t>
      </w:r>
      <w:r>
        <w:rPr>
          <w:color w:val="0000FF"/>
          <w:spacing w:val="-8"/>
        </w:rPr>
        <w:t>通过计划的实施，使畜牧业在全区脱贫攻坚中的作用充分发挥，宜牧贫困区域的</w:t>
      </w:r>
      <w:r>
        <w:rPr>
          <w:color w:val="0000FF"/>
          <w:spacing w:val="-13"/>
        </w:rPr>
        <w:t>农民可支配收入中来自畜牧业的收入显著增加，畜牧业产业化经营促农增收作用日益凸显，贫困农牧户生活条件明显改观，贫困区域畜牧业发展基础保障条件得</w:t>
      </w:r>
      <w:r>
        <w:rPr>
          <w:color w:val="0000FF"/>
          <w:spacing w:val="-17"/>
        </w:rPr>
        <w:t>到完善，草原生态环境明显改善。通过畜牧业全产业链建设和关联产业融合发展，</w:t>
      </w:r>
    </w:p>
    <w:p>
      <w:pPr>
        <w:spacing w:after="0" w:line="364" w:lineRule="auto"/>
        <w:jc w:val="both"/>
        <w:sectPr>
          <w:footerReference r:id="rId15"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jc w:val="both"/>
        <w:rPr>
          <w:color w:val="0000FF"/>
        </w:rPr>
      </w:pPr>
      <w:r>
        <w:rPr>
          <w:color w:val="0000FF"/>
        </w:rPr>
        <w:t>带动</w:t>
      </w:r>
      <w:r>
        <w:rPr>
          <w:rFonts w:ascii="Times New Roman" w:eastAsia="Times New Roman"/>
          <w:color w:val="0000FF"/>
        </w:rPr>
        <w:t>2</w:t>
      </w:r>
      <w:r>
        <w:rPr>
          <w:color w:val="0000FF"/>
        </w:rPr>
        <w:t>万人以上贫困劳动力就业，实现年人均收入</w:t>
      </w:r>
      <w:r>
        <w:rPr>
          <w:rFonts w:ascii="Times New Roman" w:eastAsia="Times New Roman"/>
          <w:color w:val="0000FF"/>
        </w:rPr>
        <w:t>2</w:t>
      </w:r>
      <w:r>
        <w:rPr>
          <w:color w:val="0000FF"/>
        </w:rPr>
        <w:t>万元以上。</w:t>
      </w:r>
    </w:p>
    <w:p>
      <w:pPr>
        <w:pStyle w:val="7"/>
        <w:spacing w:before="161" w:line="364" w:lineRule="auto"/>
        <w:ind w:right="577" w:firstLine="480"/>
        <w:jc w:val="both"/>
        <w:rPr>
          <w:color w:val="0000FF"/>
        </w:rPr>
      </w:pPr>
      <w:r>
        <w:rPr>
          <w:color w:val="0000FF"/>
          <w:spacing w:val="-4"/>
        </w:rPr>
        <w:t>项目实施后可实现年标</w:t>
      </w:r>
      <w:r>
        <w:rPr>
          <w:rFonts w:hint="eastAsia" w:ascii="Times New Roman" w:hAnsi="Times New Roman" w:eastAsia="宋体" w:cs="Times New Roman"/>
          <w:color w:val="0000FF"/>
          <w:sz w:val="24"/>
          <w:lang w:val="en-US" w:eastAsia="zh-CN"/>
        </w:rPr>
        <w:t>年出栏种公羊4万余只</w:t>
      </w:r>
      <w:r>
        <w:rPr>
          <w:color w:val="0000FF"/>
          <w:spacing w:val="-11"/>
        </w:rPr>
        <w:t>，可辐射带动周边</w:t>
      </w:r>
      <w:r>
        <w:rPr>
          <w:rFonts w:ascii="Times New Roman" w:eastAsia="Times New Roman"/>
          <w:color w:val="0000FF"/>
        </w:rPr>
        <w:t>1000</w:t>
      </w:r>
      <w:r>
        <w:rPr>
          <w:color w:val="0000FF"/>
          <w:spacing w:val="-8"/>
        </w:rPr>
        <w:t>人就</w:t>
      </w:r>
      <w:r>
        <w:rPr>
          <w:color w:val="0000FF"/>
          <w:spacing w:val="-12"/>
        </w:rPr>
        <w:t>业，其中贫困户就业不低于</w:t>
      </w:r>
      <w:r>
        <w:rPr>
          <w:rFonts w:ascii="Times New Roman" w:eastAsia="Times New Roman"/>
          <w:color w:val="0000FF"/>
          <w:spacing w:val="-10"/>
        </w:rPr>
        <w:t>30%</w:t>
      </w:r>
      <w:r>
        <w:rPr>
          <w:color w:val="0000FF"/>
          <w:spacing w:val="-23"/>
        </w:rPr>
        <w:t>，计</w:t>
      </w:r>
      <w:r>
        <w:rPr>
          <w:rFonts w:ascii="Times New Roman" w:eastAsia="Times New Roman"/>
          <w:color w:val="0000FF"/>
        </w:rPr>
        <w:t>300</w:t>
      </w:r>
      <w:r>
        <w:rPr>
          <w:color w:val="0000FF"/>
          <w:spacing w:val="-8"/>
        </w:rPr>
        <w:t>人。通过带动周边群众积极参与羊产业</w:t>
      </w:r>
      <w:r>
        <w:rPr>
          <w:color w:val="0000FF"/>
        </w:rPr>
        <w:t>养殖，对养殖户提供技术支持和销售路径等方式实现农牧民稳定增收。</w:t>
      </w:r>
    </w:p>
    <w:p>
      <w:pPr>
        <w:pStyle w:val="7"/>
        <w:spacing w:before="1" w:line="364" w:lineRule="auto"/>
        <w:ind w:right="457" w:firstLine="480"/>
        <w:jc w:val="both"/>
        <w:rPr>
          <w:color w:val="0000FF"/>
        </w:rPr>
      </w:pPr>
      <w:r>
        <w:rPr>
          <w:color w:val="0000FF"/>
          <w:spacing w:val="-12"/>
        </w:rPr>
        <w:t>项目能够带动当地贫困农牧民的经济收入，符合《自治区畜牧行业“十三五”</w:t>
      </w:r>
      <w:r>
        <w:rPr>
          <w:color w:val="0000FF"/>
        </w:rPr>
        <w:t>脱贫攻坚实施计划（</w:t>
      </w:r>
      <w:r>
        <w:rPr>
          <w:rFonts w:ascii="Times New Roman" w:hAnsi="Times New Roman" w:eastAsia="Times New Roman"/>
          <w:color w:val="0000FF"/>
        </w:rPr>
        <w:t>2016-2020</w:t>
      </w:r>
      <w:r>
        <w:rPr>
          <w:color w:val="0000FF"/>
        </w:rPr>
        <w:t>年）》。</w:t>
      </w:r>
    </w:p>
    <w:p>
      <w:pPr>
        <w:numPr>
          <w:ilvl w:val="0"/>
          <w:numId w:val="0"/>
        </w:numPr>
        <w:spacing w:line="360" w:lineRule="auto"/>
        <w:ind w:left="0" w:leftChars="0" w:right="0" w:rightChars="0" w:firstLine="240" w:firstLineChars="1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w:t>
      </w:r>
      <w:r>
        <w:rPr>
          <w:rFonts w:hint="default" w:ascii="Times New Roman" w:hAnsi="Times New Roman" w:eastAsia="宋体" w:cs="Times New Roman"/>
          <w:color w:val="0000FF"/>
          <w:sz w:val="24"/>
          <w:lang w:val="en-US" w:eastAsia="zh-CN"/>
        </w:rPr>
        <w:t>4</w:t>
      </w:r>
      <w:r>
        <w:rPr>
          <w:rFonts w:hint="default" w:ascii="Times New Roman" w:hAnsi="Times New Roman" w:eastAsia="宋体" w:cs="Times New Roman"/>
          <w:color w:val="0000FF"/>
          <w:sz w:val="24"/>
        </w:rPr>
        <w:t>）三线一单符合性</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firstLine="480" w:firstLineChars="200"/>
        <w:jc w:val="both"/>
        <w:textAlignment w:val="auto"/>
        <w:rPr>
          <w:rFonts w:hint="default"/>
          <w:color w:val="0000FF"/>
          <w:lang w:val="en-US" w:eastAsia="zh-CN"/>
        </w:rPr>
      </w:pPr>
      <w:r>
        <w:rPr>
          <w:rFonts w:hint="default"/>
          <w:color w:val="0000FF"/>
          <w:lang w:val="en-US" w:eastAsia="zh-CN"/>
        </w:rPr>
        <w:t>根据国家环保部《“十三五”环境影响评价改革实施方案》的要求，以改善环境质量为核心，以全面提高环评有效性为主，以创新体制机制为动力，以“生态保护红线、环境质量底线、资源利用上线和环境准入负面清单”（以下简称“三线一单”）为手段，强化空间、总量、准入环境管理，划框子、定规则、查落实、强基础，不断改进和完善依法、科学、公开、廉洁、高效的环评管理体系。</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jc w:val="both"/>
        <w:textAlignment w:val="auto"/>
        <w:rPr>
          <w:rFonts w:hint="default"/>
          <w:color w:val="0000FF"/>
        </w:rPr>
      </w:pPr>
      <w:r>
        <w:rPr>
          <w:rFonts w:hint="default"/>
          <w:color w:val="0000FF"/>
          <w:lang w:val="en-US" w:eastAsia="zh-CN"/>
        </w:rPr>
        <w:t>生态保护红线：本项目位于莎车县孜热普夏提乡国有未利用地</w:t>
      </w:r>
      <w:r>
        <w:rPr>
          <w:rFonts w:hint="default"/>
          <w:color w:val="0000FF"/>
        </w:rPr>
        <w:t>，周围无自然保护区、饮用水源保护区等生态保护目标，符合生态红线保护要求。</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jc w:val="both"/>
        <w:textAlignment w:val="auto"/>
        <w:rPr>
          <w:rFonts w:hint="default"/>
          <w:color w:val="0000FF"/>
          <w:lang w:eastAsia="zh-CN"/>
        </w:rPr>
      </w:pPr>
      <w:r>
        <w:rPr>
          <w:rFonts w:hint="default"/>
          <w:color w:val="0000FF"/>
        </w:rPr>
        <w:t>环境质量底线</w:t>
      </w:r>
      <w:r>
        <w:rPr>
          <w:rFonts w:hint="default"/>
          <w:color w:val="0000FF"/>
          <w:lang w:eastAsia="zh-CN"/>
        </w:rPr>
        <w:t>：现状监测结果表明，项目所在区域环境空气、地表水、噪声、土壤等均符合相应的环境质量标准，环境质量现状良好。本项目为</w:t>
      </w:r>
      <w:r>
        <w:rPr>
          <w:rFonts w:hint="default"/>
          <w:color w:val="0000FF"/>
          <w:lang w:val="en-US" w:eastAsia="zh-CN"/>
        </w:rPr>
        <w:t>种羊良种繁育</w:t>
      </w:r>
      <w:r>
        <w:rPr>
          <w:rFonts w:hint="default"/>
          <w:color w:val="0000FF"/>
          <w:lang w:eastAsia="zh-CN"/>
        </w:rPr>
        <w:t>项目，在做好污染防治措施，确保污染物稳定达标排放的前提下，不会突破所在区域的环境质量底线。</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jc w:val="both"/>
        <w:textAlignment w:val="auto"/>
        <w:rPr>
          <w:rFonts w:hint="default"/>
          <w:color w:val="0000FF"/>
        </w:rPr>
      </w:pPr>
      <w:r>
        <w:rPr>
          <w:rFonts w:hint="default"/>
          <w:color w:val="0000FF"/>
          <w:lang w:val="en-US" w:eastAsia="zh-CN"/>
        </w:rPr>
        <w:t>资源利用上线：本项目为种羊良种繁育项目，涉及的资源主要为水</w:t>
      </w:r>
      <w:r>
        <w:rPr>
          <w:rFonts w:hint="default"/>
          <w:color w:val="0000FF"/>
        </w:rPr>
        <w:t>项目资源消耗量相对区域资源利用总量较少，符合资源利用上线要求。</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jc w:val="both"/>
        <w:textAlignment w:val="auto"/>
        <w:rPr>
          <w:rFonts w:hint="default"/>
          <w:color w:val="0000FF"/>
          <w:lang w:val="en-US" w:eastAsia="zh-CN"/>
        </w:rPr>
      </w:pPr>
      <w:r>
        <w:rPr>
          <w:rFonts w:hint="default"/>
          <w:color w:val="0000FF"/>
        </w:rPr>
        <w:t>环境准入负面清单</w:t>
      </w:r>
      <w:r>
        <w:rPr>
          <w:rFonts w:hint="default"/>
          <w:color w:val="0000FF"/>
          <w:lang w:eastAsia="zh-CN"/>
        </w:rPr>
        <w:t>：本工程列入2017年6月自治区发展和改革委员会发布的“新疆维吾尔自治区28个国家重点生态功能区县（市）产业准入负面清单”</w:t>
      </w:r>
      <w:r>
        <w:rPr>
          <w:rFonts w:hint="default"/>
          <w:color w:val="0000FF"/>
          <w:lang w:val="en-US" w:eastAsia="zh-CN"/>
        </w:rPr>
        <w:t>中的</w:t>
      </w:r>
      <w:bookmarkStart w:id="17" w:name="_Toc478633048"/>
      <w:r>
        <w:rPr>
          <w:rFonts w:hint="default"/>
          <w:color w:val="0000FF"/>
          <w:lang w:val="en-US" w:eastAsia="zh-CN"/>
        </w:rPr>
        <w:t>莎车县产业</w:t>
      </w:r>
      <w:bookmarkEnd w:id="17"/>
      <w:r>
        <w:rPr>
          <w:rFonts w:hint="default"/>
          <w:color w:val="0000FF"/>
          <w:lang w:val="en-US" w:eastAsia="zh-CN"/>
        </w:rPr>
        <w:t>准入负面清单中</w:t>
      </w:r>
      <w:r>
        <w:rPr>
          <w:rFonts w:hint="default"/>
          <w:color w:val="0000FF"/>
        </w:rPr>
        <w:t>A农、林、牧、渔业03畜牧业、031牲畜饲养、0314羊的饲养</w:t>
      </w:r>
      <w:r>
        <w:rPr>
          <w:rFonts w:hint="default"/>
          <w:color w:val="0000FF"/>
          <w:lang w:eastAsia="zh-CN"/>
        </w:rPr>
        <w:t>。</w:t>
      </w:r>
      <w:r>
        <w:rPr>
          <w:rFonts w:hint="default"/>
          <w:color w:val="0000FF"/>
        </w:rPr>
        <w:t>现有主导产业</w:t>
      </w:r>
      <w:r>
        <w:rPr>
          <w:rFonts w:hint="default"/>
          <w:color w:val="0000FF"/>
          <w:lang w:val="en-US" w:eastAsia="zh-CN"/>
        </w:rPr>
        <w:t>中的</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textAlignment w:val="auto"/>
        <w:rPr>
          <w:rFonts w:hint="default"/>
          <w:color w:val="0000FF"/>
        </w:rPr>
      </w:pPr>
      <w:r>
        <w:rPr>
          <w:rFonts w:hint="default"/>
          <w:color w:val="0000FF"/>
        </w:rPr>
        <w:t>1.禁止放牧，2019年12月31日前全部实现舍饲养殖。</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textAlignment w:val="auto"/>
        <w:rPr>
          <w:rFonts w:hint="default"/>
          <w:color w:val="0000FF"/>
        </w:rPr>
      </w:pPr>
      <w:r>
        <w:rPr>
          <w:rFonts w:hint="default"/>
          <w:color w:val="0000FF"/>
        </w:rPr>
        <w:t>2.以草定畜，羊畜载量限制在20万只羊单位。</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textAlignment w:val="auto"/>
        <w:rPr>
          <w:rFonts w:hint="default"/>
          <w:color w:val="0000FF"/>
        </w:rPr>
      </w:pPr>
      <w:r>
        <w:rPr>
          <w:rFonts w:hint="default"/>
          <w:color w:val="0000FF"/>
        </w:rPr>
        <w:t>3.禁止在达木斯乡40万亩范围内放牧，</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textAlignment w:val="auto"/>
        <w:rPr>
          <w:rFonts w:hint="default"/>
          <w:color w:val="0000FF"/>
          <w:lang w:val="en-US" w:eastAsia="zh-CN"/>
        </w:rPr>
      </w:pPr>
      <w:r>
        <w:rPr>
          <w:rFonts w:hint="default"/>
          <w:color w:val="0000FF"/>
        </w:rPr>
        <w:t>4.养殖区建设区域在全县30个乡镇安居富民点内。</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textAlignment w:val="auto"/>
        <w:rPr>
          <w:rFonts w:hint="default"/>
          <w:color w:val="0000FF"/>
          <w:lang w:val="en-US" w:eastAsia="zh-CN"/>
        </w:rPr>
      </w:pPr>
      <w:r>
        <w:rPr>
          <w:rFonts w:hint="default"/>
          <w:color w:val="0000FF"/>
        </w:rPr>
        <w:t>5.2019年12月31日前完成所有养殖小区牲畜排泄物集中处理设施建设。</w:t>
      </w:r>
    </w:p>
    <w:p>
      <w:pPr>
        <w:pStyle w:val="7"/>
        <w:spacing w:before="1" w:line="364" w:lineRule="auto"/>
        <w:ind w:right="457" w:firstLine="480"/>
        <w:jc w:val="both"/>
        <w:rPr>
          <w:color w:val="0000FF"/>
        </w:rPr>
      </w:pPr>
    </w:p>
    <w:p>
      <w:pPr>
        <w:pStyle w:val="7"/>
        <w:spacing w:before="1" w:line="364" w:lineRule="auto"/>
        <w:ind w:right="457" w:firstLine="480"/>
        <w:jc w:val="both"/>
        <w:rPr>
          <w:color w:val="0000FF"/>
        </w:rPr>
      </w:pPr>
    </w:p>
    <w:p>
      <w:pPr>
        <w:pStyle w:val="2"/>
        <w:numPr>
          <w:ilvl w:val="2"/>
          <w:numId w:val="2"/>
        </w:numPr>
        <w:tabs>
          <w:tab w:val="left" w:pos="1140"/>
        </w:tabs>
        <w:spacing w:before="2" w:after="0" w:line="240" w:lineRule="auto"/>
        <w:ind w:left="1140" w:right="0" w:hanging="600"/>
        <w:jc w:val="both"/>
        <w:outlineLvl w:val="2"/>
      </w:pPr>
      <w:bookmarkStart w:id="18" w:name="_Toc15561"/>
      <w:r>
        <w:t>选址合理性分析</w:t>
      </w:r>
      <w:bookmarkEnd w:id="18"/>
    </w:p>
    <w:p>
      <w:pPr>
        <w:pStyle w:val="18"/>
        <w:numPr>
          <w:ilvl w:val="0"/>
          <w:numId w:val="3"/>
        </w:numPr>
        <w:tabs>
          <w:tab w:val="left" w:pos="1621"/>
        </w:tabs>
        <w:spacing w:before="160" w:after="0" w:line="240" w:lineRule="auto"/>
        <w:ind w:left="1621" w:right="0" w:hanging="601"/>
        <w:jc w:val="left"/>
        <w:rPr>
          <w:color w:val="0000FF"/>
          <w:sz w:val="24"/>
        </w:rPr>
      </w:pPr>
      <w:r>
        <w:rPr>
          <w:color w:val="0000FF"/>
          <w:sz w:val="24"/>
        </w:rPr>
        <w:t>《畜禽规模养殖污染防治条例》选址合理性分析；</w:t>
      </w:r>
    </w:p>
    <w:p>
      <w:pPr>
        <w:pStyle w:val="7"/>
        <w:spacing w:before="161" w:line="364" w:lineRule="auto"/>
        <w:ind w:right="455" w:firstLine="480"/>
        <w:rPr>
          <w:color w:val="0000FF"/>
        </w:rPr>
      </w:pPr>
      <w:r>
        <w:rPr>
          <w:color w:val="0000FF"/>
          <w:spacing w:val="-7"/>
        </w:rPr>
        <w:t>根据《畜禽规模养殖污染防治条例》</w:t>
      </w:r>
      <w:r>
        <w:rPr>
          <w:color w:val="0000FF"/>
        </w:rPr>
        <w:t>（</w:t>
      </w:r>
      <w:r>
        <w:rPr>
          <w:color w:val="0000FF"/>
          <w:spacing w:val="-10"/>
        </w:rPr>
        <w:t>国务院令第</w:t>
      </w:r>
      <w:r>
        <w:rPr>
          <w:rFonts w:ascii="Times New Roman" w:eastAsia="Times New Roman"/>
          <w:color w:val="0000FF"/>
        </w:rPr>
        <w:t>643</w:t>
      </w:r>
      <w:r>
        <w:rPr>
          <w:color w:val="0000FF"/>
        </w:rPr>
        <w:t>号</w:t>
      </w:r>
      <w:r>
        <w:rPr>
          <w:color w:val="0000FF"/>
          <w:spacing w:val="-20"/>
        </w:rPr>
        <w:t>），</w:t>
      </w:r>
      <w:r>
        <w:rPr>
          <w:color w:val="0000FF"/>
        </w:rPr>
        <w:t>禁止在下列区</w:t>
      </w:r>
      <w:r>
        <w:rPr>
          <w:color w:val="0000FF"/>
          <w:spacing w:val="-6"/>
        </w:rPr>
        <w:t>域内建设畜禽养殖场、养殖小区：</w:t>
      </w:r>
      <w:r>
        <w:rPr>
          <w:color w:val="0000FF"/>
          <w:spacing w:val="-30"/>
        </w:rPr>
        <w:t>（</w:t>
      </w:r>
      <w:r>
        <w:rPr>
          <w:color w:val="0000FF"/>
        </w:rPr>
        <w:t>一</w:t>
      </w:r>
      <w:r>
        <w:rPr>
          <w:color w:val="0000FF"/>
          <w:spacing w:val="-29"/>
        </w:rPr>
        <w:t>）</w:t>
      </w:r>
      <w:r>
        <w:rPr>
          <w:color w:val="0000FF"/>
          <w:spacing w:val="-6"/>
        </w:rPr>
        <w:t>饮用水水源保护区，风景名胜区；</w:t>
      </w:r>
      <w:r>
        <w:rPr>
          <w:color w:val="0000FF"/>
          <w:spacing w:val="-30"/>
        </w:rPr>
        <w:t>（</w:t>
      </w:r>
      <w:r>
        <w:rPr>
          <w:color w:val="0000FF"/>
        </w:rPr>
        <w:t>二</w:t>
      </w:r>
      <w:r>
        <w:rPr>
          <w:color w:val="0000FF"/>
          <w:spacing w:val="-16"/>
        </w:rPr>
        <w:t>）</w:t>
      </w:r>
      <w:r>
        <w:rPr>
          <w:color w:val="0000FF"/>
          <w:spacing w:val="-2"/>
        </w:rPr>
        <w:t>自然保护区的核心区和缓冲区；</w:t>
      </w:r>
      <w:r>
        <w:rPr>
          <w:color w:val="0000FF"/>
          <w:spacing w:val="-25"/>
        </w:rPr>
        <w:t>（</w:t>
      </w:r>
      <w:r>
        <w:rPr>
          <w:color w:val="0000FF"/>
        </w:rPr>
        <w:t>三</w:t>
      </w:r>
      <w:r>
        <w:rPr>
          <w:color w:val="0000FF"/>
          <w:spacing w:val="-22"/>
        </w:rPr>
        <w:t>）</w:t>
      </w:r>
      <w:r>
        <w:rPr>
          <w:color w:val="0000FF"/>
          <w:spacing w:val="-4"/>
        </w:rPr>
        <w:t>城镇居民区、文化教育科学研究区等人口</w:t>
      </w:r>
      <w:r>
        <w:rPr>
          <w:color w:val="0000FF"/>
          <w:spacing w:val="-6"/>
        </w:rPr>
        <w:t>集中区域；</w:t>
      </w:r>
      <w:r>
        <w:rPr>
          <w:color w:val="0000FF"/>
          <w:spacing w:val="-14"/>
        </w:rPr>
        <w:t>（</w:t>
      </w:r>
      <w:r>
        <w:rPr>
          <w:color w:val="0000FF"/>
        </w:rPr>
        <w:t>四</w:t>
      </w:r>
      <w:r>
        <w:rPr>
          <w:color w:val="0000FF"/>
          <w:spacing w:val="-15"/>
        </w:rPr>
        <w:t>）</w:t>
      </w:r>
      <w:r>
        <w:rPr>
          <w:color w:val="0000FF"/>
          <w:spacing w:val="-6"/>
        </w:rPr>
        <w:t>法律、法规规定的其他禁止养殖区域。新建、改建、扩建畜禽</w:t>
      </w:r>
      <w:r>
        <w:rPr>
          <w:color w:val="0000FF"/>
          <w:spacing w:val="-11"/>
        </w:rPr>
        <w:t>养殖场、养殖小区，应当符合畜牧业发展规划、畜禽养殖污染防治规划，满足动物防疫条件，并进行环境影响评价。</w:t>
      </w:r>
    </w:p>
    <w:p>
      <w:pPr>
        <w:pStyle w:val="7"/>
        <w:spacing w:before="3" w:line="364" w:lineRule="auto"/>
        <w:ind w:right="457" w:firstLine="480"/>
        <w:jc w:val="both"/>
      </w:pPr>
      <w:r>
        <w:rPr>
          <w:color w:val="0000FF"/>
          <w:spacing w:val="-3"/>
        </w:rPr>
        <w:t>本项目区附近均为农田，距离最近居住区</w:t>
      </w:r>
      <w:r>
        <w:rPr>
          <w:color w:val="0000FF"/>
        </w:rPr>
        <w:t>（村庄</w:t>
      </w:r>
      <w:r>
        <w:rPr>
          <w:color w:val="0000FF"/>
          <w:spacing w:val="-15"/>
        </w:rPr>
        <w:t>）</w:t>
      </w:r>
      <w:r>
        <w:rPr>
          <w:color w:val="0000FF"/>
          <w:spacing w:val="-7"/>
        </w:rPr>
        <w:t>位于项目区西侧约</w:t>
      </w:r>
      <w:r>
        <w:rPr>
          <w:rFonts w:hint="eastAsia" w:ascii="Times New Roman" w:eastAsia="宋体"/>
          <w:color w:val="0000FF"/>
          <w:lang w:val="en-US" w:eastAsia="zh-CN"/>
        </w:rPr>
        <w:t>1.6</w:t>
      </w:r>
      <w:r>
        <w:rPr>
          <w:rFonts w:ascii="Times New Roman" w:eastAsia="Times New Roman"/>
          <w:color w:val="0000FF"/>
        </w:rPr>
        <w:t>km</w:t>
      </w:r>
      <w:r>
        <w:rPr>
          <w:color w:val="0000FF"/>
          <w:spacing w:val="-7"/>
        </w:rPr>
        <w:t>处，项目</w:t>
      </w:r>
      <w:r>
        <w:rPr>
          <w:rFonts w:hint="eastAsia"/>
          <w:color w:val="0000FF"/>
          <w:spacing w:val="-7"/>
          <w:lang w:val="en-US" w:eastAsia="zh-CN"/>
        </w:rPr>
        <w:t>北</w:t>
      </w:r>
      <w:r>
        <w:rPr>
          <w:color w:val="0000FF"/>
          <w:spacing w:val="-7"/>
        </w:rPr>
        <w:t>侧距</w:t>
      </w:r>
      <w:r>
        <w:rPr>
          <w:rFonts w:hint="eastAsia" w:ascii="Times New Roman" w:eastAsia="宋体"/>
          <w:color w:val="0000FF"/>
          <w:lang w:val="en-US" w:eastAsia="zh-CN"/>
        </w:rPr>
        <w:t>508</w:t>
      </w:r>
      <w:r>
        <w:rPr>
          <w:rFonts w:hint="eastAsia" w:eastAsia="宋体"/>
          <w:color w:val="0000FF"/>
          <w:spacing w:val="-15"/>
          <w:lang w:val="en-US" w:eastAsia="zh-CN"/>
        </w:rPr>
        <w:t>县</w:t>
      </w:r>
      <w:r>
        <w:rPr>
          <w:color w:val="0000FF"/>
          <w:spacing w:val="-15"/>
        </w:rPr>
        <w:t>道约</w:t>
      </w:r>
      <w:r>
        <w:rPr>
          <w:rFonts w:ascii="Times New Roman" w:eastAsia="Times New Roman"/>
          <w:color w:val="0000FF"/>
        </w:rPr>
        <w:t>5</w:t>
      </w:r>
      <w:r>
        <w:rPr>
          <w:rFonts w:hint="eastAsia" w:ascii="Times New Roman" w:eastAsia="宋体"/>
          <w:color w:val="0000FF"/>
          <w:lang w:val="en-US" w:eastAsia="zh-CN"/>
        </w:rPr>
        <w:t>50</w:t>
      </w:r>
      <w:r>
        <w:rPr>
          <w:rFonts w:ascii="Times New Roman" w:eastAsia="Times New Roman"/>
          <w:color w:val="0000FF"/>
        </w:rPr>
        <w:t>m</w:t>
      </w:r>
      <w:r>
        <w:rPr>
          <w:color w:val="0000FF"/>
        </w:rPr>
        <w:t>，不在</w:t>
      </w:r>
      <w:r>
        <w:rPr>
          <w:rFonts w:hint="eastAsia"/>
          <w:color w:val="0000FF"/>
          <w:lang w:val="en-US" w:eastAsia="zh-CN"/>
        </w:rPr>
        <w:t>莎车</w:t>
      </w:r>
      <w:r>
        <w:rPr>
          <w:color w:val="0000FF"/>
        </w:rPr>
        <w:t>县划定的畜禽养殖禁养区内，项目远离上述禁建区，且建设符合畜牧业发展规划和畜禽养殖污染防治规划，因此，</w:t>
      </w:r>
      <w:r>
        <w:rPr>
          <w:color w:val="0000FF"/>
          <w:spacing w:val="-14"/>
        </w:rPr>
        <w:t>本项目符合《畜禽规模养殖污染防治条例》</w:t>
      </w:r>
      <w:r>
        <w:rPr>
          <w:color w:val="0000FF"/>
        </w:rPr>
        <w:t>（</w:t>
      </w:r>
      <w:r>
        <w:rPr>
          <w:color w:val="0000FF"/>
          <w:spacing w:val="-11"/>
        </w:rPr>
        <w:t>国务院令第</w:t>
      </w:r>
      <w:r>
        <w:rPr>
          <w:rFonts w:ascii="Times New Roman" w:eastAsia="Times New Roman"/>
          <w:color w:val="0000FF"/>
        </w:rPr>
        <w:t>643</w:t>
      </w:r>
      <w:r>
        <w:rPr>
          <w:color w:val="0000FF"/>
        </w:rPr>
        <w:t>号</w:t>
      </w:r>
      <w:r>
        <w:rPr>
          <w:color w:val="0000FF"/>
          <w:spacing w:val="-53"/>
        </w:rPr>
        <w:t>）</w:t>
      </w:r>
      <w:r>
        <w:rPr>
          <w:color w:val="0000FF"/>
          <w:spacing w:val="-3"/>
        </w:rPr>
        <w:t>中的选址要求。</w:t>
      </w:r>
    </w:p>
    <w:p>
      <w:pPr>
        <w:pStyle w:val="18"/>
        <w:numPr>
          <w:ilvl w:val="0"/>
          <w:numId w:val="3"/>
        </w:numPr>
        <w:tabs>
          <w:tab w:val="left" w:pos="1621"/>
        </w:tabs>
        <w:spacing w:before="3" w:after="0" w:line="240" w:lineRule="auto"/>
        <w:ind w:left="1621" w:right="0" w:hanging="601"/>
        <w:jc w:val="left"/>
        <w:rPr>
          <w:color w:val="0000FF"/>
          <w:sz w:val="24"/>
        </w:rPr>
      </w:pPr>
      <w:r>
        <w:rPr>
          <w:color w:val="0000FF"/>
          <w:sz w:val="24"/>
        </w:rPr>
        <w:t>《畜禽养殖业污染防治技术规范》选址合理性分析；</w:t>
      </w:r>
    </w:p>
    <w:p>
      <w:pPr>
        <w:pStyle w:val="7"/>
        <w:spacing w:before="160" w:line="364" w:lineRule="auto"/>
        <w:ind w:right="575" w:firstLine="480"/>
        <w:jc w:val="both"/>
        <w:rPr>
          <w:color w:val="0000FF"/>
        </w:rPr>
      </w:pPr>
      <w:r>
        <w:rPr>
          <w:color w:val="0000FF"/>
        </w:rPr>
        <w:t>根据《畜禽养殖业污染防治技术规范》（</w:t>
      </w:r>
      <w:r>
        <w:rPr>
          <w:rFonts w:ascii="Times New Roman" w:eastAsia="Times New Roman"/>
          <w:color w:val="0000FF"/>
        </w:rPr>
        <w:t>HJ/T81-2001</w:t>
      </w:r>
      <w:r>
        <w:rPr>
          <w:color w:val="0000FF"/>
        </w:rPr>
        <w:t>），畜禽养殖业禁止</w:t>
      </w:r>
      <w:r>
        <w:rPr>
          <w:color w:val="0000FF"/>
          <w:spacing w:val="-7"/>
        </w:rPr>
        <w:t>建在：</w:t>
      </w:r>
      <w:r>
        <w:rPr>
          <w:color w:val="0000FF"/>
          <w:spacing w:val="-20"/>
        </w:rPr>
        <w:t>（</w:t>
      </w:r>
      <w:r>
        <w:rPr>
          <w:color w:val="0000FF"/>
        </w:rPr>
        <w:t>一</w:t>
      </w:r>
      <w:r>
        <w:rPr>
          <w:color w:val="0000FF"/>
          <w:spacing w:val="-20"/>
        </w:rPr>
        <w:t>）</w:t>
      </w:r>
      <w:r>
        <w:rPr>
          <w:color w:val="0000FF"/>
          <w:spacing w:val="-5"/>
        </w:rPr>
        <w:t>生活饮用水水源保护区、风景名胜区、自然保护区的核心区及缓冲</w:t>
      </w:r>
      <w:r>
        <w:rPr>
          <w:color w:val="0000FF"/>
          <w:spacing w:val="-6"/>
        </w:rPr>
        <w:t>区；</w:t>
      </w:r>
      <w:r>
        <w:rPr>
          <w:color w:val="0000FF"/>
          <w:spacing w:val="-12"/>
        </w:rPr>
        <w:t>（</w:t>
      </w:r>
      <w:r>
        <w:rPr>
          <w:color w:val="0000FF"/>
        </w:rPr>
        <w:t>二</w:t>
      </w:r>
      <w:r>
        <w:rPr>
          <w:color w:val="0000FF"/>
          <w:spacing w:val="-12"/>
        </w:rPr>
        <w:t>）</w:t>
      </w:r>
      <w:r>
        <w:rPr>
          <w:color w:val="0000FF"/>
          <w:spacing w:val="-7"/>
        </w:rPr>
        <w:t>城市和城镇居民区，包括文教科研区、医疗区、商业区、工业区、游</w:t>
      </w:r>
      <w:r>
        <w:rPr>
          <w:color w:val="0000FF"/>
          <w:spacing w:val="-2"/>
        </w:rPr>
        <w:t>览区等人口集中的地区；</w:t>
      </w:r>
      <w:r>
        <w:rPr>
          <w:color w:val="0000FF"/>
          <w:spacing w:val="-16"/>
        </w:rPr>
        <w:t>（</w:t>
      </w:r>
      <w:r>
        <w:rPr>
          <w:color w:val="0000FF"/>
        </w:rPr>
        <w:t>三</w:t>
      </w:r>
      <w:r>
        <w:rPr>
          <w:color w:val="0000FF"/>
          <w:spacing w:val="-17"/>
        </w:rPr>
        <w:t>）</w:t>
      </w:r>
      <w:r>
        <w:rPr>
          <w:color w:val="0000FF"/>
          <w:spacing w:val="-1"/>
        </w:rPr>
        <w:t>县级人民政府依法划定的禁养区域；</w:t>
      </w:r>
      <w:r>
        <w:rPr>
          <w:color w:val="0000FF"/>
          <w:spacing w:val="-16"/>
        </w:rPr>
        <w:t>（</w:t>
      </w:r>
      <w:r>
        <w:rPr>
          <w:color w:val="0000FF"/>
        </w:rPr>
        <w:t>四</w:t>
      </w:r>
      <w:r>
        <w:rPr>
          <w:color w:val="0000FF"/>
          <w:spacing w:val="-17"/>
        </w:rPr>
        <w:t>）</w:t>
      </w:r>
      <w:r>
        <w:rPr>
          <w:color w:val="0000FF"/>
          <w:spacing w:val="-7"/>
        </w:rPr>
        <w:t>国家</w:t>
      </w:r>
      <w:r>
        <w:rPr>
          <w:color w:val="0000FF"/>
          <w:spacing w:val="-10"/>
        </w:rPr>
        <w:t>或地方法律、法规规定需特殊保护的其它区域。若在禁建区域附近建设的，应设</w:t>
      </w:r>
      <w:r>
        <w:rPr>
          <w:color w:val="0000FF"/>
          <w:spacing w:val="-6"/>
        </w:rPr>
        <w:t>在禁建区域常年主导风向的下风向或侧风向处，厂界与禁建区域边界的最小距离</w:t>
      </w:r>
      <w:r>
        <w:rPr>
          <w:color w:val="0000FF"/>
        </w:rPr>
        <w:t>不得小于</w:t>
      </w:r>
      <w:r>
        <w:rPr>
          <w:rFonts w:ascii="Times New Roman" w:eastAsia="Times New Roman"/>
          <w:color w:val="0000FF"/>
        </w:rPr>
        <w:t>500m</w:t>
      </w:r>
      <w:r>
        <w:rPr>
          <w:color w:val="0000FF"/>
        </w:rPr>
        <w:t>。</w:t>
      </w:r>
    </w:p>
    <w:p>
      <w:pPr>
        <w:pStyle w:val="7"/>
        <w:spacing w:before="160" w:line="364" w:lineRule="auto"/>
        <w:ind w:right="485" w:firstLine="480"/>
        <w:jc w:val="both"/>
        <w:rPr>
          <w:color w:val="0000FF"/>
        </w:rPr>
      </w:pPr>
      <w:r>
        <w:rPr>
          <w:color w:val="0000FF"/>
          <w:spacing w:val="-4"/>
        </w:rPr>
        <w:t>本项目建设地点位于</w:t>
      </w:r>
      <w:r>
        <w:rPr>
          <w:color w:val="0000FF"/>
          <w:spacing w:val="-5"/>
        </w:rPr>
        <w:t>新疆</w:t>
      </w:r>
      <w:r>
        <w:rPr>
          <w:rFonts w:hint="eastAsia"/>
          <w:color w:val="0000FF"/>
          <w:spacing w:val="-5"/>
          <w:lang w:val="en-US" w:eastAsia="zh-CN"/>
        </w:rPr>
        <w:t>喀什</w:t>
      </w:r>
      <w:r>
        <w:rPr>
          <w:color w:val="0000FF"/>
          <w:spacing w:val="-5"/>
        </w:rPr>
        <w:t>地区</w:t>
      </w:r>
      <w:r>
        <w:rPr>
          <w:rFonts w:hint="eastAsia"/>
          <w:color w:val="0000FF"/>
          <w:spacing w:val="-5"/>
          <w:lang w:val="en-US" w:eastAsia="zh-CN"/>
        </w:rPr>
        <w:t>莎车</w:t>
      </w:r>
      <w:r>
        <w:rPr>
          <w:color w:val="0000FF"/>
          <w:spacing w:val="-5"/>
        </w:rPr>
        <w:t>县</w:t>
      </w:r>
      <w:r>
        <w:rPr>
          <w:rFonts w:hint="eastAsia" w:ascii="宋体" w:hAnsi="宋体"/>
          <w:color w:val="0000FF"/>
          <w:szCs w:val="21"/>
        </w:rPr>
        <w:t>孜热甫夏提乡3村</w:t>
      </w:r>
      <w:r>
        <w:rPr>
          <w:color w:val="0000FF"/>
          <w:spacing w:val="-4"/>
        </w:rPr>
        <w:t>，距离</w:t>
      </w:r>
      <w:r>
        <w:rPr>
          <w:rFonts w:hint="eastAsia"/>
          <w:color w:val="0000FF"/>
          <w:spacing w:val="-4"/>
          <w:lang w:val="en-US" w:eastAsia="zh-CN"/>
        </w:rPr>
        <w:t>萨依吾斯塘村</w:t>
      </w:r>
      <w:r>
        <w:rPr>
          <w:color w:val="0000FF"/>
          <w:spacing w:val="-11"/>
        </w:rPr>
        <w:t>居住区约</w:t>
      </w:r>
      <w:r>
        <w:rPr>
          <w:rFonts w:hint="eastAsia"/>
          <w:color w:val="0000FF"/>
          <w:spacing w:val="-11"/>
          <w:lang w:val="en-US" w:eastAsia="zh-CN"/>
        </w:rPr>
        <w:t xml:space="preserve">1.6 </w:t>
      </w:r>
      <w:r>
        <w:rPr>
          <w:rFonts w:ascii="Times New Roman" w:eastAsia="Times New Roman"/>
          <w:color w:val="0000FF"/>
        </w:rPr>
        <w:t>km</w:t>
      </w:r>
      <w:r>
        <w:rPr>
          <w:color w:val="0000FF"/>
          <w:spacing w:val="-7"/>
        </w:rPr>
        <w:t>，项目区</w:t>
      </w:r>
      <w:r>
        <w:rPr>
          <w:rFonts w:hint="eastAsia"/>
          <w:color w:val="0000FF"/>
          <w:spacing w:val="-7"/>
          <w:lang w:val="en-US" w:eastAsia="zh-CN"/>
        </w:rPr>
        <w:t>北侧距508县道约550</w:t>
      </w:r>
      <w:r>
        <w:rPr>
          <w:rFonts w:ascii="Times New Roman" w:eastAsia="Times New Roman"/>
          <w:color w:val="0000FF"/>
        </w:rPr>
        <w:t>m</w:t>
      </w:r>
      <w:r>
        <w:rPr>
          <w:color w:val="0000FF"/>
        </w:rPr>
        <w:t>，</w:t>
      </w:r>
      <w:r>
        <w:rPr>
          <w:rFonts w:hint="eastAsia"/>
          <w:color w:val="0000FF"/>
          <w:lang w:val="en-US" w:eastAsia="zh-CN"/>
        </w:rPr>
        <w:t>莎车</w:t>
      </w:r>
      <w:r>
        <w:rPr>
          <w:color w:val="0000FF"/>
        </w:rPr>
        <w:t>县常年主导风向为</w:t>
      </w:r>
      <w:r>
        <w:rPr>
          <w:color w:val="0000FF"/>
          <w:spacing w:val="-1"/>
        </w:rPr>
        <w:t>西风，选址位于禁养区侧风向。本项目拟建地无生活饮用水水源保护区、</w:t>
      </w:r>
      <w:r>
        <w:rPr>
          <w:color w:val="0000FF"/>
          <w:spacing w:val="-9"/>
        </w:rPr>
        <w:t>风景名胜区、自然保护区等敏感她区；位于农村地区，原址为一般耕地和天然牧</w:t>
      </w:r>
      <w:r>
        <w:rPr>
          <w:color w:val="0000FF"/>
          <w:spacing w:val="-8"/>
        </w:rPr>
        <w:t>草地，已划拨的方式作为</w:t>
      </w:r>
      <w:r>
        <w:rPr>
          <w:rFonts w:hint="eastAsia"/>
          <w:color w:val="0000FF"/>
          <w:spacing w:val="-8"/>
          <w:lang w:val="en-US" w:eastAsia="zh-CN"/>
        </w:rPr>
        <w:t>莎车</w:t>
      </w:r>
      <w:r>
        <w:rPr>
          <w:color w:val="0000FF"/>
          <w:spacing w:val="-8"/>
        </w:rPr>
        <w:t>县农业农村局羊圈用地</w:t>
      </w:r>
      <w:r>
        <w:rPr>
          <w:color w:val="0000FF"/>
        </w:rPr>
        <w:t>（设施农用地</w:t>
      </w:r>
      <w:r>
        <w:rPr>
          <w:color w:val="0000FF"/>
          <w:spacing w:val="-24"/>
        </w:rPr>
        <w:t>），</w:t>
      </w:r>
      <w:r>
        <w:rPr>
          <w:color w:val="0000FF"/>
        </w:rPr>
        <w:t>所在地不</w:t>
      </w:r>
      <w:r>
        <w:rPr>
          <w:color w:val="0000FF"/>
          <w:spacing w:val="-7"/>
        </w:rPr>
        <w:t>属于人口集中地区；不属于</w:t>
      </w:r>
      <w:r>
        <w:rPr>
          <w:rFonts w:hint="eastAsia"/>
          <w:color w:val="0000FF"/>
          <w:spacing w:val="-7"/>
          <w:lang w:val="en-US" w:eastAsia="zh-CN"/>
        </w:rPr>
        <w:t>莎车</w:t>
      </w:r>
      <w:r>
        <w:rPr>
          <w:color w:val="0000FF"/>
          <w:spacing w:val="-7"/>
        </w:rPr>
        <w:t>县划定的禁养区域；不属于国家或地方法律、法</w:t>
      </w:r>
      <w:r>
        <w:rPr>
          <w:color w:val="0000FF"/>
          <w:spacing w:val="-9"/>
        </w:rPr>
        <w:t>规规定的特殊保护的区域</w:t>
      </w:r>
      <w:r>
        <w:rPr>
          <w:color w:val="0000FF"/>
        </w:rPr>
        <w:t>（</w:t>
      </w:r>
      <w:r>
        <w:rPr>
          <w:color w:val="0000FF"/>
          <w:spacing w:val="-3"/>
        </w:rPr>
        <w:t>未占用基本农田；未在生态红线内</w:t>
      </w:r>
      <w:r>
        <w:rPr>
          <w:color w:val="0000FF"/>
          <w:spacing w:val="-24"/>
        </w:rPr>
        <w:t>）；</w:t>
      </w:r>
      <w:r>
        <w:rPr>
          <w:color w:val="0000FF"/>
        </w:rPr>
        <w:t>用地区边界外</w:t>
      </w:r>
      <w:r>
        <w:rPr>
          <w:rFonts w:ascii="Times New Roman" w:eastAsia="Times New Roman"/>
          <w:color w:val="0000FF"/>
        </w:rPr>
        <w:t>500m</w:t>
      </w:r>
      <w:r>
        <w:rPr>
          <w:color w:val="0000FF"/>
          <w:spacing w:val="6"/>
        </w:rPr>
        <w:t>范围内无禁建区。因此，本项目符合《畜禽养殖业污染防治技术规范》</w:t>
      </w:r>
    </w:p>
    <w:p>
      <w:pPr>
        <w:pStyle w:val="7"/>
        <w:spacing w:before="5"/>
        <w:jc w:val="both"/>
        <w:rPr>
          <w:color w:val="0000FF"/>
        </w:rPr>
      </w:pPr>
      <w:r>
        <w:rPr>
          <w:color w:val="0000FF"/>
        </w:rPr>
        <w:t>（</w:t>
      </w:r>
      <w:r>
        <w:rPr>
          <w:rFonts w:ascii="Times New Roman" w:eastAsia="Times New Roman"/>
          <w:color w:val="0000FF"/>
        </w:rPr>
        <w:t>HJ/T81-2001</w:t>
      </w:r>
      <w:r>
        <w:rPr>
          <w:color w:val="0000FF"/>
        </w:rPr>
        <w:t>）中的选址要求。</w:t>
      </w:r>
    </w:p>
    <w:p>
      <w:pPr>
        <w:pStyle w:val="18"/>
        <w:numPr>
          <w:ilvl w:val="0"/>
          <w:numId w:val="3"/>
        </w:numPr>
        <w:tabs>
          <w:tab w:val="left" w:pos="1621"/>
        </w:tabs>
        <w:spacing w:before="161" w:after="0" w:line="240" w:lineRule="auto"/>
        <w:ind w:left="1621" w:right="0" w:hanging="601"/>
        <w:jc w:val="left"/>
        <w:rPr>
          <w:color w:val="0000FF"/>
          <w:sz w:val="24"/>
        </w:rPr>
      </w:pPr>
      <w:r>
        <w:rPr>
          <w:color w:val="0000FF"/>
          <w:sz w:val="24"/>
        </w:rPr>
        <w:t>《动物防疫条件审查办法》选址合理性分析；</w:t>
      </w:r>
    </w:p>
    <w:p>
      <w:pPr>
        <w:pStyle w:val="7"/>
        <w:spacing w:before="160" w:line="364" w:lineRule="auto"/>
        <w:ind w:right="577" w:firstLine="480"/>
        <w:jc w:val="both"/>
        <w:rPr>
          <w:color w:val="0000FF"/>
        </w:rPr>
      </w:pPr>
      <w:r>
        <w:rPr>
          <w:color w:val="0000FF"/>
          <w:spacing w:val="-1"/>
        </w:rPr>
        <w:t>根据《动物防疫条件审查办法》第二章饲养场、养殖小区动物防疫条件中</w:t>
      </w:r>
      <w:r>
        <w:rPr>
          <w:color w:val="0000FF"/>
          <w:spacing w:val="-2"/>
        </w:rPr>
        <w:t>动物饲养场选址应当符合第五条：</w:t>
      </w:r>
      <w:r>
        <w:rPr>
          <w:color w:val="0000FF"/>
          <w:spacing w:val="-25"/>
        </w:rPr>
        <w:t>（</w:t>
      </w:r>
      <w:r>
        <w:rPr>
          <w:color w:val="0000FF"/>
        </w:rPr>
        <w:t>一</w:t>
      </w:r>
      <w:r>
        <w:rPr>
          <w:color w:val="0000FF"/>
          <w:spacing w:val="-22"/>
        </w:rPr>
        <w:t>）</w:t>
      </w:r>
      <w:r>
        <w:rPr>
          <w:color w:val="0000FF"/>
          <w:spacing w:val="-4"/>
        </w:rPr>
        <w:t>距离生活饮用水源地、动物屠宰加工场所、动物和动物产品集贸市场</w:t>
      </w:r>
      <w:r>
        <w:rPr>
          <w:rFonts w:ascii="Times New Roman" w:eastAsia="Times New Roman"/>
          <w:color w:val="0000FF"/>
        </w:rPr>
        <w:t>500</w:t>
      </w:r>
      <w:r>
        <w:rPr>
          <w:color w:val="0000FF"/>
          <w:spacing w:val="-6"/>
        </w:rPr>
        <w:t>米以上；距离种畜禽场</w:t>
      </w:r>
      <w:r>
        <w:rPr>
          <w:rFonts w:ascii="Times New Roman" w:eastAsia="Times New Roman"/>
          <w:color w:val="0000FF"/>
        </w:rPr>
        <w:t>1000</w:t>
      </w:r>
      <w:r>
        <w:rPr>
          <w:color w:val="0000FF"/>
          <w:spacing w:val="-2"/>
        </w:rPr>
        <w:t>米以上；距离动</w:t>
      </w:r>
    </w:p>
    <w:p>
      <w:pPr>
        <w:pStyle w:val="7"/>
        <w:spacing w:before="2"/>
        <w:jc w:val="both"/>
        <w:rPr>
          <w:color w:val="0000FF"/>
        </w:rPr>
      </w:pPr>
      <w:r>
        <w:rPr>
          <w:color w:val="0000FF"/>
        </w:rPr>
        <w:t>物诊疗场所</w:t>
      </w:r>
      <w:r>
        <w:rPr>
          <w:rFonts w:ascii="Times New Roman" w:eastAsia="Times New Roman"/>
          <w:color w:val="0000FF"/>
        </w:rPr>
        <w:t>200</w:t>
      </w:r>
      <w:r>
        <w:rPr>
          <w:color w:val="0000FF"/>
        </w:rPr>
        <w:t>米以上；动物饲养场（养殖小区）之间距离不少于</w:t>
      </w:r>
      <w:r>
        <w:rPr>
          <w:rFonts w:ascii="Times New Roman" w:eastAsia="Times New Roman"/>
          <w:color w:val="0000FF"/>
        </w:rPr>
        <w:t>500</w:t>
      </w:r>
      <w:r>
        <w:rPr>
          <w:color w:val="0000FF"/>
        </w:rPr>
        <w:t>米；（二）</w:t>
      </w:r>
    </w:p>
    <w:p>
      <w:pPr>
        <w:pStyle w:val="7"/>
        <w:spacing w:before="160"/>
        <w:jc w:val="both"/>
        <w:rPr>
          <w:color w:val="0000FF"/>
        </w:rPr>
      </w:pPr>
      <w:r>
        <w:rPr>
          <w:color w:val="0000FF"/>
        </w:rPr>
        <w:t>距离动物隔离场所、无害化处理场所</w:t>
      </w:r>
      <w:r>
        <w:rPr>
          <w:rFonts w:ascii="Times New Roman" w:eastAsia="Times New Roman"/>
          <w:color w:val="0000FF"/>
        </w:rPr>
        <w:t>3000</w:t>
      </w:r>
      <w:r>
        <w:rPr>
          <w:color w:val="0000FF"/>
        </w:rPr>
        <w:t>米以上；（三）距离城镇居民区、文</w:t>
      </w:r>
    </w:p>
    <w:p>
      <w:pPr>
        <w:pStyle w:val="7"/>
        <w:spacing w:before="161"/>
        <w:jc w:val="both"/>
        <w:rPr>
          <w:color w:val="0000FF"/>
        </w:rPr>
      </w:pPr>
      <w:r>
        <w:rPr>
          <w:color w:val="0000FF"/>
        </w:rPr>
        <w:t>化教育科研等人口集中区域及公路、铁路等主要交通干线</w:t>
      </w:r>
      <w:r>
        <w:rPr>
          <w:rFonts w:ascii="Times New Roman" w:eastAsia="Times New Roman"/>
          <w:color w:val="0000FF"/>
        </w:rPr>
        <w:t>500</w:t>
      </w:r>
      <w:r>
        <w:rPr>
          <w:color w:val="0000FF"/>
        </w:rPr>
        <w:t>米以上。</w:t>
      </w:r>
    </w:p>
    <w:p>
      <w:pPr>
        <w:pStyle w:val="7"/>
        <w:spacing w:before="160" w:line="364" w:lineRule="auto"/>
        <w:ind w:right="575" w:firstLine="480"/>
        <w:jc w:val="both"/>
        <w:rPr>
          <w:color w:val="0000FF"/>
        </w:rPr>
      </w:pPr>
      <w:r>
        <w:rPr>
          <w:color w:val="0000FF"/>
          <w:spacing w:val="-5"/>
        </w:rPr>
        <w:t>本项目建设地点位于新疆</w:t>
      </w:r>
      <w:r>
        <w:rPr>
          <w:rFonts w:hint="eastAsia"/>
          <w:color w:val="0000FF"/>
          <w:spacing w:val="-5"/>
          <w:lang w:val="en-US" w:eastAsia="zh-CN"/>
        </w:rPr>
        <w:t>喀什</w:t>
      </w:r>
      <w:r>
        <w:rPr>
          <w:color w:val="0000FF"/>
          <w:spacing w:val="-5"/>
        </w:rPr>
        <w:t>地区</w:t>
      </w:r>
      <w:r>
        <w:rPr>
          <w:rFonts w:hint="eastAsia"/>
          <w:color w:val="0000FF"/>
          <w:spacing w:val="-5"/>
          <w:lang w:val="en-US" w:eastAsia="zh-CN"/>
        </w:rPr>
        <w:t>莎车</w:t>
      </w:r>
      <w:r>
        <w:rPr>
          <w:color w:val="0000FF"/>
          <w:spacing w:val="-5"/>
        </w:rPr>
        <w:t>县</w:t>
      </w:r>
      <w:r>
        <w:rPr>
          <w:rFonts w:hint="eastAsia" w:ascii="宋体" w:hAnsi="宋体"/>
          <w:color w:val="0000FF"/>
          <w:szCs w:val="21"/>
        </w:rPr>
        <w:t>孜热甫夏提乡3村</w:t>
      </w:r>
      <w:r>
        <w:rPr>
          <w:color w:val="0000FF"/>
          <w:spacing w:val="-5"/>
        </w:rPr>
        <w:t>，距离</w:t>
      </w:r>
      <w:r>
        <w:rPr>
          <w:rFonts w:hint="eastAsia"/>
          <w:color w:val="0000FF"/>
          <w:spacing w:val="-4"/>
          <w:lang w:val="en-US" w:eastAsia="zh-CN"/>
        </w:rPr>
        <w:t>萨依吾斯塘村</w:t>
      </w:r>
      <w:r>
        <w:rPr>
          <w:color w:val="0000FF"/>
          <w:spacing w:val="-11"/>
        </w:rPr>
        <w:t>居住区约</w:t>
      </w:r>
      <w:r>
        <w:rPr>
          <w:rFonts w:hint="eastAsia"/>
          <w:color w:val="0000FF"/>
          <w:spacing w:val="-11"/>
          <w:lang w:val="en-US" w:eastAsia="zh-CN"/>
        </w:rPr>
        <w:t xml:space="preserve">1.6 </w:t>
      </w:r>
      <w:r>
        <w:rPr>
          <w:rFonts w:ascii="Times New Roman" w:eastAsia="Times New Roman"/>
          <w:color w:val="0000FF"/>
        </w:rPr>
        <w:t>km</w:t>
      </w:r>
      <w:r>
        <w:rPr>
          <w:color w:val="0000FF"/>
          <w:spacing w:val="-13"/>
        </w:rPr>
        <w:t>。项目区周围</w:t>
      </w:r>
      <w:r>
        <w:rPr>
          <w:rFonts w:ascii="Times New Roman" w:eastAsia="Times New Roman"/>
          <w:color w:val="0000FF"/>
        </w:rPr>
        <w:t>3.0km</w:t>
      </w:r>
      <w:r>
        <w:rPr>
          <w:color w:val="0000FF"/>
          <w:spacing w:val="-3"/>
        </w:rPr>
        <w:t>范围内无生活饮用水源地、动物屠宰加</w:t>
      </w:r>
      <w:r>
        <w:rPr>
          <w:color w:val="0000FF"/>
          <w:spacing w:val="-8"/>
        </w:rPr>
        <w:t>工场所、动物和动物产品集贸市场、种畜禽场、动物诊疗场所、动物饲养场</w:t>
      </w:r>
      <w:r>
        <w:rPr>
          <w:color w:val="0000FF"/>
        </w:rPr>
        <w:t>（</w:t>
      </w:r>
      <w:r>
        <w:rPr>
          <w:color w:val="0000FF"/>
          <w:spacing w:val="-12"/>
        </w:rPr>
        <w:t>养</w:t>
      </w:r>
      <w:r>
        <w:rPr>
          <w:color w:val="0000FF"/>
        </w:rPr>
        <w:t>殖小区</w:t>
      </w:r>
      <w:r>
        <w:rPr>
          <w:color w:val="0000FF"/>
          <w:spacing w:val="-24"/>
        </w:rPr>
        <w:t>）</w:t>
      </w:r>
      <w:r>
        <w:rPr>
          <w:color w:val="0000FF"/>
          <w:spacing w:val="-11"/>
        </w:rPr>
        <w:t>、动物隔离场所和无害化处理场，周边</w:t>
      </w:r>
      <w:r>
        <w:rPr>
          <w:rFonts w:ascii="Times New Roman" w:eastAsia="Times New Roman"/>
          <w:color w:val="0000FF"/>
        </w:rPr>
        <w:t>0.5km</w:t>
      </w:r>
      <w:r>
        <w:rPr>
          <w:color w:val="0000FF"/>
          <w:spacing w:val="-5"/>
        </w:rPr>
        <w:t>范围内无城镇居民区、文</w:t>
      </w:r>
      <w:r>
        <w:rPr>
          <w:color w:val="0000FF"/>
          <w:spacing w:val="-7"/>
        </w:rPr>
        <w:t>化教育科研等人口集中区域，无公路、铁路等主要交通干线。因此，本项目符合</w:t>
      </w:r>
      <w:r>
        <w:rPr>
          <w:color w:val="0000FF"/>
        </w:rPr>
        <w:t>《动物防疫条件审查办法》中动物饲养场选址要求。</w:t>
      </w:r>
    </w:p>
    <w:p>
      <w:pPr>
        <w:pStyle w:val="18"/>
        <w:numPr>
          <w:ilvl w:val="0"/>
          <w:numId w:val="3"/>
        </w:numPr>
        <w:tabs>
          <w:tab w:val="left" w:pos="1621"/>
        </w:tabs>
        <w:spacing w:before="161" w:after="0" w:line="240" w:lineRule="auto"/>
        <w:ind w:left="1621" w:right="0" w:hanging="601"/>
        <w:jc w:val="both"/>
        <w:rPr>
          <w:sz w:val="24"/>
        </w:rPr>
      </w:pPr>
      <w:r>
        <w:rPr>
          <w:rFonts w:hint="eastAsia"/>
          <w:color w:val="0000FF"/>
          <w:sz w:val="24"/>
          <w:lang w:val="en-US" w:eastAsia="zh-CN"/>
        </w:rPr>
        <w:t>莎车</w:t>
      </w:r>
      <w:r>
        <w:rPr>
          <w:color w:val="0000FF"/>
          <w:sz w:val="24"/>
        </w:rPr>
        <w:t>县畜禽养殖禁养区</w:t>
      </w:r>
      <w:r>
        <w:rPr>
          <w:sz w:val="24"/>
        </w:rPr>
        <w:t>；</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539" w:right="455" w:firstLine="480"/>
        <w:jc w:val="both"/>
        <w:textAlignment w:val="auto"/>
        <w:rPr>
          <w:color w:val="0000FF"/>
        </w:rPr>
      </w:pPr>
      <w:r>
        <w:rPr>
          <w:rFonts w:hint="eastAsia"/>
          <w:color w:val="0000FF"/>
          <w:lang w:val="en-US" w:eastAsia="zh-CN"/>
        </w:rPr>
        <w:t>莎车</w:t>
      </w:r>
      <w:r>
        <w:rPr>
          <w:color w:val="0000FF"/>
        </w:rPr>
        <w:t>县畜禽养殖禁养区的划定如下：（一）集中式饮用水水源保护区范围：</w:t>
      </w:r>
      <w:r>
        <w:rPr>
          <w:color w:val="0000FF"/>
          <w:spacing w:val="-7"/>
        </w:rPr>
        <w:t>水源一级保护区、二级保护区；</w:t>
      </w:r>
      <w:r>
        <w:rPr>
          <w:color w:val="0000FF"/>
          <w:spacing w:val="-33"/>
        </w:rPr>
        <w:t>（</w:t>
      </w:r>
      <w:r>
        <w:rPr>
          <w:color w:val="0000FF"/>
        </w:rPr>
        <w:t>二</w:t>
      </w:r>
      <w:r>
        <w:rPr>
          <w:color w:val="0000FF"/>
          <w:spacing w:val="-34"/>
        </w:rPr>
        <w:t>）</w:t>
      </w:r>
      <w:r>
        <w:rPr>
          <w:color w:val="0000FF"/>
          <w:spacing w:val="-5"/>
        </w:rPr>
        <w:t>公路交通距主要交通主干</w:t>
      </w:r>
      <w:r>
        <w:rPr>
          <w:rFonts w:ascii="Times New Roman" w:eastAsia="Times New Roman"/>
          <w:color w:val="0000FF"/>
        </w:rPr>
        <w:t>1000m</w:t>
      </w:r>
      <w:r>
        <w:rPr>
          <w:color w:val="0000FF"/>
          <w:spacing w:val="-17"/>
        </w:rPr>
        <w:t>范围</w:t>
      </w:r>
      <w:r>
        <w:rPr>
          <w:color w:val="0000FF"/>
        </w:rPr>
        <w:t>（两</w:t>
      </w:r>
      <w:r>
        <w:rPr>
          <w:color w:val="0000FF"/>
          <w:spacing w:val="-29"/>
        </w:rPr>
        <w:t>侧</w:t>
      </w:r>
      <w:r>
        <w:rPr>
          <w:rFonts w:ascii="Times New Roman" w:eastAsia="Times New Roman"/>
          <w:color w:val="0000FF"/>
          <w:spacing w:val="-11"/>
        </w:rPr>
        <w:t>500m</w:t>
      </w:r>
      <w:r>
        <w:rPr>
          <w:color w:val="0000FF"/>
          <w:spacing w:val="-11"/>
        </w:rPr>
        <w:t>）：</w:t>
      </w:r>
      <w:r>
        <w:rPr>
          <w:rFonts w:ascii="Times New Roman" w:eastAsia="Times New Roman"/>
          <w:color w:val="0000FF"/>
          <w:spacing w:val="-11"/>
        </w:rPr>
        <w:t>315</w:t>
      </w:r>
      <w:r>
        <w:rPr>
          <w:color w:val="0000FF"/>
          <w:spacing w:val="-6"/>
        </w:rPr>
        <w:t>国道保护范围内；</w:t>
      </w:r>
      <w:r>
        <w:rPr>
          <w:color w:val="0000FF"/>
          <w:spacing w:val="-46"/>
        </w:rPr>
        <w:t>（</w:t>
      </w:r>
      <w:r>
        <w:rPr>
          <w:color w:val="0000FF"/>
        </w:rPr>
        <w:t>三</w:t>
      </w:r>
      <w:r>
        <w:rPr>
          <w:color w:val="0000FF"/>
          <w:spacing w:val="-44"/>
        </w:rPr>
        <w:t>）</w:t>
      </w:r>
      <w:r>
        <w:rPr>
          <w:color w:val="0000FF"/>
          <w:spacing w:val="-5"/>
        </w:rPr>
        <w:t>城镇规划与乡镇规划区外延</w:t>
      </w:r>
      <w:r>
        <w:rPr>
          <w:rFonts w:ascii="Times New Roman" w:eastAsia="Times New Roman"/>
          <w:color w:val="0000FF"/>
        </w:rPr>
        <w:t>500m</w:t>
      </w:r>
      <w:r>
        <w:rPr>
          <w:color w:val="0000FF"/>
          <w:spacing w:val="-5"/>
        </w:rPr>
        <w:t>范围；</w:t>
      </w:r>
      <w:r>
        <w:rPr>
          <w:color w:val="0000FF"/>
        </w:rPr>
        <w:t>（四</w:t>
      </w:r>
      <w:r>
        <w:rPr>
          <w:color w:val="0000FF"/>
          <w:spacing w:val="-20"/>
        </w:rPr>
        <w:t>）</w:t>
      </w:r>
      <w:r>
        <w:rPr>
          <w:color w:val="0000FF"/>
          <w:spacing w:val="-10"/>
        </w:rPr>
        <w:t>其他行政村、自然村人口聚集区、规划住宅区及学校、医院等公共场所及周边外延</w:t>
      </w:r>
      <w:r>
        <w:rPr>
          <w:rFonts w:ascii="Times New Roman" w:eastAsia="Times New Roman"/>
          <w:color w:val="0000FF"/>
        </w:rPr>
        <w:t>500m</w:t>
      </w:r>
      <w:r>
        <w:rPr>
          <w:color w:val="0000FF"/>
          <w:spacing w:val="-5"/>
        </w:rPr>
        <w:t>范围内的区域；乡村小学、幼儿园、卫生院</w:t>
      </w:r>
      <w:r>
        <w:rPr>
          <w:color w:val="0000FF"/>
        </w:rPr>
        <w:t>（所</w:t>
      </w:r>
      <w:r>
        <w:rPr>
          <w:color w:val="0000FF"/>
          <w:spacing w:val="-8"/>
        </w:rPr>
        <w:t>）</w:t>
      </w:r>
      <w:r>
        <w:rPr>
          <w:color w:val="0000FF"/>
          <w:spacing w:val="-5"/>
        </w:rPr>
        <w:t>、农家乐及</w:t>
      </w:r>
      <w:r>
        <w:rPr>
          <w:color w:val="0000FF"/>
          <w:spacing w:val="-7"/>
        </w:rPr>
        <w:t>休闲生态园等周边</w:t>
      </w:r>
      <w:r>
        <w:rPr>
          <w:rFonts w:ascii="Times New Roman" w:eastAsia="Times New Roman"/>
          <w:color w:val="0000FF"/>
        </w:rPr>
        <w:t>500m</w:t>
      </w:r>
      <w:r>
        <w:rPr>
          <w:color w:val="0000FF"/>
          <w:spacing w:val="-1"/>
        </w:rPr>
        <w:t>范围内不得新建养殖场</w:t>
      </w:r>
      <w:r>
        <w:rPr>
          <w:color w:val="0000FF"/>
        </w:rPr>
        <w:t>（小区</w:t>
      </w:r>
      <w:r>
        <w:rPr>
          <w:color w:val="0000FF"/>
          <w:spacing w:val="-8"/>
        </w:rPr>
        <w:t>）；</w:t>
      </w:r>
      <w:r>
        <w:rPr>
          <w:color w:val="0000FF"/>
          <w:spacing w:val="-4"/>
        </w:rPr>
        <w:t>各镇</w:t>
      </w:r>
      <w:r>
        <w:rPr>
          <w:color w:val="0000FF"/>
        </w:rPr>
        <w:t>（街道</w:t>
      </w:r>
      <w:r>
        <w:rPr>
          <w:color w:val="0000FF"/>
          <w:spacing w:val="-10"/>
        </w:rPr>
        <w:t>）</w:t>
      </w:r>
      <w:r>
        <w:rPr>
          <w:color w:val="0000FF"/>
          <w:spacing w:val="-5"/>
        </w:rPr>
        <w:t>交通主</w:t>
      </w:r>
      <w:r>
        <w:rPr>
          <w:color w:val="0000FF"/>
          <w:spacing w:val="-12"/>
        </w:rPr>
        <w:t>干线两侧</w:t>
      </w:r>
      <w:r>
        <w:rPr>
          <w:rFonts w:ascii="Times New Roman" w:eastAsia="Times New Roman"/>
          <w:color w:val="0000FF"/>
        </w:rPr>
        <w:t>500m</w:t>
      </w:r>
      <w:r>
        <w:rPr>
          <w:color w:val="0000FF"/>
        </w:rPr>
        <w:t>不得新建养殖场（小区）。</w:t>
      </w:r>
    </w:p>
    <w:p>
      <w:pPr>
        <w:pStyle w:val="7"/>
        <w:spacing w:before="1" w:line="364" w:lineRule="auto"/>
        <w:ind w:right="575" w:firstLine="480"/>
        <w:jc w:val="both"/>
        <w:rPr>
          <w:color w:val="0000FF"/>
        </w:rPr>
      </w:pPr>
      <w:r>
        <w:rPr>
          <w:color w:val="0000FF"/>
          <w:spacing w:val="-11"/>
        </w:rPr>
        <w:t>本项目距</w:t>
      </w:r>
      <w:r>
        <w:rPr>
          <w:rFonts w:hint="eastAsia"/>
          <w:color w:val="0000FF"/>
          <w:spacing w:val="-11"/>
          <w:lang w:val="en-US" w:eastAsia="zh-CN"/>
        </w:rPr>
        <w:t>508县道约550m</w:t>
      </w:r>
      <w:r>
        <w:rPr>
          <w:color w:val="0000FF"/>
          <w:spacing w:val="-4"/>
        </w:rPr>
        <w:t>，满足与公路主干道相距大于</w:t>
      </w:r>
      <w:r>
        <w:rPr>
          <w:rFonts w:ascii="Times New Roman" w:eastAsia="Times New Roman"/>
          <w:color w:val="0000FF"/>
        </w:rPr>
        <w:t>500m</w:t>
      </w:r>
      <w:r>
        <w:rPr>
          <w:color w:val="0000FF"/>
        </w:rPr>
        <w:t>的距离要求；</w:t>
      </w:r>
      <w:r>
        <w:rPr>
          <w:color w:val="0000FF"/>
          <w:spacing w:val="-5"/>
        </w:rPr>
        <w:t>项目远离水源一级保护区、二级保护区、乡村小学、幼儿园、卫生院</w:t>
      </w:r>
      <w:r>
        <w:rPr>
          <w:color w:val="0000FF"/>
        </w:rPr>
        <w:t>（所</w:t>
      </w:r>
      <w:r>
        <w:rPr>
          <w:color w:val="0000FF"/>
          <w:spacing w:val="-12"/>
        </w:rPr>
        <w:t>）</w:t>
      </w:r>
      <w:r>
        <w:rPr>
          <w:color w:val="0000FF"/>
          <w:spacing w:val="-16"/>
        </w:rPr>
        <w:t>、农</w:t>
      </w:r>
      <w:r>
        <w:rPr>
          <w:color w:val="0000FF"/>
          <w:spacing w:val="-12"/>
        </w:rPr>
        <w:t>家乐及休闲生态园，距离项目最近的居民区为位于西侧</w:t>
      </w:r>
      <w:r>
        <w:rPr>
          <w:rFonts w:hint="eastAsia" w:ascii="Times New Roman" w:eastAsia="宋体"/>
          <w:color w:val="0000FF"/>
          <w:lang w:val="en-US" w:eastAsia="zh-CN"/>
        </w:rPr>
        <w:t>1.6</w:t>
      </w:r>
      <w:r>
        <w:rPr>
          <w:rFonts w:ascii="Times New Roman" w:eastAsia="Times New Roman"/>
          <w:color w:val="0000FF"/>
        </w:rPr>
        <w:t>km</w:t>
      </w:r>
      <w:r>
        <w:rPr>
          <w:color w:val="0000FF"/>
          <w:spacing w:val="-2"/>
        </w:rPr>
        <w:t>处的</w:t>
      </w:r>
      <w:r>
        <w:rPr>
          <w:rFonts w:hint="eastAsia"/>
          <w:color w:val="0000FF"/>
          <w:spacing w:val="-4"/>
          <w:lang w:val="en-US" w:eastAsia="zh-CN"/>
        </w:rPr>
        <w:t>萨依吾斯塘村</w:t>
      </w:r>
      <w:r>
        <w:rPr>
          <w:color w:val="0000FF"/>
          <w:spacing w:val="-8"/>
        </w:rPr>
        <w:t>居民区，满足与环境敏感目标相距大于</w:t>
      </w:r>
      <w:r>
        <w:rPr>
          <w:rFonts w:ascii="Times New Roman" w:eastAsia="Times New Roman"/>
          <w:color w:val="0000FF"/>
        </w:rPr>
        <w:t>500m</w:t>
      </w:r>
      <w:r>
        <w:rPr>
          <w:color w:val="0000FF"/>
          <w:spacing w:val="-5"/>
        </w:rPr>
        <w:t>的距离要求；且项目位于</w:t>
      </w:r>
      <w:r>
        <w:rPr>
          <w:rFonts w:hint="eastAsia"/>
          <w:color w:val="0000FF"/>
          <w:spacing w:val="-5"/>
          <w:lang w:eastAsia="zh-CN"/>
        </w:rPr>
        <w:t>莎车</w:t>
      </w:r>
      <w:r>
        <w:rPr>
          <w:color w:val="0000FF"/>
          <w:spacing w:val="-5"/>
        </w:rPr>
        <w:t>县</w:t>
      </w:r>
      <w:r>
        <w:rPr>
          <w:color w:val="0000FF"/>
        </w:rPr>
        <w:t>乡镇规划范围内。因此，本项目选址不属于</w:t>
      </w:r>
      <w:r>
        <w:rPr>
          <w:rFonts w:hint="eastAsia"/>
          <w:color w:val="0000FF"/>
          <w:lang w:eastAsia="zh-CN"/>
        </w:rPr>
        <w:t>莎车</w:t>
      </w:r>
      <w:r>
        <w:rPr>
          <w:color w:val="0000FF"/>
        </w:rPr>
        <w:t>县划定的禁养区范围。</w:t>
      </w:r>
    </w:p>
    <w:p>
      <w:pPr>
        <w:pStyle w:val="7"/>
        <w:spacing w:before="3" w:line="364" w:lineRule="auto"/>
        <w:ind w:right="577" w:firstLine="480"/>
        <w:jc w:val="both"/>
        <w:rPr>
          <w:color w:val="0000FF"/>
        </w:rPr>
      </w:pPr>
      <w:r>
        <w:rPr>
          <w:color w:val="0000FF"/>
          <w:spacing w:val="-10"/>
        </w:rPr>
        <w:t>综上所述，本项目建设地点不涉及国家法规、标准规范限定的禁建区，也不</w:t>
      </w:r>
      <w:r>
        <w:rPr>
          <w:color w:val="0000FF"/>
        </w:rPr>
        <w:t>在</w:t>
      </w:r>
      <w:r>
        <w:rPr>
          <w:rFonts w:hint="eastAsia"/>
          <w:color w:val="0000FF"/>
          <w:lang w:eastAsia="zh-CN"/>
        </w:rPr>
        <w:t>莎车</w:t>
      </w:r>
      <w:r>
        <w:rPr>
          <w:color w:val="0000FF"/>
        </w:rPr>
        <w:t>县划定的禁养区内，因此，项目选址合理可行。</w:t>
      </w:r>
    </w:p>
    <w:p>
      <w:pPr>
        <w:pStyle w:val="2"/>
        <w:numPr>
          <w:ilvl w:val="2"/>
          <w:numId w:val="2"/>
        </w:numPr>
        <w:tabs>
          <w:tab w:val="left" w:pos="1140"/>
        </w:tabs>
        <w:spacing w:before="1" w:after="0" w:line="240" w:lineRule="auto"/>
        <w:ind w:left="1140" w:right="0" w:hanging="600"/>
        <w:jc w:val="both"/>
        <w:outlineLvl w:val="2"/>
      </w:pPr>
      <w:bookmarkStart w:id="19" w:name="_Toc11899"/>
      <w:r>
        <w:t>项目建设的可行性分析</w:t>
      </w:r>
      <w:bookmarkEnd w:id="19"/>
    </w:p>
    <w:p>
      <w:pPr>
        <w:pStyle w:val="7"/>
        <w:spacing w:before="161" w:line="364" w:lineRule="auto"/>
        <w:ind w:right="455" w:firstLine="480"/>
        <w:jc w:val="both"/>
        <w:rPr>
          <w:color w:val="0000FF"/>
        </w:rPr>
      </w:pPr>
      <w:r>
        <w:rPr>
          <w:color w:val="0000FF"/>
          <w:spacing w:val="-4"/>
        </w:rPr>
        <w:t>项目配套建设畜禽粪便和畜禽尸体处理等综合利用和无害化处理设施；畜禽粪便收集后运至堆肥厂采用高温堆肥发酵处理方式对固体粪污进行无害化处理。</w:t>
      </w:r>
      <w:r>
        <w:rPr>
          <w:color w:val="0000FF"/>
          <w:spacing w:val="-17"/>
        </w:rPr>
        <w:t>根据养殖场内地形，基地场地排水采用无组织排水，地表雨水均排入周围绿化带。</w:t>
      </w:r>
      <w:r>
        <w:rPr>
          <w:color w:val="0000FF"/>
          <w:spacing w:val="-4"/>
        </w:rPr>
        <w:t>养殖场每栋羊舍地面为混凝土地面，上端覆盖</w:t>
      </w:r>
      <w:r>
        <w:rPr>
          <w:rFonts w:ascii="Times New Roman" w:eastAsia="Times New Roman"/>
          <w:color w:val="0000FF"/>
        </w:rPr>
        <w:t>35cm</w:t>
      </w:r>
      <w:r>
        <w:rPr>
          <w:color w:val="0000FF"/>
          <w:spacing w:val="-4"/>
        </w:rPr>
        <w:t>厚垫料，羊排泄的尿液被垫</w:t>
      </w:r>
      <w:r>
        <w:rPr>
          <w:color w:val="0000FF"/>
          <w:spacing w:val="-17"/>
        </w:rPr>
        <w:t>料吸收、蒸发吸收，项目定期对垫料层和粪便进行清理更换，羊舍不进行水冲洗，</w:t>
      </w:r>
      <w:r>
        <w:rPr>
          <w:color w:val="0000FF"/>
          <w:spacing w:val="-6"/>
        </w:rPr>
        <w:t>不产生羊舍冲洗废水。垫料层与羊粪一起进入堆肥厂堆肥发酵，不外排。</w:t>
      </w:r>
      <w:r>
        <w:rPr>
          <w:rFonts w:hint="eastAsia"/>
          <w:color w:val="0000FF"/>
          <w:spacing w:val="-6"/>
          <w:lang w:val="en-US" w:eastAsia="zh-CN"/>
        </w:rPr>
        <w:t>本项目员工产生的生活废水和生活垃圾由</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color w:val="0000FF"/>
          <w:spacing w:val="-6"/>
          <w:lang w:val="en-US" w:eastAsia="zh-CN"/>
        </w:rPr>
        <w:t>和站内设垃圾堆放装置处理</w:t>
      </w:r>
      <w:r>
        <w:rPr>
          <w:color w:val="0000FF"/>
          <w:spacing w:val="-12"/>
        </w:rPr>
        <w:t>；病死羊及分娩物通过厂内无害化处理车间进行无害化处理。</w:t>
      </w:r>
    </w:p>
    <w:p>
      <w:pPr>
        <w:pStyle w:val="7"/>
        <w:spacing w:before="4"/>
        <w:ind w:left="1020"/>
        <w:jc w:val="both"/>
        <w:rPr>
          <w:color w:val="0000FF"/>
        </w:rPr>
      </w:pPr>
      <w:r>
        <w:rPr>
          <w:color w:val="0000FF"/>
        </w:rPr>
        <w:t>项目的建设符合《新疆维吾尔自治区畜牧业现代化“十三五”发展规划》、</w:t>
      </w:r>
    </w:p>
    <w:p>
      <w:pPr>
        <w:pStyle w:val="7"/>
        <w:spacing w:before="161" w:line="364" w:lineRule="auto"/>
        <w:ind w:right="457"/>
        <w:jc w:val="both"/>
        <w:rPr>
          <w:color w:val="0000FF"/>
        </w:rPr>
      </w:pPr>
      <w:r>
        <w:rPr>
          <w:color w:val="0000FF"/>
          <w:spacing w:val="-12"/>
        </w:rPr>
        <w:t>《新疆规模化畜禽养殖污染防治“十三五”规划》和《自治区畜牧行业“十三五”</w:t>
      </w:r>
      <w:r>
        <w:rPr>
          <w:color w:val="0000FF"/>
        </w:rPr>
        <w:t>脱贫攻坚实施计划（</w:t>
      </w:r>
      <w:r>
        <w:rPr>
          <w:rFonts w:ascii="Times New Roman" w:hAnsi="Times New Roman" w:eastAsia="Times New Roman"/>
          <w:color w:val="0000FF"/>
        </w:rPr>
        <w:t>2016-2020</w:t>
      </w:r>
      <w:r>
        <w:rPr>
          <w:color w:val="0000FF"/>
        </w:rPr>
        <w:t>年）》等规划要求。项目选址符合《中华人民共</w:t>
      </w:r>
      <w:r>
        <w:rPr>
          <w:color w:val="0000FF"/>
          <w:spacing w:val="-9"/>
        </w:rPr>
        <w:t>和国畜牧法》、《畜禽养殖业污染治理工程技术规范》、《畜禽养殖业污染防治</w:t>
      </w:r>
      <w:r>
        <w:rPr>
          <w:color w:val="0000FF"/>
          <w:spacing w:val="-12"/>
        </w:rPr>
        <w:t>技术规范》、《畜禽规模养殖污染防治条例》、《动物防疫条件审查办法》等相关要求。项目建设地点不涉及国家法规、标准规范限定的禁建区，不在</w:t>
      </w:r>
      <w:r>
        <w:rPr>
          <w:rFonts w:hint="eastAsia"/>
          <w:color w:val="0000FF"/>
          <w:spacing w:val="-12"/>
          <w:lang w:eastAsia="zh-CN"/>
        </w:rPr>
        <w:t>莎车</w:t>
      </w:r>
      <w:r>
        <w:rPr>
          <w:color w:val="0000FF"/>
          <w:spacing w:val="-12"/>
        </w:rPr>
        <w:t>县划定的禁养区内。因此，本项目建设可行。</w:t>
      </w:r>
    </w:p>
    <w:p>
      <w:pPr>
        <w:pStyle w:val="4"/>
        <w:numPr>
          <w:ilvl w:val="1"/>
          <w:numId w:val="1"/>
        </w:numPr>
        <w:tabs>
          <w:tab w:val="left" w:pos="1100"/>
        </w:tabs>
        <w:spacing w:before="156" w:after="0" w:line="240" w:lineRule="auto"/>
        <w:ind w:left="1099" w:right="0" w:hanging="560"/>
        <w:jc w:val="both"/>
        <w:outlineLvl w:val="1"/>
      </w:pPr>
      <w:bookmarkStart w:id="20" w:name="1.5 关注的主要环境问题及环境影响"/>
      <w:bookmarkEnd w:id="20"/>
      <w:bookmarkStart w:id="21" w:name="_bookmark5"/>
      <w:bookmarkEnd w:id="21"/>
      <w:bookmarkStart w:id="22" w:name="_Toc25571"/>
      <w:r>
        <w:t>关注的主要环境问题及环境影响</w:t>
      </w:r>
      <w:bookmarkEnd w:id="22"/>
    </w:p>
    <w:p>
      <w:pPr>
        <w:pStyle w:val="7"/>
        <w:spacing w:before="3"/>
        <w:ind w:left="0"/>
        <w:jc w:val="both"/>
        <w:rPr>
          <w:b/>
        </w:rPr>
      </w:pPr>
    </w:p>
    <w:p>
      <w:pPr>
        <w:pStyle w:val="7"/>
        <w:spacing w:before="1" w:line="364" w:lineRule="auto"/>
        <w:ind w:right="365" w:firstLine="480"/>
        <w:jc w:val="both"/>
        <w:rPr>
          <w:color w:val="0000FF"/>
        </w:rPr>
      </w:pPr>
      <w:r>
        <w:rPr>
          <w:color w:val="0000FF"/>
          <w:spacing w:val="-3"/>
        </w:rPr>
        <w:t>畜禽养殖业产生的污染物主要包括固体污染物</w:t>
      </w:r>
      <w:r>
        <w:rPr>
          <w:color w:val="0000FF"/>
        </w:rPr>
        <w:t>（</w:t>
      </w:r>
      <w:r>
        <w:rPr>
          <w:color w:val="0000FF"/>
          <w:spacing w:val="-7"/>
        </w:rPr>
        <w:t>粪便、病死畜禽尸体和分娩物</w:t>
      </w:r>
      <w:r>
        <w:rPr>
          <w:color w:val="0000FF"/>
          <w:spacing w:val="-15"/>
        </w:rPr>
        <w:t>）</w:t>
      </w:r>
      <w:r>
        <w:rPr>
          <w:color w:val="0000FF"/>
          <w:spacing w:val="-7"/>
        </w:rPr>
        <w:t>、水污染物</w:t>
      </w:r>
      <w:r>
        <w:rPr>
          <w:color w:val="0000FF"/>
        </w:rPr>
        <w:t>（</w:t>
      </w:r>
      <w:r>
        <w:rPr>
          <w:color w:val="0000FF"/>
          <w:spacing w:val="-3"/>
        </w:rPr>
        <w:t>养殖场废水、尿液</w:t>
      </w:r>
      <w:r>
        <w:rPr>
          <w:color w:val="0000FF"/>
          <w:spacing w:val="-15"/>
        </w:rPr>
        <w:t>）</w:t>
      </w:r>
      <w:r>
        <w:rPr>
          <w:color w:val="0000FF"/>
          <w:spacing w:val="-3"/>
        </w:rPr>
        <w:t>和大气污染物</w:t>
      </w:r>
      <w:r>
        <w:rPr>
          <w:color w:val="0000FF"/>
        </w:rPr>
        <w:t>（</w:t>
      </w:r>
      <w:r>
        <w:rPr>
          <w:color w:val="0000FF"/>
          <w:spacing w:val="-3"/>
        </w:rPr>
        <w:t>恶臭气体、硫化氢和氨</w:t>
      </w:r>
      <w:r>
        <w:rPr>
          <w:color w:val="0000FF"/>
          <w:spacing w:val="-15"/>
        </w:rPr>
        <w:t>）。</w:t>
      </w:r>
      <w:r>
        <w:rPr>
          <w:color w:val="0000FF"/>
          <w:spacing w:val="-9"/>
        </w:rPr>
        <w:t>其中，养殖废水和粪便是主要污染物，具有产生量大、成份复杂等特点，其产</w:t>
      </w:r>
      <w:r>
        <w:rPr>
          <w:rFonts w:hint="eastAsia"/>
          <w:color w:val="0000FF"/>
          <w:spacing w:val="-9"/>
          <w:lang w:val="en-US" w:eastAsia="zh-CN"/>
        </w:rPr>
        <w:t>生</w:t>
      </w:r>
      <w:r>
        <w:rPr>
          <w:color w:val="0000FF"/>
          <w:spacing w:val="-10"/>
        </w:rPr>
        <w:t>量、性质与畜禽养殖种类、养殖方式、养殖规模、生产工艺、管理水平、气候条</w:t>
      </w:r>
      <w:r>
        <w:rPr>
          <w:color w:val="0000FF"/>
          <w:spacing w:val="-9"/>
        </w:rPr>
        <w:t>件等有关。畜禽养殖污染物中含有丰富的有机质、氮、磷、钾等各种微量元素和</w:t>
      </w:r>
      <w:r>
        <w:rPr>
          <w:color w:val="0000FF"/>
          <w:spacing w:val="-10"/>
        </w:rPr>
        <w:t>活性物质，可被资源化利用。但若处理利用不当，可导致面源污染；畜禽养殖污</w:t>
      </w:r>
      <w:r>
        <w:rPr>
          <w:color w:val="0000FF"/>
          <w:spacing w:val="-7"/>
        </w:rPr>
        <w:t>染物含有大量寄生虫卵、病原微生物等病原体，易导致人畜疾病传播；同时，畜</w:t>
      </w:r>
      <w:r>
        <w:rPr>
          <w:color w:val="0000FF"/>
        </w:rPr>
        <w:t>禽养殖所产生的臭气如处理不当，也会对环境造成污染。</w:t>
      </w:r>
    </w:p>
    <w:p>
      <w:pPr>
        <w:pStyle w:val="7"/>
        <w:spacing w:before="3" w:line="364" w:lineRule="auto"/>
        <w:ind w:right="577" w:firstLine="480"/>
        <w:jc w:val="both"/>
        <w:rPr>
          <w:color w:val="0000FF"/>
        </w:rPr>
      </w:pPr>
      <w:r>
        <w:rPr>
          <w:color w:val="0000FF"/>
          <w:spacing w:val="-7"/>
        </w:rPr>
        <w:t>本项目为标准化规模养殖项目，在环境影响评价时，其评价要点主要集中在</w:t>
      </w:r>
      <w:r>
        <w:rPr>
          <w:color w:val="0000FF"/>
        </w:rPr>
        <w:t>以下几个方面：</w:t>
      </w:r>
    </w:p>
    <w:p>
      <w:pPr>
        <w:pStyle w:val="18"/>
        <w:numPr>
          <w:ilvl w:val="0"/>
          <w:numId w:val="4"/>
        </w:numPr>
        <w:tabs>
          <w:tab w:val="left" w:pos="1621"/>
        </w:tabs>
        <w:spacing w:before="1" w:after="0" w:line="240" w:lineRule="auto"/>
        <w:ind w:left="1621" w:right="0" w:hanging="601"/>
        <w:jc w:val="both"/>
        <w:rPr>
          <w:color w:val="0000FF"/>
          <w:sz w:val="24"/>
        </w:rPr>
      </w:pPr>
      <w:r>
        <w:rPr>
          <w:color w:val="0000FF"/>
          <w:sz w:val="24"/>
        </w:rPr>
        <w:t>羊舍、堆肥厂的恶臭气体对环境造成的影响；</w:t>
      </w:r>
    </w:p>
    <w:p>
      <w:pPr>
        <w:pStyle w:val="18"/>
        <w:numPr>
          <w:ilvl w:val="0"/>
          <w:numId w:val="4"/>
        </w:numPr>
        <w:tabs>
          <w:tab w:val="left" w:pos="1621"/>
        </w:tabs>
        <w:spacing w:before="160" w:after="0" w:line="240" w:lineRule="auto"/>
        <w:ind w:left="1621" w:right="0" w:hanging="601"/>
        <w:jc w:val="both"/>
        <w:rPr>
          <w:color w:val="0000FF"/>
          <w:sz w:val="24"/>
        </w:rPr>
      </w:pPr>
      <w:r>
        <w:rPr>
          <w:color w:val="0000FF"/>
          <w:sz w:val="24"/>
        </w:rPr>
        <w:t>项目养殖废水处置措施合理性及其对水环境的影响；</w:t>
      </w:r>
    </w:p>
    <w:p>
      <w:pPr>
        <w:pStyle w:val="18"/>
        <w:numPr>
          <w:ilvl w:val="0"/>
          <w:numId w:val="4"/>
        </w:numPr>
        <w:tabs>
          <w:tab w:val="left" w:pos="1623"/>
        </w:tabs>
        <w:spacing w:before="161" w:after="0" w:line="364" w:lineRule="auto"/>
        <w:ind w:left="540" w:right="577" w:firstLine="480"/>
        <w:jc w:val="both"/>
        <w:rPr>
          <w:color w:val="0000FF"/>
          <w:sz w:val="24"/>
        </w:rPr>
      </w:pPr>
      <w:r>
        <w:rPr>
          <w:color w:val="0000FF"/>
          <w:spacing w:val="-1"/>
          <w:sz w:val="24"/>
        </w:rPr>
        <w:t>羊粪、病死羊尸体和生活垃圾等固体废弃物在项目区的存储、处置以</w:t>
      </w:r>
      <w:r>
        <w:rPr>
          <w:color w:val="0000FF"/>
          <w:sz w:val="24"/>
        </w:rPr>
        <w:t>及粪便的综合利用可行性；</w:t>
      </w:r>
    </w:p>
    <w:p>
      <w:pPr>
        <w:pStyle w:val="18"/>
        <w:numPr>
          <w:ilvl w:val="0"/>
          <w:numId w:val="4"/>
        </w:numPr>
        <w:tabs>
          <w:tab w:val="left" w:pos="1621"/>
        </w:tabs>
        <w:spacing w:before="1" w:after="0" w:line="240" w:lineRule="auto"/>
        <w:ind w:left="1621" w:right="0" w:hanging="601"/>
        <w:jc w:val="left"/>
        <w:rPr>
          <w:color w:val="0000FF"/>
          <w:sz w:val="24"/>
        </w:rPr>
      </w:pPr>
      <w:r>
        <w:rPr>
          <w:color w:val="0000FF"/>
          <w:sz w:val="24"/>
        </w:rPr>
        <w:t>本项目与产业规划的符合性。</w:t>
      </w:r>
    </w:p>
    <w:p>
      <w:pPr>
        <w:pStyle w:val="7"/>
        <w:spacing w:before="161" w:line="364" w:lineRule="auto"/>
        <w:ind w:right="577" w:firstLine="480"/>
        <w:jc w:val="both"/>
        <w:rPr>
          <w:color w:val="0000FF"/>
        </w:rPr>
      </w:pPr>
      <w:r>
        <w:rPr>
          <w:color w:val="0000FF"/>
          <w:spacing w:val="-7"/>
        </w:rPr>
        <w:t>针对上述分析与评价结果，提出相应的粪便污染综合治理、恶臭控制、防疫</w:t>
      </w:r>
      <w:r>
        <w:rPr>
          <w:color w:val="0000FF"/>
          <w:spacing w:val="-6"/>
        </w:rPr>
        <w:t>与尸体无害化处理等环境保护措施。根据现场踏勘和工程分析结果，确定本项目</w:t>
      </w:r>
      <w:r>
        <w:rPr>
          <w:color w:val="0000FF"/>
          <w:spacing w:val="-4"/>
        </w:rPr>
        <w:t>运营期应关注的主要环境问题为恶臭、固体废物</w:t>
      </w:r>
      <w:r>
        <w:rPr>
          <w:color w:val="0000FF"/>
        </w:rPr>
        <w:t>（羊粪和病死羊</w:t>
      </w:r>
      <w:r>
        <w:rPr>
          <w:color w:val="0000FF"/>
          <w:spacing w:val="-32"/>
        </w:rPr>
        <w:t>）</w:t>
      </w:r>
      <w:r>
        <w:rPr>
          <w:color w:val="0000FF"/>
          <w:spacing w:val="-3"/>
        </w:rPr>
        <w:t>的处理对环境</w:t>
      </w:r>
      <w:r>
        <w:rPr>
          <w:color w:val="0000FF"/>
        </w:rPr>
        <w:t>的影响。</w:t>
      </w:r>
    </w:p>
    <w:p>
      <w:pPr>
        <w:pStyle w:val="4"/>
        <w:numPr>
          <w:ilvl w:val="1"/>
          <w:numId w:val="1"/>
        </w:numPr>
        <w:tabs>
          <w:tab w:val="left" w:pos="1100"/>
        </w:tabs>
        <w:spacing w:before="155" w:after="0" w:line="240" w:lineRule="auto"/>
        <w:ind w:left="1099" w:right="0" w:hanging="560"/>
        <w:jc w:val="left"/>
        <w:outlineLvl w:val="1"/>
      </w:pPr>
      <w:bookmarkStart w:id="23" w:name="_bookmark6"/>
      <w:bookmarkEnd w:id="23"/>
      <w:bookmarkStart w:id="24" w:name="1.6 环境影响评价的主要结论"/>
      <w:bookmarkEnd w:id="24"/>
      <w:bookmarkStart w:id="25" w:name="_Toc21278"/>
      <w:r>
        <w:t>环境影响评价的主要结论</w:t>
      </w:r>
      <w:bookmarkEnd w:id="25"/>
    </w:p>
    <w:p>
      <w:pPr>
        <w:pStyle w:val="7"/>
        <w:spacing w:before="3"/>
        <w:ind w:left="0"/>
        <w:rPr>
          <w:b/>
          <w:color w:val="0000FF"/>
        </w:rPr>
      </w:pPr>
    </w:p>
    <w:p>
      <w:pPr>
        <w:pStyle w:val="7"/>
        <w:spacing w:line="364" w:lineRule="auto"/>
        <w:ind w:right="485" w:firstLine="480"/>
        <w:jc w:val="both"/>
        <w:rPr>
          <w:color w:val="0000FF"/>
        </w:rPr>
      </w:pPr>
      <w:r>
        <w:rPr>
          <w:color w:val="0000FF"/>
          <w:spacing w:val="2"/>
        </w:rPr>
        <w:t>本项目建设符合国家产业政策，符合环境功能区划和自治区畜牧业发展规</w:t>
      </w:r>
      <w:r>
        <w:rPr>
          <w:color w:val="0000FF"/>
          <w:spacing w:val="1"/>
        </w:rPr>
        <w:t>划。项目选址及总平面布置基本合理，满足清洁生产总体要求，公众总体支持。</w:t>
      </w:r>
      <w:r>
        <w:rPr>
          <w:color w:val="0000FF"/>
          <w:spacing w:val="-4"/>
        </w:rPr>
        <w:t>项目建设过程中需严格执行国家相关法律法规，认真落实环境保护“三同时”制</w:t>
      </w:r>
      <w:r>
        <w:rPr>
          <w:color w:val="0000FF"/>
          <w:spacing w:val="-10"/>
        </w:rPr>
        <w:t>度，严格落实设计和环评报告提出的污染防治措施和环境保护措施，并加强环保</w:t>
      </w:r>
      <w:r>
        <w:rPr>
          <w:color w:val="0000FF"/>
          <w:spacing w:val="-14"/>
        </w:rPr>
        <w:t>设施的运行维护和管理，保证各种环保设施的正常运行和污染物长期稳定达标排</w:t>
      </w:r>
      <w:r>
        <w:rPr>
          <w:color w:val="0000FF"/>
          <w:spacing w:val="-10"/>
        </w:rPr>
        <w:t>放。在确保全场环保设施的正常运行，严格实施风险防范措施，落实本评价中提</w:t>
      </w:r>
      <w:r>
        <w:rPr>
          <w:color w:val="0000FF"/>
          <w:spacing w:val="-11"/>
        </w:rPr>
        <w:t>出的各项污染防治措施的前提下，从环境保护的角度分析，项目建设是可行的。</w:t>
      </w:r>
    </w:p>
    <w:p>
      <w:pPr>
        <w:spacing w:after="0" w:line="364" w:lineRule="auto"/>
        <w:jc w:val="both"/>
        <w:rPr>
          <w:color w:val="0000FF"/>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ind w:right="37"/>
        <w:jc w:val="both"/>
        <w:outlineLvl w:val="0"/>
      </w:pPr>
      <w:bookmarkStart w:id="26" w:name="_Toc2630"/>
      <w:r>
        <w:t>第二章</w:t>
      </w:r>
      <w:r>
        <w:tab/>
      </w:r>
      <w:bookmarkStart w:id="27" w:name="第二章 总则"/>
      <w:bookmarkEnd w:id="27"/>
      <w:r>
        <w:t>总则</w:t>
      </w:r>
      <w:bookmarkEnd w:id="26"/>
    </w:p>
    <w:p>
      <w:pPr>
        <w:pStyle w:val="4"/>
        <w:numPr>
          <w:ilvl w:val="1"/>
          <w:numId w:val="5"/>
        </w:numPr>
        <w:tabs>
          <w:tab w:val="left" w:pos="1100"/>
        </w:tabs>
        <w:spacing w:before="265" w:after="0" w:line="240" w:lineRule="auto"/>
        <w:ind w:left="1099" w:right="0" w:hanging="560"/>
        <w:jc w:val="both"/>
        <w:outlineLvl w:val="1"/>
      </w:pPr>
      <w:bookmarkStart w:id="28" w:name="2.1 评价目的及原则"/>
      <w:bookmarkEnd w:id="28"/>
      <w:bookmarkStart w:id="29" w:name="_bookmark8"/>
      <w:bookmarkEnd w:id="29"/>
      <w:bookmarkStart w:id="30" w:name="_Toc31928"/>
      <w:r>
        <w:t>评价目的及原则</w:t>
      </w:r>
      <w:bookmarkEnd w:id="30"/>
    </w:p>
    <w:p>
      <w:pPr>
        <w:pStyle w:val="7"/>
        <w:spacing w:before="9"/>
        <w:ind w:left="0"/>
        <w:jc w:val="both"/>
        <w:rPr>
          <w:b/>
          <w:sz w:val="14"/>
        </w:rPr>
      </w:pPr>
    </w:p>
    <w:p>
      <w:pPr>
        <w:pStyle w:val="5"/>
        <w:numPr>
          <w:ilvl w:val="2"/>
          <w:numId w:val="5"/>
        </w:numPr>
        <w:bidi w:val="0"/>
        <w:jc w:val="both"/>
        <w:outlineLvl w:val="2"/>
      </w:pPr>
      <w:bookmarkStart w:id="31" w:name="_Toc10831"/>
      <w:r>
        <w:t>评价目的</w:t>
      </w:r>
      <w:bookmarkEnd w:id="31"/>
    </w:p>
    <w:p>
      <w:pPr>
        <w:pStyle w:val="7"/>
        <w:spacing w:before="160"/>
        <w:ind w:left="1020"/>
        <w:jc w:val="both"/>
        <w:rPr>
          <w:color w:val="0000FF"/>
        </w:rPr>
      </w:pPr>
      <w:r>
        <w:rPr>
          <w:color w:val="0000FF"/>
        </w:rPr>
        <w:t>根据《中华人民共和国环境影响评价法》，《建设项目环境保护管理条例》</w:t>
      </w:r>
    </w:p>
    <w:p>
      <w:pPr>
        <w:pStyle w:val="7"/>
        <w:spacing w:before="163" w:line="367" w:lineRule="auto"/>
        <w:ind w:right="577"/>
        <w:jc w:val="both"/>
        <w:rPr>
          <w:color w:val="0000FF"/>
        </w:rPr>
      </w:pPr>
      <w:r>
        <w:rPr>
          <w:color w:val="0000FF"/>
        </w:rPr>
        <w:t>（</w:t>
      </w:r>
      <w:r>
        <w:rPr>
          <w:color w:val="0000FF"/>
          <w:spacing w:val="-5"/>
        </w:rPr>
        <w:t>中华人民共和国国务院令第</w:t>
      </w:r>
      <w:r>
        <w:rPr>
          <w:rFonts w:ascii="Times New Roman" w:eastAsia="Times New Roman"/>
          <w:color w:val="0000FF"/>
        </w:rPr>
        <w:t>253</w:t>
      </w:r>
      <w:r>
        <w:rPr>
          <w:color w:val="0000FF"/>
        </w:rPr>
        <w:t>号</w:t>
      </w:r>
      <w:r>
        <w:rPr>
          <w:color w:val="0000FF"/>
          <w:spacing w:val="-48"/>
        </w:rPr>
        <w:t>）</w:t>
      </w:r>
      <w:r>
        <w:rPr>
          <w:color w:val="0000FF"/>
          <w:spacing w:val="-8"/>
        </w:rPr>
        <w:t>的有关规定，环境影响评价是项目建设环境管理的重要环节之一，是项目前期可行性研究的重要组成部分。本次评价工作</w:t>
      </w:r>
      <w:r>
        <w:rPr>
          <w:color w:val="0000FF"/>
        </w:rPr>
        <w:t>的主要目的是：</w:t>
      </w:r>
    </w:p>
    <w:p>
      <w:pPr>
        <w:pStyle w:val="18"/>
        <w:numPr>
          <w:ilvl w:val="3"/>
          <w:numId w:val="5"/>
        </w:numPr>
        <w:tabs>
          <w:tab w:val="left" w:pos="1621"/>
        </w:tabs>
        <w:spacing w:before="0" w:after="0" w:line="367" w:lineRule="auto"/>
        <w:ind w:left="540" w:right="485" w:firstLine="480"/>
        <w:jc w:val="both"/>
        <w:rPr>
          <w:color w:val="0000FF"/>
          <w:sz w:val="24"/>
        </w:rPr>
      </w:pPr>
      <w:r>
        <w:rPr>
          <w:color w:val="0000FF"/>
          <w:sz w:val="24"/>
        </w:rPr>
        <w:t>通过对项目区现场勘察、调研，以及当地环境资料的收集、分析，弄</w:t>
      </w:r>
      <w:r>
        <w:rPr>
          <w:color w:val="0000FF"/>
          <w:spacing w:val="-1"/>
          <w:sz w:val="24"/>
        </w:rPr>
        <w:t>清评价区域的大气环境、水环境、生态环境、社会环境和噪声等环境质量现状，</w:t>
      </w:r>
      <w:r>
        <w:rPr>
          <w:color w:val="0000FF"/>
          <w:spacing w:val="-6"/>
          <w:sz w:val="24"/>
        </w:rPr>
        <w:t>为评价建设项目的环境影响程度和范围，以及项目投产后的竣工环境保护验收提供依据；</w:t>
      </w:r>
    </w:p>
    <w:p>
      <w:pPr>
        <w:pStyle w:val="18"/>
        <w:numPr>
          <w:ilvl w:val="3"/>
          <w:numId w:val="5"/>
        </w:numPr>
        <w:tabs>
          <w:tab w:val="left" w:pos="1621"/>
        </w:tabs>
        <w:spacing w:before="0" w:after="0" w:line="367" w:lineRule="auto"/>
        <w:ind w:left="540" w:right="580" w:firstLine="480"/>
        <w:jc w:val="both"/>
        <w:rPr>
          <w:color w:val="0000FF"/>
          <w:sz w:val="24"/>
        </w:rPr>
      </w:pPr>
      <w:r>
        <w:rPr>
          <w:color w:val="0000FF"/>
          <w:spacing w:val="-1"/>
          <w:sz w:val="24"/>
        </w:rPr>
        <w:t>掌握本项目排污状况，查清评价区环境现状，预测和评价本项目实施</w:t>
      </w:r>
      <w:r>
        <w:rPr>
          <w:color w:val="0000FF"/>
          <w:sz w:val="24"/>
        </w:rPr>
        <w:t>对评价区环境影响的范围和程度；</w:t>
      </w:r>
    </w:p>
    <w:p>
      <w:pPr>
        <w:pStyle w:val="18"/>
        <w:numPr>
          <w:ilvl w:val="3"/>
          <w:numId w:val="5"/>
        </w:numPr>
        <w:tabs>
          <w:tab w:val="left" w:pos="1621"/>
        </w:tabs>
        <w:spacing w:before="0" w:after="0" w:line="367" w:lineRule="auto"/>
        <w:ind w:left="540" w:right="580" w:firstLine="480"/>
        <w:jc w:val="both"/>
        <w:rPr>
          <w:color w:val="0000FF"/>
          <w:sz w:val="24"/>
        </w:rPr>
      </w:pPr>
      <w:r>
        <w:rPr>
          <w:color w:val="0000FF"/>
          <w:spacing w:val="-1"/>
          <w:sz w:val="24"/>
        </w:rPr>
        <w:t>依据国家有关法律法规以及技术规范的要求，结合本地自然、社会环</w:t>
      </w:r>
      <w:r>
        <w:rPr>
          <w:color w:val="0000FF"/>
          <w:sz w:val="24"/>
        </w:rPr>
        <w:t>境特征，提出为减轻不利环境影响应采取的措施，并制定环境保护行动计划；</w:t>
      </w:r>
    </w:p>
    <w:p>
      <w:pPr>
        <w:pStyle w:val="18"/>
        <w:numPr>
          <w:ilvl w:val="3"/>
          <w:numId w:val="5"/>
        </w:numPr>
        <w:tabs>
          <w:tab w:val="left" w:pos="1621"/>
        </w:tabs>
        <w:spacing w:before="0" w:after="0" w:line="367" w:lineRule="auto"/>
        <w:ind w:left="540" w:right="577" w:firstLine="480"/>
        <w:jc w:val="both"/>
        <w:rPr>
          <w:color w:val="0000FF"/>
          <w:sz w:val="24"/>
        </w:rPr>
      </w:pPr>
      <w:r>
        <w:rPr>
          <w:color w:val="0000FF"/>
          <w:spacing w:val="-1"/>
          <w:sz w:val="24"/>
        </w:rPr>
        <w:t>评价项目对“达标排放和污染物排放总量控制”原则的符合性，并论</w:t>
      </w:r>
      <w:r>
        <w:rPr>
          <w:color w:val="0000FF"/>
          <w:sz w:val="24"/>
        </w:rPr>
        <w:t>证本项目建设方案的环境可行性；</w:t>
      </w:r>
    </w:p>
    <w:p>
      <w:pPr>
        <w:pStyle w:val="18"/>
        <w:numPr>
          <w:ilvl w:val="3"/>
          <w:numId w:val="5"/>
        </w:numPr>
        <w:tabs>
          <w:tab w:val="left" w:pos="1621"/>
        </w:tabs>
        <w:spacing w:before="0" w:after="0" w:line="367" w:lineRule="auto"/>
        <w:ind w:left="540" w:right="457" w:firstLine="480"/>
        <w:jc w:val="both"/>
        <w:rPr>
          <w:color w:val="0000FF"/>
          <w:sz w:val="24"/>
        </w:rPr>
      </w:pPr>
      <w:r>
        <w:rPr>
          <w:color w:val="0000FF"/>
          <w:sz w:val="24"/>
        </w:rPr>
        <w:t>通过对项目建设和生产运行过程中可能发生的风险事故进行分析、预</w:t>
      </w:r>
      <w:r>
        <w:rPr>
          <w:color w:val="0000FF"/>
          <w:spacing w:val="-16"/>
          <w:sz w:val="24"/>
        </w:rPr>
        <w:t>测、并提出切实可行的事故应急预案和事故防范、减缓措施，确保项目环境安全；</w:t>
      </w:r>
    </w:p>
    <w:p>
      <w:pPr>
        <w:pStyle w:val="18"/>
        <w:numPr>
          <w:ilvl w:val="3"/>
          <w:numId w:val="5"/>
        </w:numPr>
        <w:tabs>
          <w:tab w:val="left" w:pos="1621"/>
        </w:tabs>
        <w:spacing w:before="0" w:after="0" w:line="367" w:lineRule="auto"/>
        <w:ind w:left="540" w:right="577" w:firstLine="480"/>
        <w:jc w:val="both"/>
        <w:rPr>
          <w:color w:val="0000FF"/>
          <w:sz w:val="24"/>
        </w:rPr>
      </w:pPr>
      <w:r>
        <w:rPr>
          <w:color w:val="0000FF"/>
          <w:spacing w:val="-1"/>
          <w:sz w:val="24"/>
        </w:rPr>
        <w:t>通过本次评价工作，为建设项目开发建设、生产、环境管理和环境污</w:t>
      </w:r>
      <w:r>
        <w:rPr>
          <w:color w:val="0000FF"/>
          <w:spacing w:val="-11"/>
          <w:sz w:val="24"/>
        </w:rPr>
        <w:t>染防治提供科学依据，最大限度地降低本项目建设过程中对周围环境产生的不利</w:t>
      </w:r>
      <w:r>
        <w:rPr>
          <w:color w:val="0000FF"/>
          <w:sz w:val="24"/>
        </w:rPr>
        <w:t>影响，促进本项目实现经济效益、社会效益和环境效益相统一。</w:t>
      </w:r>
    </w:p>
    <w:p>
      <w:pPr>
        <w:pStyle w:val="5"/>
        <w:numPr>
          <w:ilvl w:val="2"/>
          <w:numId w:val="5"/>
        </w:numPr>
        <w:bidi w:val="0"/>
        <w:jc w:val="both"/>
        <w:outlineLvl w:val="2"/>
      </w:pPr>
      <w:bookmarkStart w:id="32" w:name="_Toc27827"/>
      <w:r>
        <w:t>评价原则</w:t>
      </w:r>
      <w:bookmarkEnd w:id="32"/>
    </w:p>
    <w:p>
      <w:pPr>
        <w:pStyle w:val="7"/>
        <w:spacing w:before="157" w:line="367" w:lineRule="auto"/>
        <w:ind w:right="575" w:firstLine="480"/>
        <w:jc w:val="both"/>
        <w:rPr>
          <w:color w:val="0000FF"/>
        </w:rPr>
      </w:pPr>
      <w:r>
        <w:rPr>
          <w:color w:val="0000FF"/>
        </w:rPr>
        <w:t>根据《建设项目环境影响评价技术导则</w:t>
      </w:r>
      <w:r>
        <w:rPr>
          <w:rFonts w:ascii="Times New Roman" w:hAnsi="Times New Roman" w:eastAsia="Times New Roman"/>
          <w:color w:val="0000FF"/>
        </w:rPr>
        <w:t>•</w:t>
      </w:r>
      <w:r>
        <w:rPr>
          <w:color w:val="0000FF"/>
        </w:rPr>
        <w:t>总纲》（</w:t>
      </w:r>
      <w:r>
        <w:rPr>
          <w:rFonts w:ascii="Times New Roman" w:hAnsi="Times New Roman" w:eastAsia="Times New Roman"/>
          <w:color w:val="0000FF"/>
        </w:rPr>
        <w:t>HJ 2.1-2016</w:t>
      </w:r>
      <w:r>
        <w:rPr>
          <w:color w:val="0000FF"/>
        </w:rPr>
        <w:t>）中的有关规</w:t>
      </w:r>
      <w:r>
        <w:rPr>
          <w:color w:val="0000FF"/>
          <w:spacing w:val="-10"/>
        </w:rPr>
        <w:t>定，突出环境影响评价的源头预防作用，坚持保护和改善环境质量。本次评价工</w:t>
      </w:r>
      <w:r>
        <w:rPr>
          <w:color w:val="0000FF"/>
        </w:rPr>
        <w:t>作原则是：</w:t>
      </w:r>
    </w:p>
    <w:p>
      <w:pPr>
        <w:pStyle w:val="18"/>
        <w:numPr>
          <w:ilvl w:val="0"/>
          <w:numId w:val="6"/>
        </w:numPr>
        <w:tabs>
          <w:tab w:val="left" w:pos="1621"/>
        </w:tabs>
        <w:spacing w:before="0" w:after="0" w:line="307" w:lineRule="exact"/>
        <w:ind w:left="1621" w:right="0" w:hanging="601"/>
        <w:jc w:val="both"/>
        <w:rPr>
          <w:color w:val="0000FF"/>
          <w:sz w:val="24"/>
        </w:rPr>
      </w:pPr>
      <w:r>
        <w:rPr>
          <w:color w:val="0000FF"/>
          <w:sz w:val="24"/>
        </w:rPr>
        <w:t>依法评价</w:t>
      </w:r>
    </w:p>
    <w:p>
      <w:pPr>
        <w:pStyle w:val="7"/>
        <w:spacing w:before="161"/>
        <w:ind w:left="1020"/>
        <w:jc w:val="both"/>
        <w:rPr>
          <w:color w:val="0000FF"/>
        </w:rPr>
      </w:pPr>
      <w:r>
        <w:rPr>
          <w:color w:val="0000FF"/>
        </w:rPr>
        <w:t>贯彻执行我国环境保护相关法律法规、标准、政策和规划等，优化项目建设，</w:t>
      </w:r>
    </w:p>
    <w:p>
      <w:pPr>
        <w:spacing w:after="0"/>
        <w:jc w:val="both"/>
        <w:rPr>
          <w:color w:val="0000FF"/>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6"/>
        <w:ind w:left="0"/>
        <w:jc w:val="both"/>
        <w:rPr>
          <w:color w:val="0000FF"/>
          <w:sz w:val="10"/>
        </w:rPr>
      </w:pPr>
    </w:p>
    <w:p>
      <w:pPr>
        <w:pStyle w:val="7"/>
        <w:spacing w:before="66"/>
        <w:jc w:val="both"/>
        <w:rPr>
          <w:color w:val="0000FF"/>
        </w:rPr>
      </w:pPr>
      <w:r>
        <w:rPr>
          <w:color w:val="0000FF"/>
        </w:rPr>
        <w:t>服务环境管理。</w:t>
      </w:r>
    </w:p>
    <w:p>
      <w:pPr>
        <w:pStyle w:val="18"/>
        <w:numPr>
          <w:ilvl w:val="0"/>
          <w:numId w:val="6"/>
        </w:numPr>
        <w:tabs>
          <w:tab w:val="left" w:pos="1621"/>
        </w:tabs>
        <w:spacing w:before="161" w:after="0" w:line="240" w:lineRule="auto"/>
        <w:ind w:left="1621" w:right="0" w:hanging="601"/>
        <w:jc w:val="both"/>
        <w:rPr>
          <w:color w:val="0000FF"/>
          <w:sz w:val="24"/>
        </w:rPr>
      </w:pPr>
      <w:r>
        <w:rPr>
          <w:color w:val="0000FF"/>
          <w:sz w:val="24"/>
        </w:rPr>
        <w:t>科学评价</w:t>
      </w:r>
    </w:p>
    <w:p>
      <w:pPr>
        <w:pStyle w:val="7"/>
        <w:spacing w:before="163"/>
        <w:ind w:left="1020"/>
        <w:jc w:val="both"/>
        <w:rPr>
          <w:color w:val="0000FF"/>
        </w:rPr>
      </w:pPr>
      <w:r>
        <w:rPr>
          <w:color w:val="0000FF"/>
        </w:rPr>
        <w:t>规范环境影响评价方法，科学分析项目建设对环境质量的影响。</w:t>
      </w:r>
    </w:p>
    <w:p>
      <w:pPr>
        <w:pStyle w:val="18"/>
        <w:numPr>
          <w:ilvl w:val="0"/>
          <w:numId w:val="6"/>
        </w:numPr>
        <w:tabs>
          <w:tab w:val="left" w:pos="1621"/>
        </w:tabs>
        <w:spacing w:before="163" w:after="0" w:line="240" w:lineRule="auto"/>
        <w:ind w:left="1621" w:right="0" w:hanging="601"/>
        <w:jc w:val="both"/>
        <w:rPr>
          <w:color w:val="0000FF"/>
          <w:sz w:val="24"/>
        </w:rPr>
      </w:pPr>
      <w:r>
        <w:rPr>
          <w:color w:val="0000FF"/>
          <w:sz w:val="24"/>
        </w:rPr>
        <w:t>突出重点</w:t>
      </w:r>
    </w:p>
    <w:p>
      <w:pPr>
        <w:pStyle w:val="7"/>
        <w:spacing w:before="162" w:line="367" w:lineRule="auto"/>
        <w:ind w:right="577" w:firstLine="480"/>
        <w:jc w:val="both"/>
        <w:rPr>
          <w:color w:val="0000FF"/>
        </w:rPr>
      </w:pPr>
      <w:r>
        <w:rPr>
          <w:color w:val="0000FF"/>
          <w:spacing w:val="-6"/>
        </w:rPr>
        <w:t>根据建设项目的工程内容及其特点，明确与环境要素间的作用效应关系，根据规划环境影响评价结论和审查意见，充分利用符合时效的数据资料及成果，对</w:t>
      </w:r>
      <w:r>
        <w:rPr>
          <w:color w:val="0000FF"/>
        </w:rPr>
        <w:t>建设项目主要环境影响予以重点分析和评价。</w:t>
      </w:r>
    </w:p>
    <w:p>
      <w:pPr>
        <w:pStyle w:val="4"/>
        <w:numPr>
          <w:ilvl w:val="1"/>
          <w:numId w:val="5"/>
        </w:numPr>
        <w:tabs>
          <w:tab w:val="left" w:pos="1100"/>
        </w:tabs>
        <w:spacing w:before="45" w:after="0" w:line="240" w:lineRule="auto"/>
        <w:ind w:left="1099" w:right="0" w:hanging="560"/>
        <w:jc w:val="both"/>
        <w:outlineLvl w:val="1"/>
      </w:pPr>
      <w:bookmarkStart w:id="33" w:name="2.2 编制依据"/>
      <w:bookmarkEnd w:id="33"/>
      <w:bookmarkStart w:id="34" w:name="_bookmark9"/>
      <w:bookmarkEnd w:id="34"/>
      <w:bookmarkStart w:id="35" w:name="_Toc30273"/>
      <w:r>
        <w:t>编制依据</w:t>
      </w:r>
      <w:bookmarkEnd w:id="35"/>
    </w:p>
    <w:p>
      <w:pPr>
        <w:pStyle w:val="5"/>
        <w:numPr>
          <w:ilvl w:val="2"/>
          <w:numId w:val="5"/>
        </w:numPr>
        <w:tabs>
          <w:tab w:val="left" w:pos="1241"/>
        </w:tabs>
        <w:spacing w:before="223" w:after="0" w:line="240" w:lineRule="auto"/>
        <w:ind w:left="1240" w:right="0" w:hanging="701"/>
        <w:jc w:val="both"/>
        <w:outlineLvl w:val="2"/>
        <w:rPr>
          <w:rFonts w:ascii="Times New Roman" w:eastAsia="Times New Roman"/>
        </w:rPr>
      </w:pPr>
      <w:bookmarkStart w:id="36" w:name="2.2.1 环境保护法律法规"/>
      <w:bookmarkEnd w:id="36"/>
      <w:bookmarkStart w:id="37" w:name="2.2.1 环境保护法律法规"/>
      <w:bookmarkEnd w:id="37"/>
      <w:bookmarkStart w:id="38" w:name="_Toc4307"/>
      <w:r>
        <w:t>环境保护法律法规</w:t>
      </w:r>
      <w:bookmarkEnd w:id="38"/>
    </w:p>
    <w:p>
      <w:pPr>
        <w:pStyle w:val="18"/>
        <w:numPr>
          <w:ilvl w:val="0"/>
          <w:numId w:val="0"/>
        </w:numPr>
        <w:tabs>
          <w:tab w:val="left" w:pos="1621"/>
        </w:tabs>
        <w:spacing w:before="214"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1</w:t>
      </w:r>
      <w:r>
        <w:rPr>
          <w:rFonts w:hint="eastAsia"/>
          <w:color w:val="0000FF"/>
          <w:sz w:val="24"/>
          <w:lang w:eastAsia="zh-CN"/>
        </w:rPr>
        <w:t>）</w:t>
      </w:r>
      <w:r>
        <w:rPr>
          <w:color w:val="0000FF"/>
          <w:sz w:val="24"/>
        </w:rPr>
        <w:t>《中华人民共和国环境保护法》，</w:t>
      </w:r>
      <w:r>
        <w:rPr>
          <w:rFonts w:ascii="Times New Roman" w:eastAsia="Times New Roman"/>
          <w:color w:val="0000FF"/>
          <w:sz w:val="24"/>
        </w:rPr>
        <w:t>2015</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8"/>
        <w:numPr>
          <w:ilvl w:val="0"/>
          <w:numId w:val="0"/>
        </w:numPr>
        <w:tabs>
          <w:tab w:val="left" w:pos="1628"/>
        </w:tabs>
        <w:spacing w:before="163" w:after="0" w:line="240" w:lineRule="auto"/>
        <w:ind w:left="1019" w:leftChars="0" w:right="0" w:rightChars="0"/>
        <w:jc w:val="both"/>
        <w:rPr>
          <w:rFonts w:ascii="Times New Roman" w:eastAsia="Times New Roman"/>
          <w:color w:val="0000FF"/>
          <w:sz w:val="24"/>
        </w:rPr>
      </w:pPr>
      <w:r>
        <w:rPr>
          <w:rFonts w:hint="eastAsia"/>
          <w:color w:val="0000FF"/>
          <w:sz w:val="24"/>
          <w:lang w:eastAsia="zh-CN"/>
        </w:rPr>
        <w:t>（</w:t>
      </w:r>
      <w:r>
        <w:rPr>
          <w:rFonts w:hint="eastAsia"/>
          <w:color w:val="0000FF"/>
          <w:sz w:val="24"/>
          <w:lang w:val="en-US" w:eastAsia="zh-CN"/>
        </w:rPr>
        <w:t>2</w:t>
      </w:r>
      <w:r>
        <w:rPr>
          <w:rFonts w:hint="eastAsia"/>
          <w:color w:val="0000FF"/>
          <w:sz w:val="24"/>
          <w:lang w:eastAsia="zh-CN"/>
        </w:rPr>
        <w:t>）</w:t>
      </w:r>
      <w:r>
        <w:rPr>
          <w:color w:val="0000FF"/>
          <w:sz w:val="24"/>
        </w:rPr>
        <w:t>《中华人民共和国环境影响评价法》（</w:t>
      </w:r>
      <w:r>
        <w:rPr>
          <w:rFonts w:ascii="Times New Roman" w:eastAsia="Times New Roman"/>
          <w:color w:val="0000FF"/>
          <w:sz w:val="24"/>
        </w:rPr>
        <w:t>2018</w:t>
      </w:r>
      <w:r>
        <w:rPr>
          <w:color w:val="0000FF"/>
          <w:sz w:val="24"/>
        </w:rPr>
        <w:t>年修），</w:t>
      </w:r>
      <w:r>
        <w:rPr>
          <w:rFonts w:ascii="Times New Roman" w:eastAsia="Times New Roman"/>
          <w:color w:val="0000FF"/>
          <w:sz w:val="24"/>
        </w:rPr>
        <w:t>2018</w:t>
      </w:r>
      <w:r>
        <w:rPr>
          <w:color w:val="0000FF"/>
          <w:spacing w:val="-28"/>
          <w:sz w:val="24"/>
        </w:rPr>
        <w:t>年</w:t>
      </w:r>
      <w:r>
        <w:rPr>
          <w:rFonts w:ascii="Times New Roman" w:eastAsia="Times New Roman"/>
          <w:color w:val="0000FF"/>
          <w:sz w:val="24"/>
        </w:rPr>
        <w:t>12</w:t>
      </w:r>
      <w:r>
        <w:rPr>
          <w:color w:val="0000FF"/>
          <w:spacing w:val="-29"/>
          <w:sz w:val="24"/>
        </w:rPr>
        <w:t>月</w:t>
      </w:r>
      <w:r>
        <w:rPr>
          <w:rFonts w:ascii="Times New Roman" w:eastAsia="Times New Roman"/>
          <w:color w:val="0000FF"/>
          <w:sz w:val="24"/>
        </w:rPr>
        <w:t>9</w:t>
      </w:r>
    </w:p>
    <w:p>
      <w:pPr>
        <w:pStyle w:val="7"/>
        <w:spacing w:before="163"/>
        <w:jc w:val="both"/>
        <w:rPr>
          <w:color w:val="0000FF"/>
        </w:rPr>
      </w:pPr>
      <w:r>
        <w:rPr>
          <w:color w:val="0000FF"/>
        </w:rPr>
        <w:t>日；</w:t>
      </w:r>
    </w:p>
    <w:p>
      <w:pPr>
        <w:pStyle w:val="18"/>
        <w:numPr>
          <w:ilvl w:val="0"/>
          <w:numId w:val="0"/>
        </w:numPr>
        <w:tabs>
          <w:tab w:val="left" w:pos="1621"/>
        </w:tabs>
        <w:spacing w:before="163"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3</w:t>
      </w:r>
      <w:r>
        <w:rPr>
          <w:rFonts w:hint="eastAsia"/>
          <w:color w:val="0000FF"/>
          <w:sz w:val="24"/>
          <w:lang w:eastAsia="zh-CN"/>
        </w:rPr>
        <w:t>）</w:t>
      </w:r>
      <w:r>
        <w:rPr>
          <w:color w:val="0000FF"/>
          <w:sz w:val="24"/>
        </w:rPr>
        <w:t>《中华人民共和国土地管理法》，</w:t>
      </w:r>
      <w:r>
        <w:rPr>
          <w:rFonts w:ascii="Times New Roman" w:eastAsia="Times New Roman"/>
          <w:color w:val="0000FF"/>
          <w:sz w:val="24"/>
        </w:rPr>
        <w:t>2004</w:t>
      </w:r>
      <w:r>
        <w:rPr>
          <w:color w:val="0000FF"/>
          <w:spacing w:val="-30"/>
          <w:sz w:val="24"/>
        </w:rPr>
        <w:t>年</w:t>
      </w:r>
      <w:r>
        <w:rPr>
          <w:rFonts w:ascii="Times New Roman" w:eastAsia="Times New Roman"/>
          <w:color w:val="0000FF"/>
          <w:sz w:val="24"/>
        </w:rPr>
        <w:t>8</w:t>
      </w:r>
      <w:r>
        <w:rPr>
          <w:color w:val="0000FF"/>
          <w:spacing w:val="-30"/>
          <w:sz w:val="24"/>
        </w:rPr>
        <w:t>月</w:t>
      </w:r>
      <w:r>
        <w:rPr>
          <w:rFonts w:ascii="Times New Roman" w:eastAsia="Times New Roman"/>
          <w:color w:val="0000FF"/>
          <w:sz w:val="24"/>
        </w:rPr>
        <w:t>28</w:t>
      </w:r>
      <w:r>
        <w:rPr>
          <w:color w:val="0000FF"/>
          <w:sz w:val="24"/>
        </w:rPr>
        <w:t>日；</w:t>
      </w:r>
    </w:p>
    <w:p>
      <w:pPr>
        <w:pStyle w:val="18"/>
        <w:numPr>
          <w:ilvl w:val="0"/>
          <w:numId w:val="0"/>
        </w:numPr>
        <w:tabs>
          <w:tab w:val="left" w:pos="1621"/>
        </w:tabs>
        <w:spacing w:before="160"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4</w:t>
      </w:r>
      <w:r>
        <w:rPr>
          <w:rFonts w:hint="eastAsia"/>
          <w:color w:val="0000FF"/>
          <w:sz w:val="24"/>
          <w:lang w:eastAsia="zh-CN"/>
        </w:rPr>
        <w:t>）</w:t>
      </w:r>
      <w:r>
        <w:rPr>
          <w:color w:val="0000FF"/>
          <w:sz w:val="24"/>
        </w:rPr>
        <w:t>《中华人民共和国农业法》，</w:t>
      </w:r>
      <w:r>
        <w:rPr>
          <w:rFonts w:ascii="Times New Roman" w:eastAsia="Times New Roman"/>
          <w:color w:val="0000FF"/>
          <w:sz w:val="24"/>
        </w:rPr>
        <w:t>2013</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8"/>
        <w:numPr>
          <w:ilvl w:val="0"/>
          <w:numId w:val="0"/>
        </w:numPr>
        <w:tabs>
          <w:tab w:val="left" w:pos="1621"/>
        </w:tabs>
        <w:spacing w:before="163"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5</w:t>
      </w:r>
      <w:r>
        <w:rPr>
          <w:rFonts w:hint="eastAsia"/>
          <w:color w:val="0000FF"/>
          <w:sz w:val="24"/>
          <w:lang w:eastAsia="zh-CN"/>
        </w:rPr>
        <w:t>）</w:t>
      </w:r>
      <w:r>
        <w:rPr>
          <w:color w:val="0000FF"/>
          <w:spacing w:val="-3"/>
          <w:sz w:val="24"/>
        </w:rPr>
        <w:t>《中华人民共和国畜牧法》</w:t>
      </w:r>
      <w:r>
        <w:rPr>
          <w:color w:val="0000FF"/>
          <w:sz w:val="24"/>
        </w:rPr>
        <w:t>（</w:t>
      </w:r>
      <w:r>
        <w:rPr>
          <w:rFonts w:ascii="Times New Roman" w:eastAsia="Times New Roman"/>
          <w:color w:val="0000FF"/>
          <w:sz w:val="24"/>
        </w:rPr>
        <w:t>2015</w:t>
      </w:r>
      <w:r>
        <w:rPr>
          <w:color w:val="0000FF"/>
          <w:spacing w:val="-30"/>
          <w:sz w:val="24"/>
        </w:rPr>
        <w:t>年</w:t>
      </w:r>
      <w:r>
        <w:rPr>
          <w:rFonts w:ascii="Times New Roman" w:eastAsia="Times New Roman"/>
          <w:color w:val="0000FF"/>
          <w:sz w:val="24"/>
        </w:rPr>
        <w:t>4</w:t>
      </w:r>
      <w:r>
        <w:rPr>
          <w:color w:val="0000FF"/>
          <w:sz w:val="24"/>
        </w:rPr>
        <w:t>月修正</w:t>
      </w:r>
      <w:r>
        <w:rPr>
          <w:color w:val="0000FF"/>
          <w:spacing w:val="-6"/>
          <w:sz w:val="24"/>
        </w:rPr>
        <w:t>），</w:t>
      </w:r>
      <w:r>
        <w:rPr>
          <w:rFonts w:ascii="Times New Roman" w:eastAsia="Times New Roman"/>
          <w:color w:val="0000FF"/>
          <w:spacing w:val="-6"/>
          <w:sz w:val="24"/>
        </w:rPr>
        <w:t>2015</w:t>
      </w:r>
      <w:r>
        <w:rPr>
          <w:color w:val="0000FF"/>
          <w:spacing w:val="-30"/>
          <w:sz w:val="24"/>
        </w:rPr>
        <w:t>年</w:t>
      </w:r>
      <w:r>
        <w:rPr>
          <w:rFonts w:ascii="Times New Roman" w:eastAsia="Times New Roman"/>
          <w:color w:val="0000FF"/>
          <w:sz w:val="24"/>
        </w:rPr>
        <w:t>4</w:t>
      </w:r>
      <w:r>
        <w:rPr>
          <w:color w:val="0000FF"/>
          <w:spacing w:val="-31"/>
          <w:sz w:val="24"/>
        </w:rPr>
        <w:t>月</w:t>
      </w:r>
      <w:r>
        <w:rPr>
          <w:rFonts w:ascii="Times New Roman" w:eastAsia="Times New Roman"/>
          <w:color w:val="0000FF"/>
          <w:sz w:val="24"/>
        </w:rPr>
        <w:t>24</w:t>
      </w:r>
      <w:r>
        <w:rPr>
          <w:color w:val="0000FF"/>
          <w:sz w:val="24"/>
        </w:rPr>
        <w:t>日；</w:t>
      </w:r>
    </w:p>
    <w:p>
      <w:pPr>
        <w:pStyle w:val="18"/>
        <w:numPr>
          <w:ilvl w:val="0"/>
          <w:numId w:val="0"/>
        </w:numPr>
        <w:tabs>
          <w:tab w:val="left" w:pos="1621"/>
        </w:tabs>
        <w:spacing w:before="163"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6</w:t>
      </w:r>
      <w:r>
        <w:rPr>
          <w:rFonts w:hint="eastAsia"/>
          <w:color w:val="0000FF"/>
          <w:sz w:val="24"/>
          <w:lang w:eastAsia="zh-CN"/>
        </w:rPr>
        <w:t>）</w:t>
      </w:r>
      <w:r>
        <w:rPr>
          <w:color w:val="0000FF"/>
          <w:sz w:val="24"/>
        </w:rPr>
        <w:t>《中华人民共和国水污染防治法（</w:t>
      </w:r>
      <w:r>
        <w:rPr>
          <w:rFonts w:ascii="Times New Roman" w:eastAsia="Times New Roman"/>
          <w:color w:val="0000FF"/>
          <w:sz w:val="24"/>
        </w:rPr>
        <w:t>2017</w:t>
      </w:r>
      <w:r>
        <w:rPr>
          <w:color w:val="0000FF"/>
          <w:sz w:val="24"/>
        </w:rPr>
        <w:t>修）》，</w:t>
      </w:r>
      <w:r>
        <w:rPr>
          <w:rFonts w:ascii="Times New Roman" w:eastAsia="Times New Roman"/>
          <w:color w:val="0000FF"/>
          <w:sz w:val="24"/>
        </w:rPr>
        <w:t>2018</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8"/>
        <w:numPr>
          <w:ilvl w:val="0"/>
          <w:numId w:val="0"/>
        </w:numPr>
        <w:tabs>
          <w:tab w:val="left" w:pos="1621"/>
        </w:tabs>
        <w:spacing w:before="163"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7</w:t>
      </w:r>
      <w:r>
        <w:rPr>
          <w:rFonts w:hint="eastAsia"/>
          <w:color w:val="0000FF"/>
          <w:sz w:val="24"/>
          <w:lang w:eastAsia="zh-CN"/>
        </w:rPr>
        <w:t>）</w:t>
      </w:r>
      <w:r>
        <w:rPr>
          <w:color w:val="0000FF"/>
          <w:sz w:val="24"/>
        </w:rPr>
        <w:t>《中华人民共和国固体废物污染环境防治法》，</w:t>
      </w:r>
      <w:r>
        <w:rPr>
          <w:rFonts w:ascii="Times New Roman" w:eastAsia="Times New Roman"/>
          <w:color w:val="0000FF"/>
          <w:sz w:val="24"/>
        </w:rPr>
        <w:t>2016</w:t>
      </w:r>
      <w:r>
        <w:rPr>
          <w:color w:val="0000FF"/>
          <w:spacing w:val="-30"/>
          <w:sz w:val="24"/>
        </w:rPr>
        <w:t>年</w:t>
      </w:r>
      <w:r>
        <w:rPr>
          <w:rFonts w:ascii="Times New Roman" w:eastAsia="Times New Roman"/>
          <w:color w:val="0000FF"/>
          <w:spacing w:val="-3"/>
          <w:sz w:val="24"/>
        </w:rPr>
        <w:t>11</w:t>
      </w:r>
      <w:r>
        <w:rPr>
          <w:color w:val="0000FF"/>
          <w:spacing w:val="-30"/>
          <w:sz w:val="24"/>
        </w:rPr>
        <w:t>月</w:t>
      </w:r>
      <w:r>
        <w:rPr>
          <w:rFonts w:ascii="Times New Roman" w:eastAsia="Times New Roman"/>
          <w:color w:val="0000FF"/>
          <w:sz w:val="24"/>
        </w:rPr>
        <w:t>7</w:t>
      </w:r>
      <w:r>
        <w:rPr>
          <w:color w:val="0000FF"/>
          <w:sz w:val="24"/>
        </w:rPr>
        <w:t>日；</w:t>
      </w:r>
    </w:p>
    <w:p>
      <w:pPr>
        <w:pStyle w:val="18"/>
        <w:numPr>
          <w:ilvl w:val="0"/>
          <w:numId w:val="0"/>
        </w:numPr>
        <w:tabs>
          <w:tab w:val="left" w:pos="1621"/>
        </w:tabs>
        <w:spacing w:before="163"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8</w:t>
      </w:r>
      <w:r>
        <w:rPr>
          <w:rFonts w:hint="eastAsia"/>
          <w:color w:val="0000FF"/>
          <w:sz w:val="24"/>
          <w:lang w:eastAsia="zh-CN"/>
        </w:rPr>
        <w:t>）</w:t>
      </w:r>
      <w:r>
        <w:rPr>
          <w:color w:val="0000FF"/>
          <w:sz w:val="24"/>
        </w:rPr>
        <w:t>《中华人民共和国大气污染环境防治法》，</w:t>
      </w:r>
      <w:r>
        <w:rPr>
          <w:rFonts w:ascii="Times New Roman" w:eastAsia="Times New Roman"/>
          <w:color w:val="0000FF"/>
          <w:sz w:val="24"/>
        </w:rPr>
        <w:t>2016</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8"/>
        <w:numPr>
          <w:ilvl w:val="0"/>
          <w:numId w:val="0"/>
        </w:numPr>
        <w:tabs>
          <w:tab w:val="left" w:pos="1628"/>
        </w:tabs>
        <w:spacing w:before="163" w:after="0" w:line="240" w:lineRule="auto"/>
        <w:ind w:left="1019" w:leftChars="0" w:right="0" w:rightChars="0"/>
        <w:jc w:val="both"/>
        <w:rPr>
          <w:rFonts w:ascii="Times New Roman" w:eastAsia="Times New Roman"/>
          <w:color w:val="0000FF"/>
          <w:sz w:val="24"/>
        </w:rPr>
      </w:pPr>
      <w:r>
        <w:rPr>
          <w:rFonts w:hint="eastAsia"/>
          <w:color w:val="0000FF"/>
          <w:sz w:val="24"/>
          <w:lang w:eastAsia="zh-CN"/>
        </w:rPr>
        <w:t>（</w:t>
      </w:r>
      <w:r>
        <w:rPr>
          <w:rFonts w:hint="eastAsia"/>
          <w:color w:val="0000FF"/>
          <w:sz w:val="24"/>
          <w:lang w:val="en-US" w:eastAsia="zh-CN"/>
        </w:rPr>
        <w:t>9</w:t>
      </w:r>
      <w:r>
        <w:rPr>
          <w:rFonts w:hint="eastAsia"/>
          <w:color w:val="0000FF"/>
          <w:sz w:val="24"/>
          <w:lang w:eastAsia="zh-CN"/>
        </w:rPr>
        <w:t>）</w:t>
      </w:r>
      <w:r>
        <w:rPr>
          <w:color w:val="0000FF"/>
          <w:sz w:val="24"/>
        </w:rPr>
        <w:t>《中华人民共和国环境噪声污染防治法》（</w:t>
      </w:r>
      <w:r>
        <w:rPr>
          <w:rFonts w:ascii="Times New Roman" w:eastAsia="Times New Roman"/>
          <w:color w:val="0000FF"/>
          <w:sz w:val="24"/>
        </w:rPr>
        <w:t>2018</w:t>
      </w:r>
      <w:r>
        <w:rPr>
          <w:color w:val="0000FF"/>
          <w:sz w:val="24"/>
        </w:rPr>
        <w:t>年修），</w:t>
      </w:r>
      <w:r>
        <w:rPr>
          <w:rFonts w:ascii="Times New Roman" w:eastAsia="Times New Roman"/>
          <w:color w:val="0000FF"/>
          <w:sz w:val="24"/>
        </w:rPr>
        <w:t>2018</w:t>
      </w:r>
      <w:r>
        <w:rPr>
          <w:color w:val="0000FF"/>
          <w:spacing w:val="-29"/>
          <w:sz w:val="24"/>
        </w:rPr>
        <w:t>年</w:t>
      </w:r>
      <w:r>
        <w:rPr>
          <w:rFonts w:ascii="Times New Roman" w:eastAsia="Times New Roman"/>
          <w:color w:val="0000FF"/>
          <w:sz w:val="24"/>
        </w:rPr>
        <w:t>12</w:t>
      </w:r>
    </w:p>
    <w:p>
      <w:pPr>
        <w:pStyle w:val="7"/>
        <w:spacing w:before="160"/>
        <w:jc w:val="both"/>
        <w:rPr>
          <w:color w:val="0000FF"/>
        </w:rPr>
      </w:pPr>
      <w:r>
        <w:rPr>
          <w:color w:val="0000FF"/>
        </w:rPr>
        <w:t>月</w:t>
      </w:r>
      <w:r>
        <w:rPr>
          <w:rFonts w:ascii="Times New Roman" w:eastAsia="Times New Roman"/>
          <w:color w:val="0000FF"/>
        </w:rPr>
        <w:t>29</w:t>
      </w:r>
      <w:r>
        <w:rPr>
          <w:color w:val="0000FF"/>
        </w:rPr>
        <w:t>日；</w:t>
      </w:r>
    </w:p>
    <w:p>
      <w:pPr>
        <w:pStyle w:val="18"/>
        <w:numPr>
          <w:ilvl w:val="0"/>
          <w:numId w:val="0"/>
        </w:numPr>
        <w:tabs>
          <w:tab w:val="left" w:pos="1741"/>
        </w:tabs>
        <w:spacing w:before="163"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10</w:t>
      </w:r>
      <w:r>
        <w:rPr>
          <w:rFonts w:hint="eastAsia"/>
          <w:color w:val="0000FF"/>
          <w:sz w:val="24"/>
          <w:lang w:eastAsia="zh-CN"/>
        </w:rPr>
        <w:t>）</w:t>
      </w:r>
      <w:r>
        <w:rPr>
          <w:color w:val="0000FF"/>
          <w:sz w:val="24"/>
        </w:rPr>
        <w:t>《中华人民共和国水法》，</w:t>
      </w:r>
      <w:r>
        <w:rPr>
          <w:rFonts w:ascii="Times New Roman" w:eastAsia="Times New Roman"/>
          <w:color w:val="0000FF"/>
          <w:sz w:val="24"/>
        </w:rPr>
        <w:t>2016</w:t>
      </w:r>
      <w:r>
        <w:rPr>
          <w:color w:val="0000FF"/>
          <w:spacing w:val="-30"/>
          <w:sz w:val="24"/>
        </w:rPr>
        <w:t>年</w:t>
      </w:r>
      <w:r>
        <w:rPr>
          <w:rFonts w:ascii="Times New Roman" w:eastAsia="Times New Roman"/>
          <w:color w:val="0000FF"/>
          <w:sz w:val="24"/>
        </w:rPr>
        <w:t>7</w:t>
      </w:r>
      <w:r>
        <w:rPr>
          <w:color w:val="0000FF"/>
          <w:spacing w:val="-30"/>
          <w:sz w:val="24"/>
        </w:rPr>
        <w:t>月</w:t>
      </w:r>
      <w:r>
        <w:rPr>
          <w:rFonts w:ascii="Times New Roman" w:eastAsia="Times New Roman"/>
          <w:color w:val="0000FF"/>
          <w:sz w:val="24"/>
        </w:rPr>
        <w:t>2</w:t>
      </w:r>
      <w:r>
        <w:rPr>
          <w:color w:val="0000FF"/>
          <w:sz w:val="24"/>
        </w:rPr>
        <w:t>日修订；</w:t>
      </w:r>
    </w:p>
    <w:p>
      <w:pPr>
        <w:pStyle w:val="18"/>
        <w:numPr>
          <w:ilvl w:val="0"/>
          <w:numId w:val="0"/>
        </w:numPr>
        <w:tabs>
          <w:tab w:val="left" w:pos="1732"/>
        </w:tabs>
        <w:spacing w:before="163" w:after="0" w:line="240" w:lineRule="auto"/>
        <w:ind w:left="1019" w:leftChars="0" w:right="0" w:rightChars="0"/>
        <w:jc w:val="both"/>
        <w:rPr>
          <w:color w:val="0000FF"/>
          <w:sz w:val="24"/>
        </w:rPr>
      </w:pPr>
      <w:r>
        <w:rPr>
          <w:rFonts w:hint="eastAsia"/>
          <w:color w:val="0000FF"/>
          <w:sz w:val="24"/>
          <w:lang w:eastAsia="zh-CN"/>
        </w:rPr>
        <w:t>（</w:t>
      </w:r>
      <w:r>
        <w:rPr>
          <w:rFonts w:hint="eastAsia"/>
          <w:color w:val="0000FF"/>
          <w:sz w:val="24"/>
          <w:lang w:val="en-US" w:eastAsia="zh-CN"/>
        </w:rPr>
        <w:t>11</w:t>
      </w:r>
      <w:r>
        <w:rPr>
          <w:rFonts w:hint="eastAsia"/>
          <w:color w:val="0000FF"/>
          <w:sz w:val="24"/>
          <w:lang w:eastAsia="zh-CN"/>
        </w:rPr>
        <w:t>）</w:t>
      </w:r>
      <w:r>
        <w:rPr>
          <w:color w:val="0000FF"/>
          <w:sz w:val="24"/>
        </w:rPr>
        <w:t>《中华人民共和国水土保持法》，</w:t>
      </w:r>
      <w:r>
        <w:rPr>
          <w:rFonts w:ascii="Times New Roman" w:eastAsia="Times New Roman"/>
          <w:color w:val="0000FF"/>
          <w:sz w:val="24"/>
        </w:rPr>
        <w:t>2011</w:t>
      </w:r>
      <w:r>
        <w:rPr>
          <w:color w:val="0000FF"/>
          <w:spacing w:val="-30"/>
          <w:sz w:val="24"/>
        </w:rPr>
        <w:t>年</w:t>
      </w:r>
      <w:r>
        <w:rPr>
          <w:rFonts w:ascii="Times New Roman" w:eastAsia="Times New Roman"/>
          <w:color w:val="0000FF"/>
          <w:sz w:val="24"/>
        </w:rPr>
        <w:t>3</w:t>
      </w:r>
      <w:r>
        <w:rPr>
          <w:color w:val="0000FF"/>
          <w:spacing w:val="-30"/>
          <w:sz w:val="24"/>
        </w:rPr>
        <w:t>月</w:t>
      </w:r>
      <w:r>
        <w:rPr>
          <w:rFonts w:ascii="Times New Roman" w:eastAsia="Times New Roman"/>
          <w:color w:val="0000FF"/>
          <w:sz w:val="24"/>
        </w:rPr>
        <w:t>1</w:t>
      </w:r>
      <w:r>
        <w:rPr>
          <w:color w:val="0000FF"/>
          <w:sz w:val="24"/>
        </w:rPr>
        <w:t>日；</w:t>
      </w:r>
    </w:p>
    <w:p>
      <w:pPr>
        <w:pStyle w:val="18"/>
        <w:numPr>
          <w:ilvl w:val="0"/>
          <w:numId w:val="0"/>
        </w:numPr>
        <w:tabs>
          <w:tab w:val="left" w:pos="1741"/>
        </w:tabs>
        <w:spacing w:before="163"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12</w:t>
      </w:r>
      <w:r>
        <w:rPr>
          <w:rFonts w:hint="eastAsia"/>
          <w:color w:val="0000FF"/>
          <w:sz w:val="24"/>
          <w:lang w:eastAsia="zh-CN"/>
        </w:rPr>
        <w:t>）</w:t>
      </w:r>
      <w:r>
        <w:rPr>
          <w:color w:val="0000FF"/>
          <w:sz w:val="24"/>
        </w:rPr>
        <w:t>《中华人民共和国循环经济促进法》，</w:t>
      </w:r>
      <w:r>
        <w:rPr>
          <w:rFonts w:ascii="Times New Roman" w:eastAsia="Times New Roman"/>
          <w:color w:val="0000FF"/>
          <w:sz w:val="24"/>
        </w:rPr>
        <w:t>2009</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8"/>
        <w:numPr>
          <w:ilvl w:val="0"/>
          <w:numId w:val="0"/>
        </w:numPr>
        <w:tabs>
          <w:tab w:val="left" w:pos="1741"/>
        </w:tabs>
        <w:spacing w:before="163"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13</w:t>
      </w:r>
      <w:r>
        <w:rPr>
          <w:rFonts w:hint="eastAsia"/>
          <w:color w:val="0000FF"/>
          <w:sz w:val="24"/>
          <w:lang w:eastAsia="zh-CN"/>
        </w:rPr>
        <w:t>）</w:t>
      </w:r>
      <w:r>
        <w:rPr>
          <w:color w:val="0000FF"/>
          <w:sz w:val="24"/>
        </w:rPr>
        <w:t>《中华人民共和国节约能源法》，</w:t>
      </w:r>
      <w:r>
        <w:rPr>
          <w:rFonts w:ascii="Times New Roman" w:eastAsia="Times New Roman"/>
          <w:color w:val="0000FF"/>
          <w:sz w:val="24"/>
        </w:rPr>
        <w:t>2016</w:t>
      </w:r>
      <w:r>
        <w:rPr>
          <w:color w:val="0000FF"/>
          <w:spacing w:val="-30"/>
          <w:sz w:val="24"/>
        </w:rPr>
        <w:t>年</w:t>
      </w:r>
      <w:r>
        <w:rPr>
          <w:rFonts w:ascii="Times New Roman" w:eastAsia="Times New Roman"/>
          <w:color w:val="0000FF"/>
          <w:sz w:val="24"/>
        </w:rPr>
        <w:t>7</w:t>
      </w:r>
      <w:r>
        <w:rPr>
          <w:color w:val="0000FF"/>
          <w:spacing w:val="-30"/>
          <w:sz w:val="24"/>
        </w:rPr>
        <w:t>月</w:t>
      </w:r>
      <w:r>
        <w:rPr>
          <w:rFonts w:ascii="Times New Roman" w:eastAsia="Times New Roman"/>
          <w:color w:val="0000FF"/>
          <w:sz w:val="24"/>
        </w:rPr>
        <w:t>2</w:t>
      </w:r>
      <w:r>
        <w:rPr>
          <w:color w:val="0000FF"/>
          <w:sz w:val="24"/>
        </w:rPr>
        <w:t>日修订；</w:t>
      </w:r>
    </w:p>
    <w:p>
      <w:pPr>
        <w:pStyle w:val="18"/>
        <w:numPr>
          <w:ilvl w:val="0"/>
          <w:numId w:val="0"/>
        </w:numPr>
        <w:tabs>
          <w:tab w:val="left" w:pos="1741"/>
        </w:tabs>
        <w:spacing w:before="163" w:after="0" w:line="364" w:lineRule="auto"/>
        <w:ind w:left="1020" w:leftChars="0" w:right="577" w:rightChars="0"/>
        <w:jc w:val="both"/>
        <w:rPr>
          <w:color w:val="0000FF"/>
          <w:sz w:val="24"/>
        </w:rPr>
      </w:pPr>
      <w:r>
        <w:rPr>
          <w:rFonts w:hint="eastAsia"/>
          <w:color w:val="0000FF"/>
          <w:sz w:val="24"/>
          <w:lang w:eastAsia="zh-CN"/>
        </w:rPr>
        <w:t>（</w:t>
      </w:r>
      <w:r>
        <w:rPr>
          <w:rFonts w:hint="eastAsia"/>
          <w:color w:val="0000FF"/>
          <w:sz w:val="24"/>
          <w:lang w:val="en-US" w:eastAsia="zh-CN"/>
        </w:rPr>
        <w:t>14</w:t>
      </w:r>
      <w:r>
        <w:rPr>
          <w:rFonts w:hint="eastAsia"/>
          <w:color w:val="0000FF"/>
          <w:sz w:val="24"/>
          <w:lang w:eastAsia="zh-CN"/>
        </w:rPr>
        <w:t>）</w:t>
      </w:r>
      <w:r>
        <w:rPr>
          <w:color w:val="0000FF"/>
          <w:spacing w:val="-7"/>
          <w:sz w:val="24"/>
        </w:rPr>
        <w:t>《中华人民共和国动物防疫法》，中华人民共和国主席令</w:t>
      </w:r>
      <w:r>
        <w:rPr>
          <w:color w:val="0000FF"/>
          <w:sz w:val="24"/>
        </w:rPr>
        <w:t>（第二十</w:t>
      </w:r>
      <w:r>
        <w:rPr>
          <w:color w:val="0000FF"/>
          <w:spacing w:val="-8"/>
          <w:sz w:val="24"/>
        </w:rPr>
        <w:t>四号</w:t>
      </w:r>
      <w:r>
        <w:rPr>
          <w:color w:val="0000FF"/>
          <w:sz w:val="24"/>
        </w:rPr>
        <w:t>），</w:t>
      </w:r>
      <w:r>
        <w:rPr>
          <w:rFonts w:ascii="Times New Roman" w:eastAsia="Times New Roman"/>
          <w:color w:val="0000FF"/>
          <w:sz w:val="24"/>
        </w:rPr>
        <w:t>2015</w:t>
      </w:r>
      <w:r>
        <w:rPr>
          <w:color w:val="0000FF"/>
          <w:sz w:val="24"/>
        </w:rPr>
        <w:t>年修正，</w:t>
      </w:r>
      <w:r>
        <w:rPr>
          <w:rFonts w:ascii="Times New Roman" w:eastAsia="Times New Roman"/>
          <w:color w:val="0000FF"/>
          <w:sz w:val="24"/>
        </w:rPr>
        <w:t>2015</w:t>
      </w:r>
      <w:r>
        <w:rPr>
          <w:color w:val="0000FF"/>
          <w:spacing w:val="-30"/>
          <w:sz w:val="24"/>
        </w:rPr>
        <w:t>年</w:t>
      </w:r>
      <w:r>
        <w:rPr>
          <w:rFonts w:ascii="Times New Roman" w:eastAsia="Times New Roman"/>
          <w:color w:val="0000FF"/>
          <w:sz w:val="24"/>
        </w:rPr>
        <w:t>4</w:t>
      </w:r>
      <w:r>
        <w:rPr>
          <w:color w:val="0000FF"/>
          <w:spacing w:val="-30"/>
          <w:sz w:val="24"/>
        </w:rPr>
        <w:t>月</w:t>
      </w:r>
      <w:r>
        <w:rPr>
          <w:rFonts w:ascii="Times New Roman" w:eastAsia="Times New Roman"/>
          <w:color w:val="0000FF"/>
          <w:sz w:val="24"/>
        </w:rPr>
        <w:t>24</w:t>
      </w:r>
      <w:r>
        <w:rPr>
          <w:color w:val="0000FF"/>
          <w:sz w:val="24"/>
        </w:rPr>
        <w:t>日；</w:t>
      </w:r>
    </w:p>
    <w:p>
      <w:pPr>
        <w:pStyle w:val="18"/>
        <w:numPr>
          <w:ilvl w:val="0"/>
          <w:numId w:val="0"/>
        </w:numPr>
        <w:tabs>
          <w:tab w:val="left" w:pos="1741"/>
        </w:tabs>
        <w:spacing w:before="3" w:after="0" w:line="240" w:lineRule="auto"/>
        <w:ind w:left="1020" w:leftChars="0" w:right="0" w:rightChars="0"/>
        <w:jc w:val="both"/>
        <w:rPr>
          <w:color w:val="0000FF"/>
          <w:sz w:val="24"/>
        </w:rPr>
      </w:pPr>
      <w:r>
        <w:rPr>
          <w:rFonts w:hint="eastAsia"/>
          <w:color w:val="0000FF"/>
          <w:sz w:val="24"/>
          <w:lang w:eastAsia="zh-CN"/>
        </w:rPr>
        <w:t>（</w:t>
      </w:r>
      <w:r>
        <w:rPr>
          <w:rFonts w:hint="eastAsia"/>
          <w:color w:val="0000FF"/>
          <w:sz w:val="24"/>
          <w:lang w:val="en-US" w:eastAsia="zh-CN"/>
        </w:rPr>
        <w:t>15</w:t>
      </w:r>
      <w:r>
        <w:rPr>
          <w:rFonts w:hint="eastAsia"/>
          <w:color w:val="0000FF"/>
          <w:sz w:val="24"/>
          <w:lang w:eastAsia="zh-CN"/>
        </w:rPr>
        <w:t>）</w:t>
      </w:r>
      <w:r>
        <w:rPr>
          <w:color w:val="0000FF"/>
          <w:sz w:val="24"/>
        </w:rPr>
        <w:t>《中华人民共和国传染病防治法》，</w:t>
      </w:r>
      <w:r>
        <w:rPr>
          <w:rFonts w:ascii="Times New Roman" w:eastAsia="Times New Roman"/>
          <w:color w:val="0000FF"/>
          <w:sz w:val="24"/>
        </w:rPr>
        <w:t>2004</w:t>
      </w:r>
      <w:r>
        <w:rPr>
          <w:color w:val="0000FF"/>
          <w:spacing w:val="-30"/>
          <w:sz w:val="24"/>
        </w:rPr>
        <w:t>年</w:t>
      </w:r>
      <w:r>
        <w:rPr>
          <w:rFonts w:ascii="Times New Roman" w:eastAsia="Times New Roman"/>
          <w:color w:val="0000FF"/>
          <w:sz w:val="24"/>
        </w:rPr>
        <w:t>12</w:t>
      </w:r>
      <w:r>
        <w:rPr>
          <w:color w:val="0000FF"/>
          <w:spacing w:val="-30"/>
          <w:sz w:val="24"/>
        </w:rPr>
        <w:t>月</w:t>
      </w:r>
      <w:r>
        <w:rPr>
          <w:rFonts w:ascii="Times New Roman" w:eastAsia="Times New Roman"/>
          <w:color w:val="0000FF"/>
          <w:sz w:val="24"/>
        </w:rPr>
        <w:t>1</w:t>
      </w:r>
      <w:r>
        <w:rPr>
          <w:color w:val="0000FF"/>
          <w:sz w:val="24"/>
        </w:rPr>
        <w:t>日；</w:t>
      </w:r>
    </w:p>
    <w:p>
      <w:pPr>
        <w:pStyle w:val="18"/>
        <w:numPr>
          <w:ilvl w:val="0"/>
          <w:numId w:val="0"/>
        </w:numPr>
        <w:tabs>
          <w:tab w:val="left" w:pos="1741"/>
        </w:tabs>
        <w:spacing w:before="163" w:after="0" w:line="367" w:lineRule="auto"/>
        <w:ind w:left="1020" w:leftChars="0" w:right="577" w:rightChars="0"/>
        <w:jc w:val="both"/>
        <w:rPr>
          <w:color w:val="0000FF"/>
          <w:sz w:val="24"/>
        </w:rPr>
      </w:pPr>
      <w:r>
        <w:rPr>
          <w:rFonts w:hint="eastAsia"/>
          <w:color w:val="0000FF"/>
          <w:sz w:val="24"/>
          <w:lang w:eastAsia="zh-CN"/>
        </w:rPr>
        <w:t>（</w:t>
      </w:r>
      <w:r>
        <w:rPr>
          <w:rFonts w:hint="eastAsia"/>
          <w:color w:val="0000FF"/>
          <w:sz w:val="24"/>
          <w:lang w:val="en-US" w:eastAsia="zh-CN"/>
        </w:rPr>
        <w:t>16</w:t>
      </w:r>
      <w:r>
        <w:rPr>
          <w:rFonts w:hint="eastAsia"/>
          <w:color w:val="0000FF"/>
          <w:sz w:val="24"/>
          <w:lang w:eastAsia="zh-CN"/>
        </w:rPr>
        <w:t>）</w:t>
      </w:r>
      <w:r>
        <w:rPr>
          <w:color w:val="0000FF"/>
          <w:spacing w:val="-4"/>
          <w:sz w:val="24"/>
        </w:rPr>
        <w:t>《国务院关于印发大气污染防治行动计划的通知》，国发〔</w:t>
      </w:r>
      <w:r>
        <w:rPr>
          <w:rFonts w:ascii="Times New Roman" w:eastAsia="Times New Roman"/>
          <w:color w:val="0000FF"/>
          <w:sz w:val="24"/>
        </w:rPr>
        <w:t>2013</w:t>
      </w:r>
      <w:r>
        <w:rPr>
          <w:color w:val="0000FF"/>
          <w:spacing w:val="-17"/>
          <w:sz w:val="24"/>
        </w:rPr>
        <w:t>〕</w:t>
      </w:r>
      <w:r>
        <w:rPr>
          <w:rFonts w:ascii="Times New Roman" w:eastAsia="Times New Roman"/>
          <w:color w:val="0000FF"/>
          <w:spacing w:val="-7"/>
          <w:sz w:val="24"/>
        </w:rPr>
        <w:t>37</w:t>
      </w:r>
      <w:r>
        <w:rPr>
          <w:color w:val="0000FF"/>
          <w:sz w:val="24"/>
        </w:rPr>
        <w:t>号，</w:t>
      </w:r>
      <w:r>
        <w:rPr>
          <w:rFonts w:ascii="Times New Roman" w:eastAsia="Times New Roman"/>
          <w:color w:val="0000FF"/>
          <w:sz w:val="24"/>
        </w:rPr>
        <w:t>2013</w:t>
      </w:r>
      <w:r>
        <w:rPr>
          <w:color w:val="0000FF"/>
          <w:spacing w:val="-30"/>
          <w:sz w:val="24"/>
        </w:rPr>
        <w:t>年</w:t>
      </w:r>
      <w:r>
        <w:rPr>
          <w:rFonts w:ascii="Times New Roman" w:eastAsia="Times New Roman"/>
          <w:color w:val="0000FF"/>
          <w:sz w:val="24"/>
        </w:rPr>
        <w:t>9</w:t>
      </w:r>
      <w:r>
        <w:rPr>
          <w:color w:val="0000FF"/>
          <w:spacing w:val="-30"/>
          <w:sz w:val="24"/>
        </w:rPr>
        <w:t>月</w:t>
      </w:r>
      <w:r>
        <w:rPr>
          <w:rFonts w:ascii="Times New Roman" w:eastAsia="Times New Roman"/>
          <w:color w:val="0000FF"/>
          <w:sz w:val="24"/>
        </w:rPr>
        <w:t>10</w:t>
      </w:r>
      <w:r>
        <w:rPr>
          <w:color w:val="0000FF"/>
          <w:sz w:val="24"/>
        </w:rPr>
        <w:t>日；</w:t>
      </w:r>
    </w:p>
    <w:p>
      <w:pPr>
        <w:spacing w:after="0" w:line="367" w:lineRule="auto"/>
        <w:jc w:val="both"/>
        <w:rPr>
          <w:color w:val="0000FF"/>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jc w:val="both"/>
        <w:rPr>
          <w:color w:val="0000FF"/>
          <w:sz w:val="9"/>
        </w:rPr>
      </w:pPr>
    </w:p>
    <w:p>
      <w:pPr>
        <w:pStyle w:val="18"/>
        <w:numPr>
          <w:ilvl w:val="0"/>
          <w:numId w:val="0"/>
        </w:numPr>
        <w:tabs>
          <w:tab w:val="left" w:pos="1755"/>
        </w:tabs>
        <w:spacing w:before="76" w:after="0" w:line="364" w:lineRule="auto"/>
        <w:ind w:left="1020" w:leftChars="0" w:right="581" w:rightChars="0"/>
        <w:jc w:val="both"/>
        <w:rPr>
          <w:color w:val="0000FF"/>
          <w:sz w:val="24"/>
        </w:rPr>
      </w:pPr>
      <w:r>
        <w:rPr>
          <w:rFonts w:hint="eastAsia"/>
          <w:color w:val="0000FF"/>
          <w:sz w:val="24"/>
          <w:lang w:eastAsia="zh-CN"/>
        </w:rPr>
        <w:t>（</w:t>
      </w:r>
      <w:r>
        <w:rPr>
          <w:rFonts w:hint="eastAsia"/>
          <w:color w:val="0000FF"/>
          <w:sz w:val="24"/>
          <w:lang w:val="en-US" w:eastAsia="zh-CN"/>
        </w:rPr>
        <w:t>17</w:t>
      </w:r>
      <w:r>
        <w:rPr>
          <w:rFonts w:hint="eastAsia"/>
          <w:color w:val="0000FF"/>
          <w:sz w:val="24"/>
          <w:lang w:eastAsia="zh-CN"/>
        </w:rPr>
        <w:t>）</w:t>
      </w:r>
      <w:r>
        <w:rPr>
          <w:color w:val="0000FF"/>
          <w:spacing w:val="4"/>
          <w:sz w:val="24"/>
        </w:rPr>
        <w:t>《国务院关于印发水污染防治行动计划的通知》，国发〔</w:t>
      </w:r>
      <w:r>
        <w:rPr>
          <w:rFonts w:ascii="Times New Roman" w:eastAsia="Times New Roman"/>
          <w:color w:val="0000FF"/>
          <w:sz w:val="24"/>
        </w:rPr>
        <w:t>2015</w:t>
      </w:r>
      <w:r>
        <w:rPr>
          <w:color w:val="0000FF"/>
          <w:sz w:val="24"/>
        </w:rPr>
        <w:t>〕</w:t>
      </w:r>
      <w:r>
        <w:rPr>
          <w:rFonts w:ascii="Times New Roman" w:eastAsia="Times New Roman"/>
          <w:color w:val="0000FF"/>
          <w:sz w:val="24"/>
        </w:rPr>
        <w:t>17</w:t>
      </w:r>
      <w:r>
        <w:rPr>
          <w:color w:val="0000FF"/>
          <w:sz w:val="24"/>
        </w:rPr>
        <w:t>号，</w:t>
      </w:r>
      <w:r>
        <w:rPr>
          <w:rFonts w:ascii="Times New Roman" w:eastAsia="Times New Roman"/>
          <w:color w:val="0000FF"/>
          <w:sz w:val="24"/>
        </w:rPr>
        <w:t>2015</w:t>
      </w:r>
      <w:r>
        <w:rPr>
          <w:color w:val="0000FF"/>
          <w:spacing w:val="-30"/>
          <w:sz w:val="24"/>
        </w:rPr>
        <w:t>年</w:t>
      </w:r>
      <w:r>
        <w:rPr>
          <w:rFonts w:ascii="Times New Roman" w:eastAsia="Times New Roman"/>
          <w:color w:val="0000FF"/>
          <w:sz w:val="24"/>
        </w:rPr>
        <w:t>4</w:t>
      </w:r>
      <w:r>
        <w:rPr>
          <w:color w:val="0000FF"/>
          <w:spacing w:val="-30"/>
          <w:sz w:val="24"/>
        </w:rPr>
        <w:t>月</w:t>
      </w:r>
      <w:r>
        <w:rPr>
          <w:rFonts w:ascii="Times New Roman" w:eastAsia="Times New Roman"/>
          <w:color w:val="0000FF"/>
          <w:sz w:val="24"/>
        </w:rPr>
        <w:t>16</w:t>
      </w:r>
      <w:r>
        <w:rPr>
          <w:color w:val="0000FF"/>
          <w:sz w:val="24"/>
        </w:rPr>
        <w:t>；</w:t>
      </w:r>
    </w:p>
    <w:p>
      <w:pPr>
        <w:pStyle w:val="18"/>
        <w:numPr>
          <w:ilvl w:val="0"/>
          <w:numId w:val="0"/>
        </w:numPr>
        <w:tabs>
          <w:tab w:val="left" w:pos="1741"/>
        </w:tabs>
        <w:spacing w:before="4" w:after="0" w:line="367" w:lineRule="auto"/>
        <w:ind w:left="1020" w:leftChars="0" w:right="577" w:rightChars="0"/>
        <w:jc w:val="both"/>
        <w:rPr>
          <w:color w:val="0000FF"/>
          <w:sz w:val="24"/>
        </w:rPr>
      </w:pPr>
      <w:r>
        <w:rPr>
          <w:rFonts w:hint="eastAsia"/>
          <w:color w:val="0000FF"/>
          <w:spacing w:val="-4"/>
          <w:sz w:val="24"/>
          <w:lang w:eastAsia="zh-CN"/>
        </w:rPr>
        <w:t>（</w:t>
      </w:r>
      <w:r>
        <w:rPr>
          <w:rFonts w:hint="eastAsia"/>
          <w:color w:val="0000FF"/>
          <w:spacing w:val="-4"/>
          <w:sz w:val="24"/>
          <w:lang w:val="en-US" w:eastAsia="zh-CN"/>
        </w:rPr>
        <w:t>18</w:t>
      </w:r>
      <w:r>
        <w:rPr>
          <w:rFonts w:hint="eastAsia"/>
          <w:color w:val="0000FF"/>
          <w:spacing w:val="-4"/>
          <w:sz w:val="24"/>
          <w:lang w:eastAsia="zh-CN"/>
        </w:rPr>
        <w:t>）</w:t>
      </w:r>
      <w:r>
        <w:rPr>
          <w:color w:val="0000FF"/>
          <w:spacing w:val="-4"/>
          <w:sz w:val="24"/>
        </w:rPr>
        <w:t>《国务院关于印发土壤污染防治行动计划的通知》，国发〔</w:t>
      </w:r>
      <w:r>
        <w:rPr>
          <w:rFonts w:ascii="Times New Roman" w:eastAsia="Times New Roman"/>
          <w:color w:val="0000FF"/>
          <w:sz w:val="24"/>
        </w:rPr>
        <w:t>2016</w:t>
      </w:r>
      <w:r>
        <w:rPr>
          <w:color w:val="0000FF"/>
          <w:spacing w:val="-17"/>
          <w:sz w:val="24"/>
        </w:rPr>
        <w:t>〕</w:t>
      </w:r>
      <w:r>
        <w:rPr>
          <w:rFonts w:ascii="Times New Roman" w:eastAsia="Times New Roman"/>
          <w:color w:val="0000FF"/>
          <w:spacing w:val="-7"/>
          <w:sz w:val="24"/>
        </w:rPr>
        <w:t>31</w:t>
      </w:r>
      <w:r>
        <w:rPr>
          <w:color w:val="0000FF"/>
          <w:sz w:val="24"/>
        </w:rPr>
        <w:t>号，</w:t>
      </w:r>
      <w:r>
        <w:rPr>
          <w:rFonts w:ascii="Times New Roman" w:eastAsia="Times New Roman"/>
          <w:color w:val="0000FF"/>
          <w:sz w:val="24"/>
        </w:rPr>
        <w:t>2016</w:t>
      </w:r>
      <w:r>
        <w:rPr>
          <w:color w:val="0000FF"/>
          <w:spacing w:val="-30"/>
          <w:sz w:val="24"/>
        </w:rPr>
        <w:t>年</w:t>
      </w:r>
      <w:r>
        <w:rPr>
          <w:rFonts w:ascii="Times New Roman" w:eastAsia="Times New Roman"/>
          <w:color w:val="0000FF"/>
          <w:sz w:val="24"/>
        </w:rPr>
        <w:t>5</w:t>
      </w:r>
      <w:r>
        <w:rPr>
          <w:color w:val="0000FF"/>
          <w:spacing w:val="-30"/>
          <w:sz w:val="24"/>
        </w:rPr>
        <w:t>月</w:t>
      </w:r>
      <w:r>
        <w:rPr>
          <w:rFonts w:ascii="Times New Roman" w:eastAsia="Times New Roman"/>
          <w:color w:val="0000FF"/>
          <w:sz w:val="24"/>
        </w:rPr>
        <w:t>28</w:t>
      </w:r>
      <w:r>
        <w:rPr>
          <w:color w:val="0000FF"/>
          <w:sz w:val="24"/>
        </w:rPr>
        <w:t>日。</w:t>
      </w:r>
    </w:p>
    <w:p>
      <w:pPr>
        <w:pStyle w:val="5"/>
        <w:numPr>
          <w:ilvl w:val="2"/>
          <w:numId w:val="5"/>
        </w:numPr>
        <w:tabs>
          <w:tab w:val="left" w:pos="1241"/>
        </w:tabs>
        <w:spacing w:before="22" w:after="0" w:line="240" w:lineRule="auto"/>
        <w:ind w:left="1240" w:right="0" w:hanging="701"/>
        <w:jc w:val="both"/>
        <w:outlineLvl w:val="2"/>
        <w:rPr>
          <w:rFonts w:ascii="Times New Roman" w:eastAsia="Times New Roman"/>
        </w:rPr>
      </w:pPr>
      <w:bookmarkStart w:id="39" w:name="2.2.2 相关政策及部门规章"/>
      <w:bookmarkEnd w:id="39"/>
      <w:bookmarkStart w:id="40" w:name="2.2.2 相关政策及部门规章"/>
      <w:bookmarkEnd w:id="40"/>
      <w:bookmarkStart w:id="41" w:name="_Toc24342"/>
      <w:r>
        <w:t>相关政策及部门规章</w:t>
      </w:r>
      <w:bookmarkEnd w:id="41"/>
    </w:p>
    <w:p>
      <w:pPr>
        <w:pStyle w:val="18"/>
        <w:numPr>
          <w:ilvl w:val="0"/>
          <w:numId w:val="0"/>
        </w:numPr>
        <w:tabs>
          <w:tab w:val="left" w:pos="601"/>
        </w:tabs>
        <w:spacing w:before="212" w:after="0" w:line="240" w:lineRule="auto"/>
        <w:ind w:leftChars="0" w:right="577" w:rightChars="0" w:firstLine="864" w:firstLineChars="400"/>
        <w:jc w:val="both"/>
        <w:rPr>
          <w:rFonts w:ascii="Times New Roman" w:eastAsia="Times New Roman"/>
          <w:color w:val="0000FF"/>
          <w:sz w:val="24"/>
        </w:rPr>
      </w:pPr>
      <w:r>
        <w:rPr>
          <w:rFonts w:hint="eastAsia"/>
          <w:color w:val="0000FF"/>
          <w:spacing w:val="-12"/>
          <w:sz w:val="24"/>
          <w:lang w:val="en-US" w:eastAsia="zh-CN"/>
        </w:rPr>
        <w:t>（1）</w:t>
      </w:r>
      <w:r>
        <w:rPr>
          <w:color w:val="0000FF"/>
          <w:spacing w:val="-12"/>
          <w:sz w:val="24"/>
        </w:rPr>
        <w:t>《建设项目环境影响评价分类管理名录》，环境保护部令第</w:t>
      </w:r>
      <w:r>
        <w:rPr>
          <w:rFonts w:ascii="Times New Roman" w:eastAsia="Times New Roman"/>
          <w:color w:val="0000FF"/>
          <w:sz w:val="24"/>
        </w:rPr>
        <w:t>44</w:t>
      </w:r>
      <w:r>
        <w:rPr>
          <w:color w:val="0000FF"/>
          <w:sz w:val="24"/>
        </w:rPr>
        <w:t>号</w:t>
      </w:r>
      <w:r>
        <w:rPr>
          <w:color w:val="0000FF"/>
          <w:spacing w:val="-14"/>
          <w:sz w:val="24"/>
        </w:rPr>
        <w:t>，</w:t>
      </w:r>
      <w:r>
        <w:rPr>
          <w:rFonts w:ascii="Times New Roman" w:eastAsia="Times New Roman"/>
          <w:color w:val="0000FF"/>
          <w:spacing w:val="-14"/>
          <w:sz w:val="24"/>
        </w:rPr>
        <w:t>2017</w:t>
      </w:r>
    </w:p>
    <w:p>
      <w:pPr>
        <w:pStyle w:val="7"/>
        <w:spacing w:before="162"/>
        <w:ind w:left="0" w:right="577"/>
        <w:jc w:val="both"/>
        <w:rPr>
          <w:color w:val="0000FF"/>
        </w:rPr>
      </w:pPr>
      <w:r>
        <w:rPr>
          <w:color w:val="0000FF"/>
          <w:spacing w:val="-26"/>
        </w:rPr>
        <w:t>年</w:t>
      </w:r>
      <w:r>
        <w:rPr>
          <w:rFonts w:ascii="Times New Roman" w:eastAsia="Times New Roman"/>
          <w:color w:val="0000FF"/>
        </w:rPr>
        <w:t>9</w:t>
      </w:r>
      <w:r>
        <w:rPr>
          <w:color w:val="0000FF"/>
          <w:spacing w:val="-24"/>
        </w:rPr>
        <w:t>月</w:t>
      </w:r>
      <w:r>
        <w:rPr>
          <w:rFonts w:ascii="Times New Roman" w:eastAsia="Times New Roman"/>
          <w:color w:val="0000FF"/>
        </w:rPr>
        <w:t>1</w:t>
      </w:r>
      <w:r>
        <w:rPr>
          <w:color w:val="0000FF"/>
        </w:rPr>
        <w:t>日及《关于修改</w:t>
      </w:r>
      <w:r>
        <w:rPr>
          <w:rFonts w:ascii="Times New Roman" w:eastAsia="Times New Roman"/>
          <w:color w:val="0000FF"/>
          <w:spacing w:val="3"/>
        </w:rPr>
        <w:t>&lt;</w:t>
      </w:r>
      <w:r>
        <w:rPr>
          <w:color w:val="0000FF"/>
        </w:rPr>
        <w:t>建设项目环境影响评价分类管理名录</w:t>
      </w:r>
      <w:r>
        <w:rPr>
          <w:rFonts w:ascii="Times New Roman" w:eastAsia="Times New Roman"/>
          <w:color w:val="0000FF"/>
          <w:spacing w:val="3"/>
        </w:rPr>
        <w:t>&gt;</w:t>
      </w:r>
      <w:r>
        <w:rPr>
          <w:color w:val="0000FF"/>
        </w:rPr>
        <w:t>部分内容的决</w:t>
      </w:r>
    </w:p>
    <w:p>
      <w:pPr>
        <w:pStyle w:val="7"/>
        <w:spacing w:before="163"/>
        <w:jc w:val="both"/>
        <w:rPr>
          <w:color w:val="0000FF"/>
        </w:rPr>
      </w:pPr>
      <w:r>
        <w:rPr>
          <w:color w:val="0000FF"/>
        </w:rPr>
        <w:t>定》（生态环境部令第</w:t>
      </w:r>
      <w:r>
        <w:rPr>
          <w:rFonts w:ascii="Times New Roman" w:eastAsia="Times New Roman"/>
          <w:color w:val="0000FF"/>
        </w:rPr>
        <w:t>1</w:t>
      </w:r>
      <w:r>
        <w:rPr>
          <w:color w:val="0000FF"/>
        </w:rPr>
        <w:t>号），</w:t>
      </w:r>
      <w:r>
        <w:rPr>
          <w:rFonts w:ascii="Times New Roman" w:eastAsia="Times New Roman"/>
          <w:color w:val="0000FF"/>
        </w:rPr>
        <w:t>2018</w:t>
      </w:r>
      <w:r>
        <w:rPr>
          <w:color w:val="0000FF"/>
        </w:rPr>
        <w:t>年</w:t>
      </w:r>
      <w:r>
        <w:rPr>
          <w:rFonts w:ascii="Times New Roman" w:eastAsia="Times New Roman"/>
          <w:color w:val="0000FF"/>
        </w:rPr>
        <w:t>4</w:t>
      </w:r>
      <w:r>
        <w:rPr>
          <w:color w:val="0000FF"/>
        </w:rPr>
        <w:t>月</w:t>
      </w:r>
      <w:r>
        <w:rPr>
          <w:rFonts w:ascii="Times New Roman" w:eastAsia="Times New Roman"/>
          <w:color w:val="0000FF"/>
        </w:rPr>
        <w:t>28</w:t>
      </w:r>
      <w:r>
        <w:rPr>
          <w:color w:val="0000FF"/>
        </w:rPr>
        <w:t>日；</w:t>
      </w:r>
    </w:p>
    <w:p>
      <w:pPr>
        <w:pStyle w:val="18"/>
        <w:numPr>
          <w:ilvl w:val="0"/>
          <w:numId w:val="0"/>
        </w:numPr>
        <w:tabs>
          <w:tab w:val="left" w:pos="1621"/>
        </w:tabs>
        <w:spacing w:before="163" w:after="0" w:line="367" w:lineRule="auto"/>
        <w:ind w:left="1020" w:leftChars="0" w:right="577" w:rightChars="0"/>
        <w:jc w:val="both"/>
        <w:rPr>
          <w:color w:val="0000FF"/>
          <w:sz w:val="24"/>
        </w:rPr>
      </w:pPr>
      <w:r>
        <w:rPr>
          <w:rFonts w:hint="eastAsia"/>
          <w:color w:val="0000FF"/>
          <w:spacing w:val="-12"/>
          <w:sz w:val="24"/>
          <w:lang w:val="en-US" w:eastAsia="zh-CN"/>
        </w:rPr>
        <w:t>（2）</w:t>
      </w:r>
      <w:r>
        <w:rPr>
          <w:color w:val="0000FF"/>
          <w:spacing w:val="-1"/>
          <w:sz w:val="24"/>
        </w:rPr>
        <w:t>《产业结构调整指导目录》</w:t>
      </w:r>
      <w:r>
        <w:rPr>
          <w:color w:val="0000FF"/>
          <w:sz w:val="24"/>
        </w:rPr>
        <w:t>（</w:t>
      </w:r>
      <w:r>
        <w:rPr>
          <w:rFonts w:ascii="Times New Roman" w:eastAsia="Times New Roman"/>
          <w:color w:val="0000FF"/>
          <w:sz w:val="24"/>
        </w:rPr>
        <w:t>2019</w:t>
      </w:r>
      <w:r>
        <w:rPr>
          <w:color w:val="0000FF"/>
          <w:sz w:val="24"/>
        </w:rPr>
        <w:t>年本</w:t>
      </w:r>
      <w:r>
        <w:rPr>
          <w:color w:val="0000FF"/>
          <w:spacing w:val="-7"/>
          <w:sz w:val="24"/>
        </w:rPr>
        <w:t>）</w:t>
      </w:r>
      <w:r>
        <w:rPr>
          <w:color w:val="0000FF"/>
          <w:spacing w:val="-5"/>
          <w:sz w:val="24"/>
        </w:rPr>
        <w:t>，国家发展和改革委员会令</w:t>
      </w:r>
      <w:r>
        <w:rPr>
          <w:color w:val="0000FF"/>
          <w:spacing w:val="-30"/>
          <w:sz w:val="24"/>
        </w:rPr>
        <w:t>第</w:t>
      </w:r>
      <w:r>
        <w:rPr>
          <w:rFonts w:ascii="Times New Roman" w:eastAsia="Times New Roman"/>
          <w:color w:val="0000FF"/>
          <w:sz w:val="24"/>
        </w:rPr>
        <w:t>29</w:t>
      </w:r>
      <w:r>
        <w:rPr>
          <w:color w:val="0000FF"/>
          <w:sz w:val="24"/>
        </w:rPr>
        <w:t>号，</w:t>
      </w:r>
      <w:r>
        <w:rPr>
          <w:rFonts w:ascii="Times New Roman" w:eastAsia="Times New Roman"/>
          <w:color w:val="0000FF"/>
          <w:sz w:val="24"/>
        </w:rPr>
        <w:t>2020</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z w:val="24"/>
        </w:rPr>
        <w:t>1</w:t>
      </w:r>
      <w:r>
        <w:rPr>
          <w:color w:val="0000FF"/>
          <w:sz w:val="24"/>
        </w:rPr>
        <w:t>日；</w:t>
      </w:r>
    </w:p>
    <w:p>
      <w:pPr>
        <w:pStyle w:val="18"/>
        <w:numPr>
          <w:ilvl w:val="0"/>
          <w:numId w:val="0"/>
        </w:numPr>
        <w:tabs>
          <w:tab w:val="left" w:pos="1628"/>
        </w:tabs>
        <w:spacing w:before="0" w:after="0" w:line="364" w:lineRule="auto"/>
        <w:ind w:left="1020" w:leftChars="0" w:right="577" w:rightChars="0"/>
        <w:jc w:val="both"/>
        <w:rPr>
          <w:color w:val="0000FF"/>
          <w:sz w:val="24"/>
        </w:rPr>
      </w:pPr>
      <w:r>
        <w:rPr>
          <w:rFonts w:hint="eastAsia"/>
          <w:color w:val="0000FF"/>
          <w:spacing w:val="-12"/>
          <w:sz w:val="24"/>
          <w:lang w:val="en-US" w:eastAsia="zh-CN"/>
        </w:rPr>
        <w:t>（3）</w:t>
      </w:r>
      <w:r>
        <w:rPr>
          <w:color w:val="0000FF"/>
          <w:sz w:val="24"/>
        </w:rPr>
        <w:t>《关于加强西部地区环境影响评价工作的通知》环发〔</w:t>
      </w:r>
      <w:r>
        <w:rPr>
          <w:rFonts w:ascii="Times New Roman" w:eastAsia="Times New Roman"/>
          <w:color w:val="0000FF"/>
          <w:sz w:val="24"/>
        </w:rPr>
        <w:t>2011</w:t>
      </w:r>
      <w:r>
        <w:rPr>
          <w:color w:val="0000FF"/>
          <w:sz w:val="24"/>
        </w:rPr>
        <w:t>〕</w:t>
      </w:r>
      <w:r>
        <w:rPr>
          <w:rFonts w:ascii="Times New Roman" w:eastAsia="Times New Roman"/>
          <w:color w:val="0000FF"/>
          <w:sz w:val="24"/>
        </w:rPr>
        <w:t>150</w:t>
      </w:r>
      <w:r>
        <w:rPr>
          <w:color w:val="0000FF"/>
          <w:sz w:val="24"/>
        </w:rPr>
        <w:t>号文；</w:t>
      </w:r>
    </w:p>
    <w:p>
      <w:pPr>
        <w:pStyle w:val="18"/>
        <w:numPr>
          <w:ilvl w:val="0"/>
          <w:numId w:val="0"/>
        </w:numPr>
        <w:tabs>
          <w:tab w:val="left" w:pos="1621"/>
        </w:tabs>
        <w:spacing w:before="4" w:after="0" w:line="240" w:lineRule="auto"/>
        <w:ind w:left="1020" w:leftChars="0" w:right="0" w:rightChars="0"/>
        <w:jc w:val="both"/>
        <w:rPr>
          <w:color w:val="0000FF"/>
          <w:sz w:val="24"/>
        </w:rPr>
      </w:pPr>
      <w:r>
        <w:rPr>
          <w:rFonts w:hint="eastAsia"/>
          <w:color w:val="0000FF"/>
          <w:spacing w:val="-12"/>
          <w:sz w:val="24"/>
          <w:lang w:val="en-US" w:eastAsia="zh-CN"/>
        </w:rPr>
        <w:t>（4）</w:t>
      </w:r>
      <w:r>
        <w:rPr>
          <w:color w:val="0000FF"/>
          <w:spacing w:val="-7"/>
          <w:sz w:val="24"/>
        </w:rPr>
        <w:t>《关于进一步加强环境影响评价管理防范环境风险的通知》环发〔</w:t>
      </w:r>
      <w:r>
        <w:rPr>
          <w:rFonts w:ascii="Times New Roman" w:eastAsia="Times New Roman"/>
          <w:color w:val="0000FF"/>
          <w:sz w:val="24"/>
        </w:rPr>
        <w:t>2012</w:t>
      </w:r>
      <w:r>
        <w:rPr>
          <w:color w:val="0000FF"/>
          <w:sz w:val="24"/>
        </w:rPr>
        <w:t>〕</w:t>
      </w:r>
    </w:p>
    <w:p>
      <w:pPr>
        <w:pStyle w:val="7"/>
        <w:spacing w:before="163"/>
        <w:jc w:val="both"/>
        <w:rPr>
          <w:color w:val="0000FF"/>
        </w:rPr>
      </w:pPr>
      <w:r>
        <w:rPr>
          <w:rFonts w:ascii="Times New Roman" w:eastAsia="Times New Roman"/>
          <w:color w:val="0000FF"/>
        </w:rPr>
        <w:t>77</w:t>
      </w:r>
      <w:r>
        <w:rPr>
          <w:color w:val="0000FF"/>
        </w:rPr>
        <w:t>号，</w:t>
      </w:r>
      <w:r>
        <w:rPr>
          <w:rFonts w:ascii="Times New Roman" w:eastAsia="Times New Roman"/>
          <w:color w:val="0000FF"/>
        </w:rPr>
        <w:t>2012</w:t>
      </w:r>
      <w:r>
        <w:rPr>
          <w:color w:val="0000FF"/>
        </w:rPr>
        <w:t>年</w:t>
      </w:r>
      <w:r>
        <w:rPr>
          <w:rFonts w:ascii="Times New Roman" w:eastAsia="Times New Roman"/>
          <w:color w:val="0000FF"/>
        </w:rPr>
        <w:t>7</w:t>
      </w:r>
      <w:r>
        <w:rPr>
          <w:color w:val="0000FF"/>
        </w:rPr>
        <w:t>月</w:t>
      </w:r>
      <w:r>
        <w:rPr>
          <w:rFonts w:ascii="Times New Roman" w:eastAsia="Times New Roman"/>
          <w:color w:val="0000FF"/>
        </w:rPr>
        <w:t>3</w:t>
      </w:r>
      <w:r>
        <w:rPr>
          <w:color w:val="0000FF"/>
        </w:rPr>
        <w:t>日；</w:t>
      </w:r>
    </w:p>
    <w:p>
      <w:pPr>
        <w:pStyle w:val="18"/>
        <w:numPr>
          <w:ilvl w:val="0"/>
          <w:numId w:val="0"/>
        </w:numPr>
        <w:tabs>
          <w:tab w:val="left" w:pos="1621"/>
        </w:tabs>
        <w:spacing w:before="163" w:after="0" w:line="240" w:lineRule="auto"/>
        <w:ind w:left="1020" w:leftChars="0" w:right="0" w:rightChars="0"/>
        <w:jc w:val="both"/>
        <w:rPr>
          <w:color w:val="0000FF"/>
          <w:sz w:val="24"/>
        </w:rPr>
      </w:pPr>
      <w:r>
        <w:rPr>
          <w:rFonts w:hint="eastAsia"/>
          <w:color w:val="0000FF"/>
          <w:spacing w:val="-12"/>
          <w:sz w:val="24"/>
          <w:lang w:val="en-US" w:eastAsia="zh-CN"/>
        </w:rPr>
        <w:t>（5）</w:t>
      </w:r>
      <w:r>
        <w:rPr>
          <w:color w:val="0000FF"/>
          <w:spacing w:val="-3"/>
          <w:sz w:val="24"/>
        </w:rPr>
        <w:t>《关于切实加强风险防范严格环境影响评价管理的通知》环发〔</w:t>
      </w:r>
      <w:r>
        <w:rPr>
          <w:rFonts w:ascii="Times New Roman" w:eastAsia="Times New Roman"/>
          <w:color w:val="0000FF"/>
          <w:sz w:val="24"/>
        </w:rPr>
        <w:t>2012</w:t>
      </w:r>
      <w:r>
        <w:rPr>
          <w:color w:val="0000FF"/>
          <w:sz w:val="24"/>
        </w:rPr>
        <w:t>〕</w:t>
      </w:r>
    </w:p>
    <w:p>
      <w:pPr>
        <w:pStyle w:val="7"/>
        <w:spacing w:before="162"/>
        <w:jc w:val="both"/>
        <w:rPr>
          <w:color w:val="0000FF"/>
        </w:rPr>
      </w:pPr>
      <w:r>
        <w:rPr>
          <w:rFonts w:ascii="Times New Roman" w:eastAsia="Times New Roman"/>
          <w:color w:val="0000FF"/>
        </w:rPr>
        <w:t>98</w:t>
      </w:r>
      <w:r>
        <w:rPr>
          <w:color w:val="0000FF"/>
        </w:rPr>
        <w:t>号文；</w:t>
      </w:r>
    </w:p>
    <w:p>
      <w:pPr>
        <w:pStyle w:val="18"/>
        <w:numPr>
          <w:ilvl w:val="0"/>
          <w:numId w:val="0"/>
        </w:numPr>
        <w:tabs>
          <w:tab w:val="left" w:pos="1621"/>
        </w:tabs>
        <w:spacing w:before="163" w:after="0" w:line="240" w:lineRule="auto"/>
        <w:ind w:left="1020" w:leftChars="0" w:right="0" w:rightChars="0"/>
        <w:jc w:val="both"/>
        <w:rPr>
          <w:color w:val="0000FF"/>
          <w:sz w:val="24"/>
        </w:rPr>
      </w:pPr>
      <w:r>
        <w:rPr>
          <w:rFonts w:hint="eastAsia"/>
          <w:color w:val="0000FF"/>
          <w:spacing w:val="-12"/>
          <w:sz w:val="24"/>
          <w:lang w:val="en-US" w:eastAsia="zh-CN"/>
        </w:rPr>
        <w:t>（6）</w:t>
      </w:r>
      <w:r>
        <w:rPr>
          <w:color w:val="0000FF"/>
          <w:sz w:val="24"/>
        </w:rPr>
        <w:t>《环境影响评价公众参与暂行办法》（</w:t>
      </w:r>
      <w:r>
        <w:rPr>
          <w:color w:val="0000FF"/>
          <w:spacing w:val="-7"/>
          <w:sz w:val="24"/>
        </w:rPr>
        <w:t>生态环境部令第</w:t>
      </w:r>
      <w:r>
        <w:rPr>
          <w:rFonts w:ascii="Times New Roman" w:eastAsia="Times New Roman"/>
          <w:color w:val="0000FF"/>
          <w:sz w:val="24"/>
        </w:rPr>
        <w:t>4</w:t>
      </w:r>
      <w:r>
        <w:rPr>
          <w:color w:val="0000FF"/>
          <w:sz w:val="24"/>
        </w:rPr>
        <w:t>号）；</w:t>
      </w:r>
    </w:p>
    <w:p>
      <w:pPr>
        <w:pStyle w:val="18"/>
        <w:numPr>
          <w:ilvl w:val="0"/>
          <w:numId w:val="0"/>
        </w:numPr>
        <w:tabs>
          <w:tab w:val="left" w:pos="1621"/>
        </w:tabs>
        <w:spacing w:before="161" w:after="0" w:line="367" w:lineRule="auto"/>
        <w:ind w:left="1020" w:leftChars="0" w:right="577" w:rightChars="0"/>
        <w:jc w:val="both"/>
        <w:rPr>
          <w:color w:val="0000FF"/>
          <w:sz w:val="24"/>
        </w:rPr>
      </w:pPr>
      <w:r>
        <w:rPr>
          <w:rFonts w:hint="eastAsia"/>
          <w:color w:val="0000FF"/>
          <w:spacing w:val="-12"/>
          <w:sz w:val="24"/>
          <w:lang w:val="en-US" w:eastAsia="zh-CN"/>
        </w:rPr>
        <w:t>（7）</w:t>
      </w:r>
      <w:r>
        <w:rPr>
          <w:color w:val="0000FF"/>
          <w:spacing w:val="-1"/>
          <w:sz w:val="24"/>
        </w:rPr>
        <w:t>《国家危险废物名录》</w:t>
      </w:r>
      <w:r>
        <w:rPr>
          <w:color w:val="0000FF"/>
          <w:sz w:val="24"/>
        </w:rPr>
        <w:t>（</w:t>
      </w:r>
      <w:r>
        <w:rPr>
          <w:rFonts w:ascii="Times New Roman" w:eastAsia="Times New Roman"/>
          <w:color w:val="0000FF"/>
          <w:sz w:val="24"/>
        </w:rPr>
        <w:t>2016</w:t>
      </w:r>
      <w:r>
        <w:rPr>
          <w:color w:val="0000FF"/>
          <w:sz w:val="24"/>
        </w:rPr>
        <w:t>版</w:t>
      </w:r>
      <w:r>
        <w:rPr>
          <w:color w:val="0000FF"/>
          <w:spacing w:val="-7"/>
          <w:sz w:val="24"/>
        </w:rPr>
        <w:t>）</w:t>
      </w:r>
      <w:r>
        <w:rPr>
          <w:color w:val="0000FF"/>
          <w:spacing w:val="-4"/>
          <w:sz w:val="24"/>
        </w:rPr>
        <w:t>，中华人民共和国环境保护部联合国家发展和改革委员会、公安部修订，自</w:t>
      </w:r>
      <w:r>
        <w:rPr>
          <w:rFonts w:ascii="Times New Roman" w:eastAsia="Times New Roman"/>
          <w:color w:val="0000FF"/>
          <w:sz w:val="24"/>
        </w:rPr>
        <w:t>2016</w:t>
      </w:r>
      <w:r>
        <w:rPr>
          <w:color w:val="0000FF"/>
          <w:spacing w:val="-30"/>
          <w:sz w:val="24"/>
        </w:rPr>
        <w:t>年</w:t>
      </w:r>
      <w:r>
        <w:rPr>
          <w:rFonts w:ascii="Times New Roman" w:eastAsia="Times New Roman"/>
          <w:color w:val="0000FF"/>
          <w:sz w:val="24"/>
        </w:rPr>
        <w:t>8</w:t>
      </w:r>
      <w:r>
        <w:rPr>
          <w:color w:val="0000FF"/>
          <w:spacing w:val="-30"/>
          <w:sz w:val="24"/>
        </w:rPr>
        <w:t>月</w:t>
      </w:r>
      <w:r>
        <w:rPr>
          <w:rFonts w:ascii="Times New Roman" w:eastAsia="Times New Roman"/>
          <w:color w:val="0000FF"/>
          <w:sz w:val="24"/>
        </w:rPr>
        <w:t>1</w:t>
      </w:r>
      <w:r>
        <w:rPr>
          <w:color w:val="0000FF"/>
          <w:sz w:val="24"/>
        </w:rPr>
        <w:t>日起施行；</w:t>
      </w:r>
    </w:p>
    <w:p>
      <w:pPr>
        <w:pStyle w:val="7"/>
        <w:ind w:left="1020"/>
        <w:jc w:val="both"/>
        <w:rPr>
          <w:color w:val="0000FF"/>
        </w:rPr>
      </w:pPr>
      <w:r>
        <w:rPr>
          <w:rFonts w:hint="eastAsia"/>
          <w:color w:val="0000FF"/>
          <w:spacing w:val="-12"/>
          <w:sz w:val="24"/>
          <w:lang w:val="en-US" w:eastAsia="zh-CN"/>
        </w:rPr>
        <w:t>（8）</w:t>
      </w:r>
      <w:r>
        <w:rPr>
          <w:color w:val="0000FF"/>
          <w:spacing w:val="23"/>
        </w:rPr>
        <w:t>关于发布《一般工业固体废物贮存、处置场污染控制标准》</w:t>
      </w:r>
    </w:p>
    <w:p>
      <w:pPr>
        <w:pStyle w:val="7"/>
        <w:spacing w:before="163"/>
        <w:jc w:val="both"/>
        <w:rPr>
          <w:color w:val="0000FF"/>
        </w:rPr>
      </w:pPr>
      <w:r>
        <w:rPr>
          <w:color w:val="0000FF"/>
        </w:rPr>
        <w:t>（</w:t>
      </w:r>
      <w:r>
        <w:rPr>
          <w:rFonts w:ascii="Times New Roman" w:eastAsia="Times New Roman"/>
          <w:color w:val="0000FF"/>
        </w:rPr>
        <w:t>GB18599-2001</w:t>
      </w:r>
      <w:r>
        <w:rPr>
          <w:color w:val="0000FF"/>
        </w:rPr>
        <w:t>）</w:t>
      </w:r>
      <w:r>
        <w:rPr>
          <w:color w:val="0000FF"/>
          <w:spacing w:val="-21"/>
        </w:rPr>
        <w:t>等</w:t>
      </w:r>
      <w:r>
        <w:rPr>
          <w:rFonts w:ascii="Times New Roman" w:eastAsia="Times New Roman"/>
          <w:color w:val="0000FF"/>
        </w:rPr>
        <w:t>3</w:t>
      </w:r>
      <w:r>
        <w:rPr>
          <w:color w:val="0000FF"/>
        </w:rPr>
        <w:t>项国家污染物控制标准修改单的公告</w:t>
      </w:r>
      <w:r>
        <w:rPr>
          <w:color w:val="0000FF"/>
          <w:spacing w:val="4"/>
        </w:rPr>
        <w:t>（</w:t>
      </w:r>
      <w:r>
        <w:rPr>
          <w:color w:val="0000FF"/>
        </w:rPr>
        <w:t>环境保护部公告</w:t>
      </w:r>
    </w:p>
    <w:p>
      <w:pPr>
        <w:pStyle w:val="7"/>
        <w:spacing w:before="162"/>
        <w:jc w:val="both"/>
        <w:rPr>
          <w:color w:val="0000FF"/>
        </w:rPr>
      </w:pPr>
      <w:r>
        <w:rPr>
          <w:rFonts w:ascii="Times New Roman" w:eastAsia="Times New Roman"/>
          <w:color w:val="0000FF"/>
        </w:rPr>
        <w:t>2013</w:t>
      </w:r>
      <w:r>
        <w:rPr>
          <w:color w:val="0000FF"/>
        </w:rPr>
        <w:t>年第</w:t>
      </w:r>
      <w:r>
        <w:rPr>
          <w:rFonts w:ascii="Times New Roman" w:eastAsia="Times New Roman"/>
          <w:color w:val="0000FF"/>
        </w:rPr>
        <w:t>36</w:t>
      </w:r>
      <w:r>
        <w:rPr>
          <w:color w:val="0000FF"/>
        </w:rPr>
        <w:t>号，</w:t>
      </w:r>
      <w:r>
        <w:rPr>
          <w:rFonts w:ascii="Times New Roman" w:eastAsia="Times New Roman"/>
          <w:color w:val="0000FF"/>
        </w:rPr>
        <w:t>2013</w:t>
      </w:r>
      <w:r>
        <w:rPr>
          <w:color w:val="0000FF"/>
        </w:rPr>
        <w:t>年</w:t>
      </w:r>
      <w:r>
        <w:rPr>
          <w:rFonts w:ascii="Times New Roman" w:eastAsia="Times New Roman"/>
          <w:color w:val="0000FF"/>
        </w:rPr>
        <w:t>6</w:t>
      </w:r>
      <w:r>
        <w:rPr>
          <w:color w:val="0000FF"/>
        </w:rPr>
        <w:t>月</w:t>
      </w:r>
      <w:r>
        <w:rPr>
          <w:rFonts w:ascii="Times New Roman" w:eastAsia="Times New Roman"/>
          <w:color w:val="0000FF"/>
        </w:rPr>
        <w:t>8</w:t>
      </w:r>
      <w:r>
        <w:rPr>
          <w:color w:val="0000FF"/>
        </w:rPr>
        <w:t>日起施行）；</w:t>
      </w:r>
    </w:p>
    <w:p>
      <w:pPr>
        <w:pStyle w:val="18"/>
        <w:numPr>
          <w:ilvl w:val="0"/>
          <w:numId w:val="0"/>
        </w:numPr>
        <w:tabs>
          <w:tab w:val="left" w:pos="1621"/>
        </w:tabs>
        <w:spacing w:before="163" w:after="0" w:line="240" w:lineRule="auto"/>
        <w:ind w:left="1020" w:leftChars="0" w:right="0" w:rightChars="0"/>
        <w:jc w:val="both"/>
        <w:rPr>
          <w:color w:val="0000FF"/>
          <w:sz w:val="24"/>
        </w:rPr>
      </w:pPr>
      <w:r>
        <w:rPr>
          <w:rFonts w:hint="eastAsia"/>
          <w:color w:val="0000FF"/>
          <w:spacing w:val="-12"/>
          <w:sz w:val="24"/>
          <w:lang w:val="en-US" w:eastAsia="zh-CN"/>
        </w:rPr>
        <w:t>（9）</w:t>
      </w:r>
      <w:r>
        <w:rPr>
          <w:color w:val="0000FF"/>
          <w:spacing w:val="-3"/>
          <w:sz w:val="24"/>
        </w:rPr>
        <w:t>《畜禽养殖污染防治管理办法》，国环〔</w:t>
      </w:r>
      <w:r>
        <w:rPr>
          <w:rFonts w:ascii="Times New Roman" w:eastAsia="Times New Roman"/>
          <w:color w:val="0000FF"/>
          <w:sz w:val="24"/>
        </w:rPr>
        <w:t>2011</w:t>
      </w:r>
      <w:r>
        <w:rPr>
          <w:color w:val="0000FF"/>
          <w:spacing w:val="-23"/>
          <w:sz w:val="24"/>
        </w:rPr>
        <w:t>〕第</w:t>
      </w:r>
      <w:r>
        <w:rPr>
          <w:rFonts w:ascii="Times New Roman" w:eastAsia="Times New Roman"/>
          <w:color w:val="0000FF"/>
          <w:sz w:val="24"/>
        </w:rPr>
        <w:t>9</w:t>
      </w:r>
      <w:r>
        <w:rPr>
          <w:color w:val="0000FF"/>
          <w:sz w:val="24"/>
        </w:rPr>
        <w:t>号，</w:t>
      </w:r>
      <w:r>
        <w:rPr>
          <w:rFonts w:ascii="Times New Roman" w:eastAsia="Times New Roman"/>
          <w:color w:val="0000FF"/>
          <w:sz w:val="24"/>
        </w:rPr>
        <w:t>2002</w:t>
      </w:r>
      <w:r>
        <w:rPr>
          <w:color w:val="0000FF"/>
          <w:spacing w:val="-31"/>
          <w:sz w:val="24"/>
        </w:rPr>
        <w:t>年</w:t>
      </w:r>
      <w:r>
        <w:rPr>
          <w:rFonts w:ascii="Times New Roman" w:eastAsia="Times New Roman"/>
          <w:color w:val="0000FF"/>
          <w:sz w:val="24"/>
        </w:rPr>
        <w:t>5</w:t>
      </w:r>
      <w:r>
        <w:rPr>
          <w:color w:val="0000FF"/>
          <w:sz w:val="24"/>
        </w:rPr>
        <w:t>月</w:t>
      </w:r>
    </w:p>
    <w:p>
      <w:pPr>
        <w:pStyle w:val="7"/>
        <w:spacing w:before="161"/>
        <w:jc w:val="both"/>
        <w:rPr>
          <w:color w:val="0000FF"/>
        </w:rPr>
      </w:pPr>
      <w:r>
        <w:rPr>
          <w:rFonts w:ascii="Times New Roman" w:eastAsia="Times New Roman"/>
          <w:color w:val="0000FF"/>
        </w:rPr>
        <w:t>8</w:t>
      </w:r>
      <w:r>
        <w:rPr>
          <w:color w:val="0000FF"/>
        </w:rPr>
        <w:t>日；</w:t>
      </w:r>
    </w:p>
    <w:p>
      <w:pPr>
        <w:pStyle w:val="18"/>
        <w:numPr>
          <w:ilvl w:val="0"/>
          <w:numId w:val="0"/>
        </w:numPr>
        <w:tabs>
          <w:tab w:val="left" w:pos="1741"/>
        </w:tabs>
        <w:spacing w:before="163" w:after="0" w:line="240" w:lineRule="auto"/>
        <w:ind w:left="1020" w:leftChars="0" w:right="0" w:rightChars="0"/>
        <w:jc w:val="both"/>
        <w:rPr>
          <w:color w:val="0000FF"/>
          <w:sz w:val="24"/>
        </w:rPr>
      </w:pPr>
      <w:r>
        <w:rPr>
          <w:rFonts w:hint="eastAsia"/>
          <w:color w:val="0000FF"/>
          <w:spacing w:val="-12"/>
          <w:sz w:val="24"/>
          <w:lang w:val="en-US" w:eastAsia="zh-CN"/>
        </w:rPr>
        <w:t>（10）</w:t>
      </w:r>
      <w:r>
        <w:rPr>
          <w:color w:val="0000FF"/>
          <w:spacing w:val="-2"/>
          <w:sz w:val="24"/>
        </w:rPr>
        <w:t>《关于发布</w:t>
      </w:r>
      <w:r>
        <w:rPr>
          <w:rFonts w:ascii="Times New Roman" w:eastAsia="Times New Roman"/>
          <w:color w:val="0000FF"/>
          <w:sz w:val="24"/>
        </w:rPr>
        <w:t>&lt;</w:t>
      </w:r>
      <w:r>
        <w:rPr>
          <w:color w:val="0000FF"/>
          <w:sz w:val="24"/>
        </w:rPr>
        <w:t>畜禽养殖业污染防治技术政策</w:t>
      </w:r>
      <w:r>
        <w:rPr>
          <w:rFonts w:ascii="Times New Roman" w:eastAsia="Times New Roman"/>
          <w:color w:val="0000FF"/>
          <w:sz w:val="24"/>
        </w:rPr>
        <w:t>&gt;</w:t>
      </w:r>
      <w:r>
        <w:rPr>
          <w:color w:val="0000FF"/>
          <w:spacing w:val="-1"/>
          <w:sz w:val="24"/>
        </w:rPr>
        <w:t>的通知》，环发〔</w:t>
      </w:r>
      <w:r>
        <w:rPr>
          <w:rFonts w:ascii="Times New Roman" w:eastAsia="Times New Roman"/>
          <w:color w:val="0000FF"/>
          <w:sz w:val="24"/>
        </w:rPr>
        <w:t>2010</w:t>
      </w:r>
      <w:r>
        <w:rPr>
          <w:color w:val="0000FF"/>
          <w:sz w:val="24"/>
        </w:rPr>
        <w:t>〕</w:t>
      </w:r>
    </w:p>
    <w:p>
      <w:pPr>
        <w:pStyle w:val="7"/>
        <w:spacing w:before="163"/>
        <w:jc w:val="both"/>
        <w:rPr>
          <w:color w:val="0000FF"/>
        </w:rPr>
      </w:pPr>
      <w:r>
        <w:rPr>
          <w:rFonts w:ascii="Times New Roman" w:eastAsia="Times New Roman"/>
          <w:color w:val="0000FF"/>
        </w:rPr>
        <w:t>151</w:t>
      </w:r>
      <w:r>
        <w:rPr>
          <w:color w:val="0000FF"/>
        </w:rPr>
        <w:t>号，</w:t>
      </w:r>
      <w:r>
        <w:rPr>
          <w:rFonts w:ascii="Times New Roman" w:eastAsia="Times New Roman"/>
          <w:color w:val="0000FF"/>
        </w:rPr>
        <w:t>2010</w:t>
      </w:r>
      <w:r>
        <w:rPr>
          <w:color w:val="0000FF"/>
        </w:rPr>
        <w:t>年</w:t>
      </w:r>
      <w:r>
        <w:rPr>
          <w:rFonts w:ascii="Times New Roman" w:eastAsia="Times New Roman"/>
          <w:color w:val="0000FF"/>
        </w:rPr>
        <w:t>12</w:t>
      </w:r>
      <w:r>
        <w:rPr>
          <w:color w:val="0000FF"/>
        </w:rPr>
        <w:t>月；</w:t>
      </w:r>
    </w:p>
    <w:p>
      <w:pPr>
        <w:pStyle w:val="18"/>
        <w:numPr>
          <w:ilvl w:val="0"/>
          <w:numId w:val="0"/>
        </w:numPr>
        <w:tabs>
          <w:tab w:val="left" w:pos="1732"/>
        </w:tabs>
        <w:spacing w:before="163" w:after="0" w:line="240" w:lineRule="auto"/>
        <w:ind w:left="1019" w:leftChars="0" w:right="0" w:rightChars="0"/>
        <w:jc w:val="both"/>
        <w:rPr>
          <w:color w:val="0000FF"/>
          <w:sz w:val="24"/>
        </w:rPr>
      </w:pPr>
      <w:r>
        <w:rPr>
          <w:rFonts w:hint="eastAsia"/>
          <w:color w:val="0000FF"/>
          <w:spacing w:val="-12"/>
          <w:sz w:val="24"/>
          <w:lang w:val="en-US" w:eastAsia="zh-CN"/>
        </w:rPr>
        <w:t>（11）</w:t>
      </w:r>
      <w:r>
        <w:rPr>
          <w:color w:val="0000FF"/>
          <w:spacing w:val="-4"/>
          <w:sz w:val="24"/>
        </w:rPr>
        <w:t>《农业部关于加快推进畜禽标准化规模养殖的意见》</w:t>
      </w:r>
      <w:r>
        <w:rPr>
          <w:color w:val="0000FF"/>
          <w:sz w:val="24"/>
        </w:rPr>
        <w:t>（</w:t>
      </w:r>
      <w:r>
        <w:rPr>
          <w:color w:val="0000FF"/>
          <w:spacing w:val="-12"/>
          <w:sz w:val="24"/>
        </w:rPr>
        <w:t>农牧发〔</w:t>
      </w:r>
      <w:r>
        <w:rPr>
          <w:rFonts w:ascii="Times New Roman" w:eastAsia="Times New Roman"/>
          <w:color w:val="0000FF"/>
          <w:sz w:val="24"/>
        </w:rPr>
        <w:t>2010</w:t>
      </w:r>
      <w:r>
        <w:rPr>
          <w:color w:val="0000FF"/>
          <w:sz w:val="24"/>
        </w:rPr>
        <w:t>〕</w:t>
      </w:r>
    </w:p>
    <w:p>
      <w:pPr>
        <w:pStyle w:val="7"/>
        <w:spacing w:before="162"/>
        <w:jc w:val="both"/>
        <w:rPr>
          <w:color w:val="0000FF"/>
        </w:rPr>
      </w:pPr>
      <w:r>
        <w:rPr>
          <w:rFonts w:ascii="Times New Roman" w:eastAsia="Times New Roman"/>
          <w:color w:val="0000FF"/>
        </w:rPr>
        <w:t>6</w:t>
      </w:r>
      <w:r>
        <w:rPr>
          <w:color w:val="0000FF"/>
        </w:rPr>
        <w:t>号）；</w:t>
      </w:r>
    </w:p>
    <w:p>
      <w:pPr>
        <w:pStyle w:val="18"/>
        <w:numPr>
          <w:ilvl w:val="0"/>
          <w:numId w:val="0"/>
        </w:numPr>
        <w:tabs>
          <w:tab w:val="left" w:pos="1741"/>
        </w:tabs>
        <w:spacing w:before="163" w:after="0" w:line="240" w:lineRule="auto"/>
        <w:ind w:left="1020" w:leftChars="0" w:right="0" w:rightChars="0"/>
        <w:jc w:val="both"/>
        <w:rPr>
          <w:color w:val="0000FF"/>
          <w:sz w:val="24"/>
        </w:rPr>
      </w:pPr>
      <w:r>
        <w:rPr>
          <w:rFonts w:hint="eastAsia"/>
          <w:color w:val="0000FF"/>
          <w:spacing w:val="-12"/>
          <w:sz w:val="24"/>
          <w:lang w:val="en-US" w:eastAsia="zh-CN"/>
        </w:rPr>
        <w:t>（12）</w:t>
      </w:r>
      <w:r>
        <w:rPr>
          <w:color w:val="0000FF"/>
          <w:spacing w:val="-6"/>
          <w:sz w:val="24"/>
        </w:rPr>
        <w:t>《关于促进规模化畜禽养殖有关用地政策的通知》</w:t>
      </w:r>
      <w:r>
        <w:rPr>
          <w:color w:val="0000FF"/>
          <w:spacing w:val="-3"/>
          <w:sz w:val="24"/>
        </w:rPr>
        <w:t>（</w:t>
      </w:r>
      <w:r>
        <w:rPr>
          <w:color w:val="0000FF"/>
          <w:spacing w:val="-10"/>
          <w:sz w:val="24"/>
        </w:rPr>
        <w:t>国土资发〔</w:t>
      </w:r>
      <w:r>
        <w:rPr>
          <w:rFonts w:ascii="Times New Roman" w:eastAsia="Times New Roman"/>
          <w:color w:val="0000FF"/>
          <w:sz w:val="24"/>
        </w:rPr>
        <w:t>2007</w:t>
      </w:r>
      <w:r>
        <w:rPr>
          <w:color w:val="0000FF"/>
          <w:sz w:val="24"/>
        </w:rPr>
        <w:t>〕</w:t>
      </w:r>
    </w:p>
    <w:p>
      <w:pPr>
        <w:spacing w:after="0" w:line="240" w:lineRule="auto"/>
        <w:jc w:val="both"/>
        <w:rPr>
          <w:color w:val="0000FF"/>
          <w:sz w:val="24"/>
        </w:rPr>
        <w:sectPr>
          <w:footerReference r:id="rId16"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jc w:val="both"/>
        <w:rPr>
          <w:color w:val="0000FF"/>
          <w:sz w:val="9"/>
        </w:rPr>
      </w:pPr>
    </w:p>
    <w:p>
      <w:pPr>
        <w:pStyle w:val="7"/>
        <w:spacing w:before="76"/>
        <w:jc w:val="both"/>
        <w:rPr>
          <w:color w:val="0000FF"/>
        </w:rPr>
      </w:pPr>
      <w:r>
        <w:rPr>
          <w:rFonts w:ascii="Times New Roman" w:eastAsia="Times New Roman"/>
          <w:color w:val="0000FF"/>
        </w:rPr>
        <w:t>220</w:t>
      </w:r>
      <w:r>
        <w:rPr>
          <w:color w:val="0000FF"/>
        </w:rPr>
        <w:t>号；</w:t>
      </w:r>
    </w:p>
    <w:p>
      <w:pPr>
        <w:pStyle w:val="18"/>
        <w:numPr>
          <w:ilvl w:val="0"/>
          <w:numId w:val="0"/>
        </w:numPr>
        <w:tabs>
          <w:tab w:val="left" w:pos="1741"/>
        </w:tabs>
        <w:spacing w:before="161" w:after="0" w:line="240" w:lineRule="auto"/>
        <w:ind w:left="1020" w:leftChars="0" w:right="0" w:rightChars="0"/>
        <w:jc w:val="both"/>
        <w:rPr>
          <w:color w:val="0000FF"/>
          <w:sz w:val="24"/>
        </w:rPr>
      </w:pPr>
      <w:r>
        <w:rPr>
          <w:rFonts w:hint="eastAsia"/>
          <w:color w:val="0000FF"/>
          <w:spacing w:val="-12"/>
          <w:sz w:val="24"/>
          <w:lang w:val="en-US" w:eastAsia="zh-CN"/>
        </w:rPr>
        <w:t>（13）</w:t>
      </w:r>
      <w:r>
        <w:rPr>
          <w:color w:val="0000FF"/>
          <w:sz w:val="24"/>
        </w:rPr>
        <w:t>《国家突发重大动物疫情应急预案》；</w:t>
      </w:r>
    </w:p>
    <w:p>
      <w:pPr>
        <w:pStyle w:val="18"/>
        <w:numPr>
          <w:ilvl w:val="0"/>
          <w:numId w:val="0"/>
        </w:numPr>
        <w:tabs>
          <w:tab w:val="left" w:pos="1741"/>
        </w:tabs>
        <w:spacing w:before="162" w:after="0" w:line="240" w:lineRule="auto"/>
        <w:ind w:left="1020" w:leftChars="0" w:right="0" w:rightChars="0"/>
        <w:jc w:val="both"/>
        <w:rPr>
          <w:rFonts w:ascii="Times New Roman" w:eastAsia="Times New Roman"/>
          <w:color w:val="0000FF"/>
          <w:sz w:val="24"/>
        </w:rPr>
      </w:pPr>
      <w:r>
        <w:rPr>
          <w:rFonts w:hint="eastAsia"/>
          <w:color w:val="0000FF"/>
          <w:spacing w:val="-12"/>
          <w:sz w:val="24"/>
          <w:lang w:val="en-US" w:eastAsia="zh-CN"/>
        </w:rPr>
        <w:t>（14）</w:t>
      </w:r>
      <w:r>
        <w:rPr>
          <w:color w:val="0000FF"/>
          <w:spacing w:val="-3"/>
          <w:sz w:val="24"/>
        </w:rPr>
        <w:t>《重大动物疫情应急条例》</w:t>
      </w:r>
      <w:r>
        <w:rPr>
          <w:color w:val="0000FF"/>
          <w:sz w:val="24"/>
        </w:rPr>
        <w:t>（</w:t>
      </w:r>
      <w:r>
        <w:rPr>
          <w:color w:val="0000FF"/>
          <w:spacing w:val="-10"/>
          <w:sz w:val="24"/>
        </w:rPr>
        <w:t>国务院令第</w:t>
      </w:r>
      <w:r>
        <w:rPr>
          <w:rFonts w:ascii="Times New Roman" w:eastAsia="Times New Roman"/>
          <w:color w:val="0000FF"/>
          <w:sz w:val="24"/>
        </w:rPr>
        <w:t>450</w:t>
      </w:r>
      <w:r>
        <w:rPr>
          <w:color w:val="0000FF"/>
          <w:sz w:val="24"/>
        </w:rPr>
        <w:t>号</w:t>
      </w:r>
      <w:r>
        <w:rPr>
          <w:color w:val="0000FF"/>
          <w:spacing w:val="-5"/>
          <w:sz w:val="24"/>
        </w:rPr>
        <w:t>），</w:t>
      </w:r>
      <w:r>
        <w:rPr>
          <w:rFonts w:ascii="Times New Roman" w:eastAsia="Times New Roman"/>
          <w:color w:val="0000FF"/>
          <w:spacing w:val="-5"/>
          <w:sz w:val="24"/>
        </w:rPr>
        <w:t>2005</w:t>
      </w:r>
      <w:r>
        <w:rPr>
          <w:color w:val="0000FF"/>
          <w:spacing w:val="-30"/>
          <w:sz w:val="24"/>
        </w:rPr>
        <w:t>年</w:t>
      </w:r>
      <w:r>
        <w:rPr>
          <w:rFonts w:ascii="Times New Roman" w:eastAsia="Times New Roman"/>
          <w:color w:val="0000FF"/>
          <w:spacing w:val="-3"/>
          <w:sz w:val="24"/>
        </w:rPr>
        <w:t>11</w:t>
      </w:r>
      <w:r>
        <w:rPr>
          <w:color w:val="0000FF"/>
          <w:spacing w:val="-29"/>
          <w:sz w:val="24"/>
        </w:rPr>
        <w:t>月</w:t>
      </w:r>
      <w:r>
        <w:rPr>
          <w:rFonts w:ascii="Times New Roman" w:eastAsia="Times New Roman"/>
          <w:color w:val="0000FF"/>
          <w:sz w:val="24"/>
        </w:rPr>
        <w:t>18</w:t>
      </w:r>
    </w:p>
    <w:p>
      <w:pPr>
        <w:pStyle w:val="7"/>
        <w:spacing w:before="163"/>
        <w:jc w:val="both"/>
        <w:rPr>
          <w:color w:val="0000FF"/>
        </w:rPr>
      </w:pPr>
      <w:r>
        <w:rPr>
          <w:color w:val="0000FF"/>
        </w:rPr>
        <w:t>日；</w:t>
      </w:r>
    </w:p>
    <w:p>
      <w:pPr>
        <w:pStyle w:val="18"/>
        <w:numPr>
          <w:ilvl w:val="0"/>
          <w:numId w:val="0"/>
        </w:numPr>
        <w:tabs>
          <w:tab w:val="left" w:pos="1752"/>
        </w:tabs>
        <w:spacing w:before="163" w:after="0" w:line="367" w:lineRule="auto"/>
        <w:ind w:left="1020" w:leftChars="0" w:right="577" w:rightChars="0"/>
        <w:jc w:val="both"/>
        <w:rPr>
          <w:color w:val="0000FF"/>
          <w:sz w:val="24"/>
        </w:rPr>
      </w:pPr>
      <w:r>
        <w:rPr>
          <w:rFonts w:hint="eastAsia"/>
          <w:color w:val="0000FF"/>
          <w:spacing w:val="-12"/>
          <w:sz w:val="24"/>
          <w:lang w:val="en-US" w:eastAsia="zh-CN"/>
        </w:rPr>
        <w:t>（15）</w:t>
      </w:r>
      <w:r>
        <w:rPr>
          <w:color w:val="0000FF"/>
          <w:sz w:val="24"/>
        </w:rPr>
        <w:t>《关于印发</w:t>
      </w:r>
      <w:r>
        <w:rPr>
          <w:rFonts w:ascii="Times New Roman" w:eastAsia="Times New Roman"/>
          <w:color w:val="0000FF"/>
          <w:spacing w:val="3"/>
          <w:sz w:val="24"/>
        </w:rPr>
        <w:t>&lt;</w:t>
      </w:r>
      <w:r>
        <w:rPr>
          <w:color w:val="0000FF"/>
          <w:sz w:val="24"/>
        </w:rPr>
        <w:t>病死及死因不明动物处置办法（</w:t>
      </w:r>
      <w:r>
        <w:rPr>
          <w:color w:val="0000FF"/>
          <w:spacing w:val="2"/>
          <w:sz w:val="24"/>
        </w:rPr>
        <w:t>试行）</w:t>
      </w:r>
      <w:r>
        <w:rPr>
          <w:rFonts w:ascii="Times New Roman" w:eastAsia="Times New Roman"/>
          <w:color w:val="0000FF"/>
          <w:spacing w:val="2"/>
          <w:sz w:val="24"/>
        </w:rPr>
        <w:t>&gt;</w:t>
      </w:r>
      <w:r>
        <w:rPr>
          <w:color w:val="0000FF"/>
          <w:sz w:val="24"/>
        </w:rPr>
        <w:t>的通知》，农医发〔</w:t>
      </w:r>
      <w:r>
        <w:rPr>
          <w:rFonts w:ascii="Times New Roman" w:eastAsia="Times New Roman"/>
          <w:color w:val="0000FF"/>
          <w:sz w:val="24"/>
        </w:rPr>
        <w:t>2005</w:t>
      </w:r>
      <w:r>
        <w:rPr>
          <w:color w:val="0000FF"/>
          <w:sz w:val="24"/>
        </w:rPr>
        <w:t>〕</w:t>
      </w:r>
      <w:r>
        <w:rPr>
          <w:rFonts w:ascii="Times New Roman" w:eastAsia="Times New Roman"/>
          <w:color w:val="0000FF"/>
          <w:sz w:val="24"/>
        </w:rPr>
        <w:t>25</w:t>
      </w:r>
      <w:r>
        <w:rPr>
          <w:color w:val="0000FF"/>
          <w:sz w:val="24"/>
        </w:rPr>
        <w:t>号；</w:t>
      </w:r>
    </w:p>
    <w:p>
      <w:pPr>
        <w:pStyle w:val="18"/>
        <w:numPr>
          <w:ilvl w:val="0"/>
          <w:numId w:val="0"/>
        </w:numPr>
        <w:tabs>
          <w:tab w:val="left" w:pos="1760"/>
        </w:tabs>
        <w:spacing w:before="0" w:after="0" w:line="240" w:lineRule="auto"/>
        <w:ind w:left="1019" w:leftChars="0" w:right="0" w:rightChars="0"/>
        <w:jc w:val="both"/>
        <w:rPr>
          <w:rFonts w:ascii="Times New Roman" w:eastAsia="Times New Roman"/>
          <w:color w:val="0000FF"/>
          <w:sz w:val="24"/>
        </w:rPr>
      </w:pPr>
      <w:r>
        <w:rPr>
          <w:rFonts w:hint="eastAsia"/>
          <w:color w:val="0000FF"/>
          <w:spacing w:val="-12"/>
          <w:sz w:val="24"/>
          <w:lang w:val="en-US" w:eastAsia="zh-CN"/>
        </w:rPr>
        <w:t>（16）</w:t>
      </w:r>
      <w:r>
        <w:rPr>
          <w:color w:val="0000FF"/>
          <w:spacing w:val="1"/>
          <w:sz w:val="24"/>
        </w:rPr>
        <w:t>《畜禽规模养殖污染防治条例》，中华人民共和国国务院令第</w:t>
      </w:r>
      <w:r>
        <w:rPr>
          <w:rFonts w:ascii="Times New Roman" w:eastAsia="Times New Roman"/>
          <w:color w:val="0000FF"/>
          <w:sz w:val="24"/>
        </w:rPr>
        <w:t>643</w:t>
      </w:r>
    </w:p>
    <w:p>
      <w:pPr>
        <w:pStyle w:val="7"/>
        <w:spacing w:before="161"/>
        <w:jc w:val="both"/>
        <w:rPr>
          <w:color w:val="0000FF"/>
        </w:rPr>
      </w:pPr>
      <w:r>
        <w:rPr>
          <w:color w:val="0000FF"/>
        </w:rPr>
        <w:t>号，</w:t>
      </w:r>
      <w:r>
        <w:rPr>
          <w:rFonts w:ascii="Times New Roman" w:eastAsia="Times New Roman"/>
          <w:color w:val="0000FF"/>
        </w:rPr>
        <w:t>2014</w:t>
      </w:r>
      <w:r>
        <w:rPr>
          <w:color w:val="0000FF"/>
        </w:rPr>
        <w:t>年</w:t>
      </w:r>
      <w:r>
        <w:rPr>
          <w:rFonts w:ascii="Times New Roman" w:eastAsia="Times New Roman"/>
          <w:color w:val="0000FF"/>
        </w:rPr>
        <w:t>1</w:t>
      </w:r>
      <w:r>
        <w:rPr>
          <w:color w:val="0000FF"/>
        </w:rPr>
        <w:t>月</w:t>
      </w:r>
      <w:r>
        <w:rPr>
          <w:rFonts w:ascii="Times New Roman" w:eastAsia="Times New Roman"/>
          <w:color w:val="0000FF"/>
        </w:rPr>
        <w:t>1</w:t>
      </w:r>
      <w:r>
        <w:rPr>
          <w:color w:val="0000FF"/>
        </w:rPr>
        <w:t>日起施行；</w:t>
      </w:r>
    </w:p>
    <w:p>
      <w:pPr>
        <w:pStyle w:val="18"/>
        <w:numPr>
          <w:ilvl w:val="0"/>
          <w:numId w:val="0"/>
        </w:numPr>
        <w:tabs>
          <w:tab w:val="left" w:pos="1741"/>
        </w:tabs>
        <w:spacing w:before="162" w:after="0" w:line="240" w:lineRule="auto"/>
        <w:ind w:left="1020" w:leftChars="0" w:right="0" w:rightChars="0"/>
        <w:jc w:val="both"/>
        <w:rPr>
          <w:rFonts w:ascii="Times New Roman" w:eastAsia="Times New Roman"/>
          <w:color w:val="0000FF"/>
          <w:sz w:val="24"/>
        </w:rPr>
      </w:pPr>
      <w:r>
        <w:rPr>
          <w:rFonts w:hint="eastAsia"/>
          <w:color w:val="0000FF"/>
          <w:spacing w:val="-12"/>
          <w:sz w:val="24"/>
          <w:lang w:val="en-US" w:eastAsia="zh-CN"/>
        </w:rPr>
        <w:t>（17）</w:t>
      </w:r>
      <w:r>
        <w:rPr>
          <w:color w:val="0000FF"/>
          <w:spacing w:val="-9"/>
          <w:sz w:val="24"/>
        </w:rPr>
        <w:t>《饲料药物添加剂使用规范》，农业部公告第</w:t>
      </w:r>
      <w:r>
        <w:rPr>
          <w:rFonts w:ascii="Times New Roman" w:eastAsia="Times New Roman"/>
          <w:color w:val="0000FF"/>
          <w:sz w:val="24"/>
        </w:rPr>
        <w:t>168</w:t>
      </w:r>
      <w:r>
        <w:rPr>
          <w:color w:val="0000FF"/>
          <w:spacing w:val="-2"/>
          <w:sz w:val="24"/>
        </w:rPr>
        <w:t>号，</w:t>
      </w:r>
      <w:r>
        <w:rPr>
          <w:rFonts w:ascii="Times New Roman" w:eastAsia="Times New Roman"/>
          <w:color w:val="0000FF"/>
          <w:spacing w:val="-4"/>
          <w:sz w:val="24"/>
        </w:rPr>
        <w:t>2001</w:t>
      </w:r>
      <w:r>
        <w:rPr>
          <w:color w:val="0000FF"/>
          <w:spacing w:val="-31"/>
          <w:sz w:val="24"/>
        </w:rPr>
        <w:t>年</w:t>
      </w:r>
      <w:r>
        <w:rPr>
          <w:rFonts w:ascii="Times New Roman" w:eastAsia="Times New Roman"/>
          <w:color w:val="0000FF"/>
          <w:sz w:val="24"/>
        </w:rPr>
        <w:t>9</w:t>
      </w:r>
      <w:r>
        <w:rPr>
          <w:color w:val="0000FF"/>
          <w:spacing w:val="-30"/>
          <w:sz w:val="24"/>
        </w:rPr>
        <w:t>月</w:t>
      </w:r>
      <w:r>
        <w:rPr>
          <w:rFonts w:ascii="Times New Roman" w:eastAsia="Times New Roman"/>
          <w:color w:val="0000FF"/>
          <w:sz w:val="24"/>
        </w:rPr>
        <w:t>4</w:t>
      </w:r>
    </w:p>
    <w:p>
      <w:pPr>
        <w:pStyle w:val="7"/>
        <w:spacing w:before="163"/>
        <w:jc w:val="both"/>
        <w:rPr>
          <w:color w:val="0000FF"/>
        </w:rPr>
      </w:pPr>
      <w:r>
        <w:rPr>
          <w:color w:val="0000FF"/>
        </w:rPr>
        <w:t>日；</w:t>
      </w:r>
    </w:p>
    <w:p>
      <w:pPr>
        <w:pStyle w:val="18"/>
        <w:numPr>
          <w:ilvl w:val="0"/>
          <w:numId w:val="0"/>
        </w:numPr>
        <w:tabs>
          <w:tab w:val="left" w:pos="1741"/>
        </w:tabs>
        <w:spacing w:before="163" w:after="0" w:line="367" w:lineRule="auto"/>
        <w:ind w:left="1020" w:leftChars="0" w:right="605" w:rightChars="0"/>
        <w:jc w:val="both"/>
        <w:rPr>
          <w:color w:val="0000FF"/>
          <w:sz w:val="24"/>
        </w:rPr>
      </w:pPr>
      <w:r>
        <w:rPr>
          <w:rFonts w:hint="eastAsia"/>
          <w:color w:val="0000FF"/>
          <w:spacing w:val="-12"/>
          <w:sz w:val="24"/>
          <w:lang w:val="en-US" w:eastAsia="zh-CN"/>
        </w:rPr>
        <w:t>（18）</w:t>
      </w:r>
      <w:r>
        <w:rPr>
          <w:color w:val="0000FF"/>
          <w:sz w:val="24"/>
        </w:rPr>
        <w:t>《关于病害动物无害化处理有关意见的复函》（环办函〔</w:t>
      </w:r>
      <w:r>
        <w:rPr>
          <w:rFonts w:ascii="Times New Roman" w:eastAsia="Times New Roman"/>
          <w:color w:val="0000FF"/>
          <w:sz w:val="24"/>
        </w:rPr>
        <w:t>2014</w:t>
      </w:r>
      <w:r>
        <w:rPr>
          <w:color w:val="0000FF"/>
          <w:sz w:val="24"/>
        </w:rPr>
        <w:t>〕</w:t>
      </w:r>
      <w:r>
        <w:rPr>
          <w:rFonts w:ascii="Times New Roman" w:eastAsia="Times New Roman"/>
          <w:color w:val="0000FF"/>
          <w:spacing w:val="-7"/>
          <w:sz w:val="24"/>
        </w:rPr>
        <w:t>789</w:t>
      </w:r>
      <w:r>
        <w:rPr>
          <w:color w:val="0000FF"/>
          <w:sz w:val="24"/>
        </w:rPr>
        <w:t>号）；</w:t>
      </w:r>
    </w:p>
    <w:p>
      <w:pPr>
        <w:pStyle w:val="18"/>
        <w:numPr>
          <w:ilvl w:val="0"/>
          <w:numId w:val="0"/>
        </w:numPr>
        <w:tabs>
          <w:tab w:val="left" w:pos="1741"/>
        </w:tabs>
        <w:spacing w:before="0" w:after="0" w:line="364" w:lineRule="auto"/>
        <w:ind w:left="1020" w:leftChars="0" w:right="577" w:rightChars="0"/>
        <w:jc w:val="both"/>
        <w:rPr>
          <w:color w:val="0000FF"/>
          <w:sz w:val="24"/>
        </w:rPr>
      </w:pPr>
      <w:r>
        <w:rPr>
          <w:rFonts w:hint="eastAsia"/>
          <w:color w:val="0000FF"/>
          <w:spacing w:val="-12"/>
          <w:sz w:val="24"/>
          <w:lang w:val="en-US" w:eastAsia="zh-CN"/>
        </w:rPr>
        <w:t>（19）</w:t>
      </w:r>
      <w:r>
        <w:rPr>
          <w:color w:val="0000FF"/>
          <w:spacing w:val="-1"/>
          <w:sz w:val="24"/>
        </w:rPr>
        <w:t>《国务院办公厅关于加快推进畜禽养殖废弃物资源化利用的意见</w:t>
      </w:r>
      <w:r>
        <w:rPr>
          <w:color w:val="0000FF"/>
          <w:spacing w:val="-159"/>
          <w:sz w:val="24"/>
        </w:rPr>
        <w:t>》</w:t>
      </w:r>
      <w:r>
        <w:rPr>
          <w:color w:val="0000FF"/>
          <w:spacing w:val="-3"/>
          <w:sz w:val="24"/>
        </w:rPr>
        <w:t>（</w:t>
      </w:r>
      <w:r>
        <w:rPr>
          <w:color w:val="0000FF"/>
          <w:spacing w:val="-5"/>
          <w:sz w:val="24"/>
        </w:rPr>
        <w:t>国办发〔</w:t>
      </w:r>
      <w:r>
        <w:rPr>
          <w:rFonts w:ascii="Times New Roman" w:eastAsia="Times New Roman"/>
          <w:color w:val="0000FF"/>
          <w:sz w:val="24"/>
        </w:rPr>
        <w:t>2017</w:t>
      </w:r>
      <w:r>
        <w:rPr>
          <w:color w:val="0000FF"/>
          <w:sz w:val="24"/>
        </w:rPr>
        <w:t>〕</w:t>
      </w:r>
      <w:r>
        <w:rPr>
          <w:rFonts w:ascii="Times New Roman" w:eastAsia="Times New Roman"/>
          <w:color w:val="0000FF"/>
          <w:sz w:val="24"/>
        </w:rPr>
        <w:t>48</w:t>
      </w:r>
      <w:r>
        <w:rPr>
          <w:color w:val="0000FF"/>
          <w:sz w:val="24"/>
        </w:rPr>
        <w:t>号）；</w:t>
      </w:r>
    </w:p>
    <w:p>
      <w:pPr>
        <w:pStyle w:val="18"/>
        <w:numPr>
          <w:ilvl w:val="0"/>
          <w:numId w:val="0"/>
        </w:numPr>
        <w:tabs>
          <w:tab w:val="left" w:pos="1741"/>
        </w:tabs>
        <w:spacing w:before="4" w:after="0" w:line="240" w:lineRule="auto"/>
        <w:ind w:left="1020" w:leftChars="0" w:right="0" w:rightChars="0"/>
        <w:jc w:val="both"/>
        <w:rPr>
          <w:color w:val="0000FF"/>
          <w:sz w:val="24"/>
        </w:rPr>
      </w:pPr>
      <w:r>
        <w:rPr>
          <w:rFonts w:hint="eastAsia"/>
          <w:color w:val="0000FF"/>
          <w:spacing w:val="-12"/>
          <w:sz w:val="24"/>
          <w:lang w:val="en-US" w:eastAsia="zh-CN"/>
        </w:rPr>
        <w:t>（20）</w:t>
      </w:r>
      <w:r>
        <w:rPr>
          <w:color w:val="0000FF"/>
          <w:sz w:val="24"/>
        </w:rPr>
        <w:t>《畜禽粪污资源化利用行动方案（</w:t>
      </w:r>
      <w:r>
        <w:rPr>
          <w:rFonts w:ascii="Times New Roman" w:eastAsia="Times New Roman"/>
          <w:color w:val="0000FF"/>
          <w:sz w:val="24"/>
        </w:rPr>
        <w:t>2017-2020</w:t>
      </w:r>
      <w:r>
        <w:rPr>
          <w:color w:val="0000FF"/>
          <w:sz w:val="24"/>
        </w:rPr>
        <w:t>年）》；</w:t>
      </w:r>
    </w:p>
    <w:p>
      <w:pPr>
        <w:pStyle w:val="18"/>
        <w:numPr>
          <w:ilvl w:val="0"/>
          <w:numId w:val="0"/>
        </w:numPr>
        <w:tabs>
          <w:tab w:val="left" w:pos="1741"/>
        </w:tabs>
        <w:spacing w:before="163" w:after="0" w:line="240" w:lineRule="auto"/>
        <w:ind w:left="1020" w:leftChars="0" w:right="0" w:rightChars="0"/>
        <w:jc w:val="both"/>
        <w:rPr>
          <w:color w:val="0000FF"/>
          <w:sz w:val="24"/>
        </w:rPr>
      </w:pPr>
      <w:r>
        <w:rPr>
          <w:rFonts w:hint="eastAsia"/>
          <w:color w:val="0000FF"/>
          <w:spacing w:val="-12"/>
          <w:sz w:val="24"/>
          <w:lang w:val="en-US" w:eastAsia="zh-CN"/>
        </w:rPr>
        <w:t>（21）</w:t>
      </w:r>
      <w:r>
        <w:rPr>
          <w:color w:val="0000FF"/>
          <w:spacing w:val="-9"/>
          <w:sz w:val="24"/>
        </w:rPr>
        <w:t>关于印发《畜禽养殖场</w:t>
      </w:r>
      <w:r>
        <w:rPr>
          <w:color w:val="0000FF"/>
          <w:sz w:val="24"/>
        </w:rPr>
        <w:t>（小区</w:t>
      </w:r>
      <w:r>
        <w:rPr>
          <w:color w:val="0000FF"/>
          <w:spacing w:val="-29"/>
          <w:sz w:val="24"/>
        </w:rPr>
        <w:t>）</w:t>
      </w:r>
      <w:r>
        <w:rPr>
          <w:color w:val="0000FF"/>
          <w:spacing w:val="-8"/>
          <w:sz w:val="24"/>
        </w:rPr>
        <w:t>环境守法导则》的通知</w:t>
      </w:r>
      <w:r>
        <w:rPr>
          <w:color w:val="0000FF"/>
          <w:sz w:val="24"/>
        </w:rPr>
        <w:t>（</w:t>
      </w:r>
      <w:r>
        <w:rPr>
          <w:color w:val="0000FF"/>
          <w:spacing w:val="-10"/>
          <w:sz w:val="24"/>
        </w:rPr>
        <w:t>环办〔</w:t>
      </w:r>
      <w:r>
        <w:rPr>
          <w:rFonts w:ascii="Times New Roman" w:eastAsia="Times New Roman"/>
          <w:color w:val="0000FF"/>
          <w:sz w:val="24"/>
        </w:rPr>
        <w:t>2011</w:t>
      </w:r>
      <w:r>
        <w:rPr>
          <w:color w:val="0000FF"/>
          <w:sz w:val="24"/>
        </w:rPr>
        <w:t>〕</w:t>
      </w:r>
    </w:p>
    <w:p>
      <w:pPr>
        <w:pStyle w:val="7"/>
        <w:spacing w:before="163"/>
        <w:jc w:val="both"/>
        <w:rPr>
          <w:color w:val="0000FF"/>
        </w:rPr>
      </w:pPr>
      <w:r>
        <w:rPr>
          <w:rFonts w:ascii="Times New Roman" w:eastAsia="Times New Roman"/>
          <w:color w:val="0000FF"/>
        </w:rPr>
        <w:t>89</w:t>
      </w:r>
      <w:r>
        <w:rPr>
          <w:color w:val="0000FF"/>
        </w:rPr>
        <w:t>号）；</w:t>
      </w:r>
    </w:p>
    <w:p>
      <w:pPr>
        <w:pStyle w:val="7"/>
        <w:spacing w:before="162"/>
        <w:ind w:left="1020"/>
        <w:jc w:val="both"/>
        <w:rPr>
          <w:color w:val="0000FF"/>
        </w:rPr>
      </w:pPr>
      <w:r>
        <w:rPr>
          <w:rFonts w:hint="eastAsia"/>
          <w:color w:val="0000FF"/>
          <w:spacing w:val="-12"/>
          <w:sz w:val="24"/>
          <w:lang w:val="en-US" w:eastAsia="zh-CN"/>
        </w:rPr>
        <w:t>（22）</w:t>
      </w:r>
      <w:r>
        <w:rPr>
          <w:color w:val="0000FF"/>
        </w:rPr>
        <w:t>《畜禽场场区设计技术规范》（</w:t>
      </w:r>
      <w:r>
        <w:rPr>
          <w:rFonts w:ascii="Times New Roman" w:eastAsia="Times New Roman"/>
          <w:color w:val="0000FF"/>
        </w:rPr>
        <w:t>NY/T682-2003</w:t>
      </w:r>
      <w:r>
        <w:rPr>
          <w:color w:val="0000FF"/>
        </w:rPr>
        <w:t>），</w:t>
      </w:r>
      <w:r>
        <w:rPr>
          <w:rFonts w:ascii="Times New Roman" w:eastAsia="Times New Roman"/>
          <w:color w:val="0000FF"/>
        </w:rPr>
        <w:t>2003</w:t>
      </w:r>
      <w:r>
        <w:rPr>
          <w:color w:val="0000FF"/>
        </w:rPr>
        <w:t>年</w:t>
      </w:r>
      <w:r>
        <w:rPr>
          <w:rFonts w:ascii="Times New Roman" w:eastAsia="Times New Roman"/>
          <w:color w:val="0000FF"/>
        </w:rPr>
        <w:t>10</w:t>
      </w:r>
      <w:r>
        <w:rPr>
          <w:color w:val="0000FF"/>
        </w:rPr>
        <w:t>月</w:t>
      </w:r>
      <w:r>
        <w:rPr>
          <w:rFonts w:ascii="Times New Roman" w:eastAsia="Times New Roman"/>
          <w:color w:val="0000FF"/>
        </w:rPr>
        <w:t>1</w:t>
      </w:r>
      <w:r>
        <w:rPr>
          <w:color w:val="0000FF"/>
        </w:rPr>
        <w:t>日；</w:t>
      </w:r>
    </w:p>
    <w:p>
      <w:pPr>
        <w:pStyle w:val="18"/>
        <w:numPr>
          <w:ilvl w:val="0"/>
          <w:numId w:val="0"/>
        </w:numPr>
        <w:tabs>
          <w:tab w:val="left" w:pos="1741"/>
        </w:tabs>
        <w:spacing w:before="163" w:after="0" w:line="240" w:lineRule="auto"/>
        <w:ind w:right="0" w:rightChars="0" w:firstLine="1080" w:firstLineChars="500"/>
        <w:jc w:val="both"/>
        <w:rPr>
          <w:color w:val="0000FF"/>
          <w:sz w:val="24"/>
        </w:rPr>
      </w:pPr>
      <w:r>
        <w:rPr>
          <w:rFonts w:hint="eastAsia"/>
          <w:color w:val="0000FF"/>
          <w:spacing w:val="-12"/>
          <w:sz w:val="24"/>
          <w:lang w:val="en-US" w:eastAsia="zh-CN"/>
        </w:rPr>
        <w:t>（23）</w:t>
      </w:r>
      <w:r>
        <w:rPr>
          <w:color w:val="0000FF"/>
          <w:sz w:val="24"/>
        </w:rPr>
        <w:t>《关于进一步加强畜禽养殖污染防治工作的通知》（环水体〔</w:t>
      </w:r>
      <w:r>
        <w:rPr>
          <w:rFonts w:ascii="Times New Roman" w:eastAsia="Times New Roman"/>
          <w:color w:val="0000FF"/>
          <w:sz w:val="24"/>
        </w:rPr>
        <w:t>2016</w:t>
      </w:r>
      <w:r>
        <w:rPr>
          <w:color w:val="0000FF"/>
          <w:sz w:val="24"/>
        </w:rPr>
        <w:t>〕</w:t>
      </w:r>
    </w:p>
    <w:p>
      <w:pPr>
        <w:pStyle w:val="7"/>
        <w:spacing w:before="161"/>
        <w:jc w:val="both"/>
        <w:rPr>
          <w:color w:val="0000FF"/>
        </w:rPr>
      </w:pPr>
      <w:r>
        <w:rPr>
          <w:rFonts w:ascii="Times New Roman" w:eastAsia="Times New Roman"/>
          <w:color w:val="0000FF"/>
        </w:rPr>
        <w:t>144</w:t>
      </w:r>
      <w:r>
        <w:rPr>
          <w:color w:val="0000FF"/>
        </w:rPr>
        <w:t>号）；</w:t>
      </w:r>
    </w:p>
    <w:p>
      <w:pPr>
        <w:pStyle w:val="18"/>
        <w:numPr>
          <w:ilvl w:val="0"/>
          <w:numId w:val="0"/>
        </w:numPr>
        <w:tabs>
          <w:tab w:val="left" w:pos="1741"/>
        </w:tabs>
        <w:spacing w:before="163" w:after="0" w:line="240" w:lineRule="auto"/>
        <w:ind w:left="1020" w:leftChars="0" w:right="0" w:rightChars="0"/>
        <w:jc w:val="both"/>
        <w:rPr>
          <w:color w:val="0000FF"/>
          <w:sz w:val="24"/>
        </w:rPr>
      </w:pPr>
      <w:r>
        <w:rPr>
          <w:rFonts w:hint="eastAsia"/>
          <w:color w:val="0000FF"/>
          <w:spacing w:val="-12"/>
          <w:sz w:val="24"/>
          <w:lang w:val="en-US" w:eastAsia="zh-CN"/>
        </w:rPr>
        <w:t>（24）</w:t>
      </w:r>
      <w:r>
        <w:rPr>
          <w:color w:val="0000FF"/>
          <w:spacing w:val="-5"/>
          <w:sz w:val="24"/>
        </w:rPr>
        <w:t>《国务院关于促进畜牧业持续健康发展的意见》</w:t>
      </w:r>
      <w:r>
        <w:rPr>
          <w:color w:val="0000FF"/>
          <w:sz w:val="24"/>
        </w:rPr>
        <w:t>（</w:t>
      </w:r>
      <w:r>
        <w:rPr>
          <w:color w:val="0000FF"/>
          <w:spacing w:val="-23"/>
          <w:sz w:val="24"/>
        </w:rPr>
        <w:t>国发</w:t>
      </w:r>
      <w:r>
        <w:rPr>
          <w:color w:val="0000FF"/>
          <w:sz w:val="24"/>
        </w:rPr>
        <w:t>［</w:t>
      </w:r>
      <w:r>
        <w:rPr>
          <w:rFonts w:ascii="Times New Roman" w:eastAsia="Times New Roman"/>
          <w:color w:val="0000FF"/>
          <w:sz w:val="24"/>
        </w:rPr>
        <w:t>2007</w:t>
      </w:r>
      <w:r>
        <w:rPr>
          <w:color w:val="0000FF"/>
          <w:spacing w:val="-46"/>
          <w:sz w:val="24"/>
        </w:rPr>
        <w:t>］</w:t>
      </w:r>
      <w:r>
        <w:rPr>
          <w:rFonts w:ascii="Times New Roman" w:eastAsia="Times New Roman"/>
          <w:color w:val="0000FF"/>
          <w:sz w:val="24"/>
        </w:rPr>
        <w:t>4</w:t>
      </w:r>
      <w:r>
        <w:rPr>
          <w:color w:val="0000FF"/>
          <w:sz w:val="24"/>
        </w:rPr>
        <w:t>号</w:t>
      </w:r>
      <w:r>
        <w:rPr>
          <w:color w:val="0000FF"/>
          <w:spacing w:val="-120"/>
          <w:sz w:val="24"/>
        </w:rPr>
        <w:t>）</w:t>
      </w:r>
      <w:r>
        <w:rPr>
          <w:color w:val="0000FF"/>
          <w:sz w:val="24"/>
        </w:rPr>
        <w:t>；</w:t>
      </w:r>
    </w:p>
    <w:p>
      <w:pPr>
        <w:pStyle w:val="18"/>
        <w:numPr>
          <w:ilvl w:val="0"/>
          <w:numId w:val="0"/>
        </w:numPr>
        <w:tabs>
          <w:tab w:val="left" w:pos="1741"/>
        </w:tabs>
        <w:spacing w:before="163" w:after="0" w:line="240" w:lineRule="auto"/>
        <w:ind w:left="1020" w:leftChars="0" w:right="0" w:rightChars="0"/>
        <w:jc w:val="both"/>
        <w:rPr>
          <w:color w:val="0000FF"/>
          <w:sz w:val="24"/>
        </w:rPr>
      </w:pPr>
      <w:r>
        <w:rPr>
          <w:rFonts w:hint="eastAsia"/>
          <w:color w:val="0000FF"/>
          <w:spacing w:val="-12"/>
          <w:sz w:val="24"/>
          <w:lang w:val="en-US" w:eastAsia="zh-CN"/>
        </w:rPr>
        <w:t>（25）</w:t>
      </w:r>
      <w:r>
        <w:rPr>
          <w:color w:val="0000FF"/>
          <w:spacing w:val="-3"/>
          <w:sz w:val="24"/>
        </w:rPr>
        <w:t>《农业部关于加快推进畜禽标准化规模化养殖的意见</w:t>
      </w:r>
      <w:r>
        <w:rPr>
          <w:color w:val="0000FF"/>
          <w:sz w:val="24"/>
        </w:rPr>
        <w:t>（</w:t>
      </w:r>
      <w:r>
        <w:rPr>
          <w:color w:val="0000FF"/>
          <w:spacing w:val="-18"/>
          <w:sz w:val="24"/>
        </w:rPr>
        <w:t>农转发</w:t>
      </w:r>
      <w:r>
        <w:rPr>
          <w:color w:val="0000FF"/>
          <w:sz w:val="24"/>
        </w:rPr>
        <w:t>［</w:t>
      </w:r>
      <w:r>
        <w:rPr>
          <w:rFonts w:ascii="Times New Roman" w:eastAsia="Times New Roman"/>
          <w:color w:val="0000FF"/>
          <w:sz w:val="24"/>
        </w:rPr>
        <w:t>2010</w:t>
      </w:r>
      <w:r>
        <w:rPr>
          <w:color w:val="0000FF"/>
          <w:sz w:val="24"/>
        </w:rPr>
        <w:t>］</w:t>
      </w:r>
    </w:p>
    <w:p>
      <w:pPr>
        <w:pStyle w:val="7"/>
        <w:spacing w:before="163"/>
        <w:jc w:val="both"/>
        <w:rPr>
          <w:color w:val="0000FF"/>
        </w:rPr>
      </w:pPr>
      <w:r>
        <w:rPr>
          <w:rFonts w:ascii="Times New Roman" w:eastAsia="Times New Roman"/>
          <w:color w:val="0000FF"/>
        </w:rPr>
        <w:t>6</w:t>
      </w:r>
      <w:r>
        <w:rPr>
          <w:color w:val="0000FF"/>
        </w:rPr>
        <w:t>号）。</w:t>
      </w:r>
    </w:p>
    <w:p>
      <w:pPr>
        <w:pStyle w:val="5"/>
        <w:numPr>
          <w:ilvl w:val="2"/>
          <w:numId w:val="5"/>
        </w:numPr>
        <w:tabs>
          <w:tab w:val="left" w:pos="1241"/>
        </w:tabs>
        <w:spacing w:before="185" w:after="0" w:line="240" w:lineRule="auto"/>
        <w:ind w:left="1240" w:right="0" w:hanging="701"/>
        <w:jc w:val="left"/>
        <w:outlineLvl w:val="2"/>
        <w:rPr>
          <w:rFonts w:ascii="Times New Roman" w:eastAsia="Times New Roman"/>
        </w:rPr>
      </w:pPr>
      <w:bookmarkStart w:id="42" w:name="2.2.3 地方有关法律法规"/>
      <w:bookmarkEnd w:id="42"/>
      <w:bookmarkStart w:id="43" w:name="2.2.4 相关导则及技术规范依据"/>
      <w:bookmarkEnd w:id="43"/>
      <w:bookmarkStart w:id="44" w:name="2.2.4 相关导则及技术规范依据"/>
      <w:bookmarkEnd w:id="44"/>
      <w:bookmarkStart w:id="45" w:name="2.2.3 地方有关法律法规"/>
      <w:bookmarkEnd w:id="45"/>
      <w:bookmarkStart w:id="46" w:name="_Toc3924"/>
      <w:r>
        <w:t>地方有关法律法规</w:t>
      </w:r>
      <w:bookmarkEnd w:id="46"/>
    </w:p>
    <w:p>
      <w:pPr>
        <w:pStyle w:val="18"/>
        <w:numPr>
          <w:ilvl w:val="0"/>
          <w:numId w:val="7"/>
        </w:numPr>
        <w:tabs>
          <w:tab w:val="left" w:pos="1621"/>
        </w:tabs>
        <w:spacing w:before="211" w:after="0" w:line="367" w:lineRule="auto"/>
        <w:ind w:left="540" w:right="580" w:firstLine="480"/>
        <w:jc w:val="left"/>
        <w:rPr>
          <w:color w:val="0000FF"/>
          <w:sz w:val="24"/>
        </w:rPr>
      </w:pPr>
      <w:r>
        <w:rPr>
          <w:color w:val="0000FF"/>
          <w:spacing w:val="-1"/>
          <w:sz w:val="24"/>
        </w:rPr>
        <w:t>《新疆维吾尔自治区环境保护条例》，新疆维吾尔自治区第十三届人</w:t>
      </w:r>
      <w:r>
        <w:rPr>
          <w:color w:val="0000FF"/>
          <w:sz w:val="24"/>
        </w:rPr>
        <w:t>大常委第六次会议，</w:t>
      </w:r>
      <w:r>
        <w:rPr>
          <w:rFonts w:ascii="Times New Roman" w:eastAsia="Times New Roman"/>
          <w:color w:val="0000FF"/>
          <w:sz w:val="24"/>
        </w:rPr>
        <w:t>2018</w:t>
      </w:r>
      <w:r>
        <w:rPr>
          <w:color w:val="0000FF"/>
          <w:spacing w:val="-30"/>
          <w:sz w:val="24"/>
        </w:rPr>
        <w:t>年</w:t>
      </w:r>
      <w:r>
        <w:rPr>
          <w:rFonts w:ascii="Times New Roman" w:eastAsia="Times New Roman"/>
          <w:color w:val="0000FF"/>
          <w:sz w:val="24"/>
        </w:rPr>
        <w:t>9</w:t>
      </w:r>
      <w:r>
        <w:rPr>
          <w:color w:val="0000FF"/>
          <w:spacing w:val="-30"/>
          <w:sz w:val="24"/>
        </w:rPr>
        <w:t>月</w:t>
      </w:r>
      <w:r>
        <w:rPr>
          <w:rFonts w:ascii="Times New Roman" w:eastAsia="Times New Roman"/>
          <w:color w:val="0000FF"/>
          <w:sz w:val="24"/>
        </w:rPr>
        <w:t>21</w:t>
      </w:r>
      <w:r>
        <w:rPr>
          <w:color w:val="0000FF"/>
          <w:sz w:val="24"/>
        </w:rPr>
        <w:t>日；</w:t>
      </w:r>
    </w:p>
    <w:p>
      <w:pPr>
        <w:pStyle w:val="18"/>
        <w:numPr>
          <w:ilvl w:val="0"/>
          <w:numId w:val="7"/>
        </w:numPr>
        <w:tabs>
          <w:tab w:val="left" w:pos="1621"/>
        </w:tabs>
        <w:spacing w:before="0" w:after="0" w:line="367" w:lineRule="auto"/>
        <w:ind w:left="540" w:right="580" w:firstLine="480"/>
        <w:jc w:val="left"/>
        <w:rPr>
          <w:color w:val="0000FF"/>
          <w:sz w:val="24"/>
        </w:rPr>
      </w:pPr>
      <w:r>
        <w:rPr>
          <w:color w:val="0000FF"/>
          <w:spacing w:val="-1"/>
          <w:sz w:val="24"/>
        </w:rPr>
        <w:t>《新疆维吾尔自治区人民政府关于全疆水土流失重点预防保护区、重</w:t>
      </w:r>
      <w:r>
        <w:rPr>
          <w:color w:val="0000FF"/>
          <w:sz w:val="24"/>
        </w:rPr>
        <w:t>点监督区、重点治理区划分的公告》，</w:t>
      </w:r>
      <w:r>
        <w:rPr>
          <w:rFonts w:ascii="Times New Roman" w:eastAsia="Times New Roman"/>
          <w:color w:val="0000FF"/>
          <w:sz w:val="24"/>
        </w:rPr>
        <w:t>2000</w:t>
      </w:r>
      <w:r>
        <w:rPr>
          <w:color w:val="0000FF"/>
          <w:spacing w:val="-30"/>
          <w:sz w:val="24"/>
        </w:rPr>
        <w:t>年</w:t>
      </w:r>
      <w:r>
        <w:rPr>
          <w:rFonts w:ascii="Times New Roman" w:eastAsia="Times New Roman"/>
          <w:color w:val="0000FF"/>
          <w:sz w:val="24"/>
        </w:rPr>
        <w:t>10</w:t>
      </w:r>
      <w:r>
        <w:rPr>
          <w:color w:val="0000FF"/>
          <w:spacing w:val="-30"/>
          <w:sz w:val="24"/>
        </w:rPr>
        <w:t>月</w:t>
      </w:r>
      <w:r>
        <w:rPr>
          <w:rFonts w:ascii="Times New Roman" w:eastAsia="Times New Roman"/>
          <w:color w:val="0000FF"/>
          <w:sz w:val="24"/>
        </w:rPr>
        <w:t>31</w:t>
      </w:r>
      <w:r>
        <w:rPr>
          <w:color w:val="0000FF"/>
          <w:sz w:val="24"/>
        </w:rPr>
        <w:t>日）；</w:t>
      </w:r>
    </w:p>
    <w:p>
      <w:pPr>
        <w:pStyle w:val="18"/>
        <w:numPr>
          <w:ilvl w:val="0"/>
          <w:numId w:val="7"/>
        </w:numPr>
        <w:tabs>
          <w:tab w:val="left" w:pos="1621"/>
        </w:tabs>
        <w:spacing w:before="0" w:after="0" w:line="240" w:lineRule="auto"/>
        <w:ind w:left="1621" w:right="0" w:hanging="601"/>
        <w:jc w:val="left"/>
        <w:rPr>
          <w:color w:val="0000FF"/>
          <w:sz w:val="24"/>
        </w:rPr>
      </w:pPr>
      <w:r>
        <w:rPr>
          <w:color w:val="0000FF"/>
          <w:sz w:val="24"/>
        </w:rPr>
        <w:t>《新疆维吾尔自治区水环境功能区划》，</w:t>
      </w:r>
      <w:r>
        <w:rPr>
          <w:rFonts w:ascii="Times New Roman" w:eastAsia="Times New Roman"/>
          <w:color w:val="0000FF"/>
          <w:sz w:val="24"/>
        </w:rPr>
        <w:t>2004</w:t>
      </w:r>
      <w:r>
        <w:rPr>
          <w:color w:val="0000FF"/>
          <w:spacing w:val="-30"/>
          <w:sz w:val="24"/>
        </w:rPr>
        <w:t>年</w:t>
      </w:r>
      <w:r>
        <w:rPr>
          <w:rFonts w:ascii="Times New Roman" w:eastAsia="Times New Roman"/>
          <w:color w:val="0000FF"/>
          <w:sz w:val="24"/>
        </w:rPr>
        <w:t>8</w:t>
      </w:r>
      <w:r>
        <w:rPr>
          <w:color w:val="0000FF"/>
          <w:sz w:val="24"/>
        </w:rPr>
        <w:t>月；</w:t>
      </w:r>
    </w:p>
    <w:p>
      <w:pPr>
        <w:spacing w:after="0" w:line="240" w:lineRule="auto"/>
        <w:jc w:val="left"/>
        <w:rPr>
          <w:color w:val="0000FF"/>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color w:val="0000FF"/>
          <w:sz w:val="9"/>
        </w:rPr>
      </w:pPr>
    </w:p>
    <w:p>
      <w:pPr>
        <w:pStyle w:val="18"/>
        <w:numPr>
          <w:ilvl w:val="0"/>
          <w:numId w:val="7"/>
        </w:numPr>
        <w:tabs>
          <w:tab w:val="left" w:pos="1621"/>
        </w:tabs>
        <w:spacing w:before="76" w:after="0" w:line="240" w:lineRule="auto"/>
        <w:ind w:left="1621" w:right="0" w:hanging="601"/>
        <w:jc w:val="left"/>
        <w:rPr>
          <w:color w:val="0000FF"/>
          <w:sz w:val="24"/>
        </w:rPr>
      </w:pPr>
      <w:r>
        <w:rPr>
          <w:color w:val="0000FF"/>
          <w:spacing w:val="-3"/>
          <w:sz w:val="24"/>
        </w:rPr>
        <w:t>《新疆生态功能区划》，新疆维吾尔自治区人民政府，新政函</w:t>
      </w:r>
      <w:r>
        <w:rPr>
          <w:rFonts w:ascii="Times New Roman" w:eastAsia="Times New Roman"/>
          <w:color w:val="0000FF"/>
          <w:sz w:val="24"/>
        </w:rPr>
        <w:t>96</w:t>
      </w:r>
      <w:r>
        <w:rPr>
          <w:color w:val="0000FF"/>
          <w:sz w:val="24"/>
        </w:rPr>
        <w:t>号，</w:t>
      </w:r>
    </w:p>
    <w:p>
      <w:pPr>
        <w:pStyle w:val="7"/>
        <w:spacing w:before="161"/>
        <w:rPr>
          <w:color w:val="0000FF"/>
        </w:rPr>
      </w:pPr>
      <w:r>
        <w:rPr>
          <w:rFonts w:ascii="Times New Roman" w:eastAsia="Times New Roman"/>
          <w:color w:val="0000FF"/>
        </w:rPr>
        <w:t>2005</w:t>
      </w:r>
      <w:r>
        <w:rPr>
          <w:color w:val="0000FF"/>
        </w:rPr>
        <w:t>年</w:t>
      </w:r>
      <w:r>
        <w:rPr>
          <w:rFonts w:ascii="Times New Roman" w:eastAsia="Times New Roman"/>
          <w:color w:val="0000FF"/>
        </w:rPr>
        <w:t>12</w:t>
      </w:r>
      <w:r>
        <w:rPr>
          <w:color w:val="0000FF"/>
        </w:rPr>
        <w:t>月</w:t>
      </w:r>
      <w:r>
        <w:rPr>
          <w:rFonts w:ascii="Times New Roman" w:eastAsia="Times New Roman"/>
          <w:color w:val="0000FF"/>
        </w:rPr>
        <w:t>21</w:t>
      </w:r>
      <w:r>
        <w:rPr>
          <w:color w:val="0000FF"/>
        </w:rPr>
        <w:t>日；</w:t>
      </w:r>
    </w:p>
    <w:p>
      <w:pPr>
        <w:pStyle w:val="18"/>
        <w:numPr>
          <w:ilvl w:val="0"/>
          <w:numId w:val="7"/>
        </w:numPr>
        <w:tabs>
          <w:tab w:val="left" w:pos="1621"/>
        </w:tabs>
        <w:spacing w:before="162" w:after="0" w:line="240" w:lineRule="auto"/>
        <w:ind w:left="1621" w:right="0" w:hanging="601"/>
        <w:jc w:val="left"/>
        <w:rPr>
          <w:color w:val="0000FF"/>
          <w:sz w:val="24"/>
        </w:rPr>
      </w:pPr>
      <w:r>
        <w:rPr>
          <w:color w:val="0000FF"/>
          <w:sz w:val="24"/>
        </w:rPr>
        <w:t>《新疆维吾尔自治区大气污染防治条例》，</w:t>
      </w:r>
      <w:r>
        <w:rPr>
          <w:rFonts w:ascii="Times New Roman" w:eastAsia="Times New Roman"/>
          <w:color w:val="0000FF"/>
          <w:sz w:val="24"/>
        </w:rPr>
        <w:t>2018</w:t>
      </w:r>
      <w:r>
        <w:rPr>
          <w:color w:val="0000FF"/>
          <w:spacing w:val="-20"/>
          <w:sz w:val="24"/>
        </w:rPr>
        <w:t>年第</w:t>
      </w:r>
      <w:r>
        <w:rPr>
          <w:rFonts w:ascii="Times New Roman" w:eastAsia="Times New Roman"/>
          <w:color w:val="0000FF"/>
          <w:sz w:val="24"/>
        </w:rPr>
        <w:t>15</w:t>
      </w:r>
      <w:r>
        <w:rPr>
          <w:color w:val="0000FF"/>
          <w:sz w:val="24"/>
        </w:rPr>
        <w:t>号，</w:t>
      </w:r>
      <w:r>
        <w:rPr>
          <w:rFonts w:ascii="Times New Roman" w:eastAsia="Times New Roman"/>
          <w:color w:val="0000FF"/>
          <w:sz w:val="24"/>
        </w:rPr>
        <w:t>2019</w:t>
      </w:r>
      <w:r>
        <w:rPr>
          <w:color w:val="0000FF"/>
          <w:sz w:val="24"/>
        </w:rPr>
        <w:t>年</w:t>
      </w:r>
    </w:p>
    <w:p>
      <w:pPr>
        <w:pStyle w:val="7"/>
        <w:spacing w:before="163"/>
        <w:rPr>
          <w:color w:val="0000FF"/>
        </w:rPr>
      </w:pPr>
      <w:r>
        <w:rPr>
          <w:rFonts w:ascii="Times New Roman" w:eastAsia="Times New Roman"/>
          <w:color w:val="0000FF"/>
        </w:rPr>
        <w:t>1</w:t>
      </w:r>
      <w:r>
        <w:rPr>
          <w:color w:val="0000FF"/>
        </w:rPr>
        <w:t>月</w:t>
      </w:r>
      <w:r>
        <w:rPr>
          <w:rFonts w:ascii="Times New Roman" w:eastAsia="Times New Roman"/>
          <w:color w:val="0000FF"/>
        </w:rPr>
        <w:t>1</w:t>
      </w:r>
      <w:r>
        <w:rPr>
          <w:color w:val="0000FF"/>
        </w:rPr>
        <w:t>日；</w:t>
      </w:r>
    </w:p>
    <w:p>
      <w:pPr>
        <w:pStyle w:val="18"/>
        <w:numPr>
          <w:ilvl w:val="0"/>
          <w:numId w:val="7"/>
        </w:numPr>
        <w:tabs>
          <w:tab w:val="left" w:pos="1621"/>
        </w:tabs>
        <w:spacing w:before="163" w:after="0" w:line="367" w:lineRule="auto"/>
        <w:ind w:left="540" w:right="457" w:firstLine="480"/>
        <w:jc w:val="left"/>
        <w:rPr>
          <w:color w:val="0000FF"/>
          <w:sz w:val="24"/>
        </w:rPr>
      </w:pPr>
      <w:r>
        <w:rPr>
          <w:color w:val="0000FF"/>
          <w:sz w:val="24"/>
        </w:rPr>
        <w:t>《关于印发新疆维吾尔自治区大气污染防治行动计划实施方案的通知</w:t>
      </w:r>
      <w:r>
        <w:rPr>
          <w:color w:val="0000FF"/>
          <w:spacing w:val="-4"/>
          <w:sz w:val="24"/>
        </w:rPr>
        <w:t>》新政发〔</w:t>
      </w:r>
      <w:r>
        <w:rPr>
          <w:rFonts w:ascii="Times New Roman" w:eastAsia="Times New Roman"/>
          <w:color w:val="0000FF"/>
          <w:sz w:val="24"/>
        </w:rPr>
        <w:t>2014</w:t>
      </w:r>
      <w:r>
        <w:rPr>
          <w:color w:val="0000FF"/>
          <w:sz w:val="24"/>
        </w:rPr>
        <w:t>〕</w:t>
      </w:r>
      <w:r>
        <w:rPr>
          <w:rFonts w:ascii="Times New Roman" w:eastAsia="Times New Roman"/>
          <w:color w:val="0000FF"/>
          <w:sz w:val="24"/>
        </w:rPr>
        <w:t>35</w:t>
      </w:r>
      <w:r>
        <w:rPr>
          <w:color w:val="0000FF"/>
          <w:sz w:val="24"/>
        </w:rPr>
        <w:t>号；</w:t>
      </w:r>
    </w:p>
    <w:p>
      <w:pPr>
        <w:pStyle w:val="18"/>
        <w:numPr>
          <w:ilvl w:val="0"/>
          <w:numId w:val="7"/>
        </w:numPr>
        <w:tabs>
          <w:tab w:val="left" w:pos="1621"/>
        </w:tabs>
        <w:spacing w:before="0" w:after="0" w:line="240" w:lineRule="auto"/>
        <w:ind w:left="1621" w:right="0" w:hanging="601"/>
        <w:jc w:val="left"/>
        <w:rPr>
          <w:color w:val="0000FF"/>
          <w:sz w:val="24"/>
        </w:rPr>
      </w:pPr>
      <w:r>
        <w:rPr>
          <w:color w:val="0000FF"/>
          <w:sz w:val="24"/>
        </w:rPr>
        <w:t>《关于印发新疆维吾尔自治区水污染防治工作方案的通知》，新政发</w:t>
      </w:r>
    </w:p>
    <w:p>
      <w:pPr>
        <w:pStyle w:val="7"/>
        <w:spacing w:before="161"/>
        <w:rPr>
          <w:color w:val="0000FF"/>
        </w:rPr>
      </w:pPr>
      <w:r>
        <w:rPr>
          <w:color w:val="0000FF"/>
        </w:rPr>
        <w:t>〔</w:t>
      </w:r>
      <w:r>
        <w:rPr>
          <w:rFonts w:ascii="Times New Roman" w:eastAsia="Times New Roman"/>
          <w:color w:val="0000FF"/>
        </w:rPr>
        <w:t>2016</w:t>
      </w:r>
      <w:r>
        <w:rPr>
          <w:color w:val="0000FF"/>
        </w:rPr>
        <w:t>〕</w:t>
      </w:r>
      <w:r>
        <w:rPr>
          <w:rFonts w:ascii="Times New Roman" w:eastAsia="Times New Roman"/>
          <w:color w:val="0000FF"/>
        </w:rPr>
        <w:t>21</w:t>
      </w:r>
      <w:r>
        <w:rPr>
          <w:color w:val="0000FF"/>
        </w:rPr>
        <w:t>号，</w:t>
      </w:r>
      <w:r>
        <w:rPr>
          <w:rFonts w:ascii="Times New Roman" w:eastAsia="Times New Roman"/>
          <w:color w:val="0000FF"/>
        </w:rPr>
        <w:t>2016</w:t>
      </w:r>
      <w:r>
        <w:rPr>
          <w:color w:val="0000FF"/>
        </w:rPr>
        <w:t>年</w:t>
      </w:r>
      <w:r>
        <w:rPr>
          <w:rFonts w:ascii="Times New Roman" w:eastAsia="Times New Roman"/>
          <w:color w:val="0000FF"/>
        </w:rPr>
        <w:t>1</w:t>
      </w:r>
      <w:r>
        <w:rPr>
          <w:color w:val="0000FF"/>
        </w:rPr>
        <w:t>月</w:t>
      </w:r>
      <w:r>
        <w:rPr>
          <w:rFonts w:ascii="Times New Roman" w:eastAsia="Times New Roman"/>
          <w:color w:val="0000FF"/>
        </w:rPr>
        <w:t>29</w:t>
      </w:r>
      <w:r>
        <w:rPr>
          <w:color w:val="0000FF"/>
        </w:rPr>
        <w:t>日；</w:t>
      </w:r>
    </w:p>
    <w:p>
      <w:pPr>
        <w:pStyle w:val="18"/>
        <w:numPr>
          <w:ilvl w:val="0"/>
          <w:numId w:val="7"/>
        </w:numPr>
        <w:tabs>
          <w:tab w:val="left" w:pos="1621"/>
        </w:tabs>
        <w:spacing w:before="162" w:after="0" w:line="367" w:lineRule="auto"/>
        <w:ind w:left="540" w:right="580" w:firstLine="480"/>
        <w:jc w:val="left"/>
        <w:rPr>
          <w:color w:val="0000FF"/>
          <w:sz w:val="24"/>
        </w:rPr>
      </w:pPr>
      <w:r>
        <w:rPr>
          <w:color w:val="0000FF"/>
          <w:spacing w:val="-1"/>
          <w:sz w:val="24"/>
        </w:rPr>
        <w:t>《关于印发新疆维吾尔自治区土壤污染防治工作方案的通知》，新政</w:t>
      </w:r>
      <w:r>
        <w:rPr>
          <w:color w:val="0000FF"/>
          <w:sz w:val="24"/>
        </w:rPr>
        <w:t>发〔</w:t>
      </w:r>
      <w:r>
        <w:rPr>
          <w:rFonts w:ascii="Times New Roman" w:eastAsia="Times New Roman"/>
          <w:color w:val="0000FF"/>
          <w:sz w:val="24"/>
        </w:rPr>
        <w:t>2017</w:t>
      </w:r>
      <w:r>
        <w:rPr>
          <w:color w:val="0000FF"/>
          <w:sz w:val="24"/>
        </w:rPr>
        <w:t>〕</w:t>
      </w:r>
      <w:r>
        <w:rPr>
          <w:rFonts w:ascii="Times New Roman" w:eastAsia="Times New Roman"/>
          <w:color w:val="0000FF"/>
          <w:sz w:val="24"/>
        </w:rPr>
        <w:t>25</w:t>
      </w:r>
      <w:r>
        <w:rPr>
          <w:color w:val="0000FF"/>
          <w:sz w:val="24"/>
        </w:rPr>
        <w:t>号，</w:t>
      </w:r>
      <w:r>
        <w:rPr>
          <w:rFonts w:ascii="Times New Roman" w:eastAsia="Times New Roman"/>
          <w:color w:val="0000FF"/>
          <w:sz w:val="24"/>
        </w:rPr>
        <w:t>2017</w:t>
      </w:r>
      <w:r>
        <w:rPr>
          <w:color w:val="0000FF"/>
          <w:spacing w:val="-30"/>
          <w:sz w:val="24"/>
        </w:rPr>
        <w:t>年</w:t>
      </w:r>
      <w:r>
        <w:rPr>
          <w:rFonts w:ascii="Times New Roman" w:eastAsia="Times New Roman"/>
          <w:color w:val="0000FF"/>
          <w:sz w:val="24"/>
        </w:rPr>
        <w:t>3</w:t>
      </w:r>
      <w:r>
        <w:rPr>
          <w:color w:val="0000FF"/>
          <w:spacing w:val="-30"/>
          <w:sz w:val="24"/>
        </w:rPr>
        <w:t>月</w:t>
      </w:r>
      <w:r>
        <w:rPr>
          <w:rFonts w:ascii="Times New Roman" w:eastAsia="Times New Roman"/>
          <w:color w:val="0000FF"/>
          <w:sz w:val="24"/>
        </w:rPr>
        <w:t>1</w:t>
      </w:r>
      <w:r>
        <w:rPr>
          <w:color w:val="0000FF"/>
          <w:sz w:val="24"/>
        </w:rPr>
        <w:t>日；</w:t>
      </w:r>
    </w:p>
    <w:p>
      <w:pPr>
        <w:pStyle w:val="18"/>
        <w:numPr>
          <w:ilvl w:val="0"/>
          <w:numId w:val="7"/>
        </w:numPr>
        <w:tabs>
          <w:tab w:val="left" w:pos="1621"/>
        </w:tabs>
        <w:spacing w:before="0" w:after="0" w:line="240" w:lineRule="auto"/>
        <w:ind w:left="1621" w:right="0" w:hanging="601"/>
        <w:jc w:val="left"/>
        <w:rPr>
          <w:color w:val="0000FF"/>
          <w:sz w:val="24"/>
        </w:rPr>
      </w:pPr>
      <w:r>
        <w:rPr>
          <w:color w:val="0000FF"/>
          <w:spacing w:val="-3"/>
          <w:sz w:val="24"/>
        </w:rPr>
        <w:t>《新疆维吾尔自治区重点行业环境准入条件</w:t>
      </w:r>
      <w:r>
        <w:rPr>
          <w:color w:val="0000FF"/>
          <w:sz w:val="24"/>
        </w:rPr>
        <w:t>（修订</w:t>
      </w:r>
      <w:r>
        <w:rPr>
          <w:color w:val="0000FF"/>
          <w:spacing w:val="-48"/>
          <w:sz w:val="24"/>
        </w:rPr>
        <w:t>）</w:t>
      </w:r>
      <w:r>
        <w:rPr>
          <w:color w:val="0000FF"/>
          <w:spacing w:val="-94"/>
          <w:sz w:val="24"/>
        </w:rPr>
        <w:t>》</w:t>
      </w:r>
      <w:r>
        <w:rPr>
          <w:color w:val="0000FF"/>
          <w:spacing w:val="-3"/>
          <w:sz w:val="24"/>
        </w:rPr>
        <w:t>（</w:t>
      </w:r>
      <w:r>
        <w:rPr>
          <w:color w:val="0000FF"/>
          <w:spacing w:val="-13"/>
          <w:sz w:val="24"/>
        </w:rPr>
        <w:t>新环发〔</w:t>
      </w:r>
      <w:r>
        <w:rPr>
          <w:rFonts w:ascii="Times New Roman" w:eastAsia="Times New Roman"/>
          <w:color w:val="0000FF"/>
          <w:sz w:val="24"/>
        </w:rPr>
        <w:t>2017</w:t>
      </w:r>
      <w:r>
        <w:rPr>
          <w:color w:val="0000FF"/>
          <w:sz w:val="24"/>
        </w:rPr>
        <w:t>〕</w:t>
      </w:r>
    </w:p>
    <w:p>
      <w:pPr>
        <w:pStyle w:val="7"/>
        <w:spacing w:before="163"/>
        <w:rPr>
          <w:color w:val="0000FF"/>
        </w:rPr>
      </w:pPr>
      <w:r>
        <w:rPr>
          <w:rFonts w:ascii="Times New Roman" w:eastAsia="Times New Roman"/>
          <w:color w:val="0000FF"/>
        </w:rPr>
        <w:t>1</w:t>
      </w:r>
      <w:r>
        <w:rPr>
          <w:color w:val="0000FF"/>
        </w:rPr>
        <w:t>号）；</w:t>
      </w:r>
    </w:p>
    <w:p>
      <w:pPr>
        <w:pStyle w:val="18"/>
        <w:numPr>
          <w:ilvl w:val="0"/>
          <w:numId w:val="7"/>
        </w:numPr>
        <w:tabs>
          <w:tab w:val="left" w:pos="1755"/>
        </w:tabs>
        <w:spacing w:before="163" w:after="0" w:line="240" w:lineRule="auto"/>
        <w:ind w:left="1754" w:right="0" w:hanging="735"/>
        <w:jc w:val="left"/>
        <w:rPr>
          <w:color w:val="0000FF"/>
          <w:sz w:val="24"/>
        </w:rPr>
      </w:pPr>
      <w:r>
        <w:rPr>
          <w:color w:val="0000FF"/>
          <w:spacing w:val="2"/>
          <w:sz w:val="24"/>
        </w:rPr>
        <w:t>《新疆维吾尔自治区国民经济和社会发展第十三个五年规划纲要》</w:t>
      </w:r>
    </w:p>
    <w:p>
      <w:pPr>
        <w:pStyle w:val="7"/>
        <w:spacing w:before="161"/>
        <w:rPr>
          <w:color w:val="0000FF"/>
        </w:rPr>
      </w:pPr>
      <w:r>
        <w:rPr>
          <w:color w:val="0000FF"/>
        </w:rPr>
        <w:t>（</w:t>
      </w:r>
      <w:r>
        <w:rPr>
          <w:rFonts w:ascii="Times New Roman" w:eastAsia="Times New Roman"/>
          <w:color w:val="0000FF"/>
        </w:rPr>
        <w:t>2015</w:t>
      </w:r>
      <w:r>
        <w:rPr>
          <w:color w:val="0000FF"/>
        </w:rPr>
        <w:t>年）；</w:t>
      </w:r>
    </w:p>
    <w:p>
      <w:pPr>
        <w:pStyle w:val="18"/>
        <w:numPr>
          <w:ilvl w:val="0"/>
          <w:numId w:val="7"/>
        </w:numPr>
        <w:tabs>
          <w:tab w:val="left" w:pos="1732"/>
        </w:tabs>
        <w:spacing w:before="163" w:after="0" w:line="240" w:lineRule="auto"/>
        <w:ind w:left="1731" w:right="0" w:hanging="712"/>
        <w:jc w:val="left"/>
        <w:rPr>
          <w:color w:val="0000FF"/>
          <w:sz w:val="24"/>
        </w:rPr>
      </w:pPr>
      <w:r>
        <w:rPr>
          <w:color w:val="0000FF"/>
          <w:sz w:val="24"/>
        </w:rPr>
        <w:t>《新疆维吾尔自治区畜牧业现代化“十三五”发展规划》；</w:t>
      </w:r>
    </w:p>
    <w:p>
      <w:pPr>
        <w:pStyle w:val="18"/>
        <w:numPr>
          <w:ilvl w:val="0"/>
          <w:numId w:val="7"/>
        </w:numPr>
        <w:tabs>
          <w:tab w:val="left" w:pos="1741"/>
        </w:tabs>
        <w:spacing w:before="162" w:after="0" w:line="240" w:lineRule="auto"/>
        <w:ind w:left="1741" w:right="0" w:hanging="721"/>
        <w:jc w:val="left"/>
        <w:rPr>
          <w:color w:val="0000FF"/>
          <w:sz w:val="24"/>
        </w:rPr>
      </w:pPr>
      <w:r>
        <w:rPr>
          <w:color w:val="0000FF"/>
          <w:sz w:val="24"/>
        </w:rPr>
        <w:t>《新疆规模化畜禽养殖污染防治“十三五”规划》。</w:t>
      </w:r>
    </w:p>
    <w:p>
      <w:pPr>
        <w:pStyle w:val="5"/>
        <w:numPr>
          <w:ilvl w:val="2"/>
          <w:numId w:val="5"/>
        </w:numPr>
        <w:tabs>
          <w:tab w:val="left" w:pos="1241"/>
        </w:tabs>
        <w:spacing w:before="186" w:after="0" w:line="240" w:lineRule="auto"/>
        <w:ind w:left="1240" w:right="0" w:hanging="701"/>
        <w:jc w:val="left"/>
        <w:outlineLvl w:val="2"/>
        <w:rPr>
          <w:rFonts w:ascii="Times New Roman" w:eastAsia="Times New Roman"/>
        </w:rPr>
      </w:pPr>
      <w:bookmarkStart w:id="47" w:name="_Toc3768"/>
      <w:r>
        <w:t>相关导则及技术规范依据</w:t>
      </w:r>
      <w:bookmarkEnd w:id="47"/>
    </w:p>
    <w:p>
      <w:pPr>
        <w:pStyle w:val="18"/>
        <w:numPr>
          <w:ilvl w:val="0"/>
          <w:numId w:val="8"/>
        </w:numPr>
        <w:tabs>
          <w:tab w:val="left" w:pos="1621"/>
        </w:tabs>
        <w:spacing w:before="211" w:after="0" w:line="240" w:lineRule="auto"/>
        <w:ind w:left="1621" w:right="0" w:hanging="601"/>
        <w:jc w:val="left"/>
        <w:rPr>
          <w:color w:val="0000FF"/>
          <w:sz w:val="24"/>
        </w:rPr>
      </w:pPr>
      <w:r>
        <w:rPr>
          <w:color w:val="0000FF"/>
          <w:sz w:val="24"/>
        </w:rPr>
        <w:t>《建设项目环境影响评价技术导则</w:t>
      </w:r>
      <w:r>
        <w:rPr>
          <w:rFonts w:ascii="Times New Roman" w:hAnsi="Times New Roman" w:eastAsia="Times New Roman"/>
          <w:color w:val="0000FF"/>
          <w:sz w:val="24"/>
        </w:rPr>
        <w:t>·</w:t>
      </w:r>
      <w:r>
        <w:rPr>
          <w:color w:val="0000FF"/>
          <w:sz w:val="24"/>
        </w:rPr>
        <w:t>总纲》（</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2.1-2016</w:t>
      </w:r>
      <w:r>
        <w:rPr>
          <w:color w:val="0000FF"/>
          <w:sz w:val="24"/>
        </w:rPr>
        <w:t>）；</w:t>
      </w:r>
    </w:p>
    <w:p>
      <w:pPr>
        <w:pStyle w:val="18"/>
        <w:numPr>
          <w:ilvl w:val="0"/>
          <w:numId w:val="8"/>
        </w:numPr>
        <w:tabs>
          <w:tab w:val="left" w:pos="1621"/>
        </w:tabs>
        <w:spacing w:before="163"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大气环境》（</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2.2-2018</w:t>
      </w:r>
      <w:r>
        <w:rPr>
          <w:color w:val="0000FF"/>
          <w:sz w:val="24"/>
        </w:rPr>
        <w:t>）；</w:t>
      </w:r>
    </w:p>
    <w:p>
      <w:pPr>
        <w:pStyle w:val="18"/>
        <w:numPr>
          <w:ilvl w:val="0"/>
          <w:numId w:val="8"/>
        </w:numPr>
        <w:tabs>
          <w:tab w:val="left" w:pos="1621"/>
        </w:tabs>
        <w:spacing w:before="163"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地表水环境》（</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2.3-2018</w:t>
      </w:r>
      <w:r>
        <w:rPr>
          <w:color w:val="0000FF"/>
          <w:sz w:val="24"/>
        </w:rPr>
        <w:t>）；</w:t>
      </w:r>
    </w:p>
    <w:p>
      <w:pPr>
        <w:pStyle w:val="18"/>
        <w:numPr>
          <w:ilvl w:val="0"/>
          <w:numId w:val="8"/>
        </w:numPr>
        <w:tabs>
          <w:tab w:val="left" w:pos="1621"/>
        </w:tabs>
        <w:spacing w:before="163"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地下水环境》（</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610-2016</w:t>
      </w:r>
      <w:r>
        <w:rPr>
          <w:color w:val="0000FF"/>
          <w:sz w:val="24"/>
        </w:rPr>
        <w:t>）；</w:t>
      </w:r>
    </w:p>
    <w:p>
      <w:pPr>
        <w:pStyle w:val="18"/>
        <w:numPr>
          <w:ilvl w:val="0"/>
          <w:numId w:val="8"/>
        </w:numPr>
        <w:tabs>
          <w:tab w:val="left" w:pos="1621"/>
        </w:tabs>
        <w:spacing w:before="163"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声环境》（</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2.4-2009</w:t>
      </w:r>
      <w:r>
        <w:rPr>
          <w:color w:val="0000FF"/>
          <w:sz w:val="24"/>
        </w:rPr>
        <w:t>）；</w:t>
      </w:r>
    </w:p>
    <w:p>
      <w:pPr>
        <w:pStyle w:val="18"/>
        <w:numPr>
          <w:ilvl w:val="0"/>
          <w:numId w:val="8"/>
        </w:numPr>
        <w:tabs>
          <w:tab w:val="left" w:pos="1621"/>
        </w:tabs>
        <w:spacing w:before="163"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土壤环境（试行）》（</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964-2018</w:t>
      </w:r>
      <w:r>
        <w:rPr>
          <w:color w:val="0000FF"/>
          <w:sz w:val="24"/>
        </w:rPr>
        <w:t>）</w:t>
      </w:r>
    </w:p>
    <w:p>
      <w:pPr>
        <w:pStyle w:val="18"/>
        <w:numPr>
          <w:ilvl w:val="0"/>
          <w:numId w:val="8"/>
        </w:numPr>
        <w:tabs>
          <w:tab w:val="left" w:pos="1621"/>
        </w:tabs>
        <w:spacing w:before="160" w:after="0" w:line="240" w:lineRule="auto"/>
        <w:ind w:left="1621" w:right="0" w:hanging="601"/>
        <w:jc w:val="left"/>
        <w:rPr>
          <w:color w:val="0000FF"/>
          <w:sz w:val="24"/>
        </w:rPr>
      </w:pPr>
      <w:r>
        <w:rPr>
          <w:color w:val="0000FF"/>
          <w:sz w:val="24"/>
        </w:rPr>
        <w:t>《环境影响评价技术导则</w:t>
      </w:r>
      <w:r>
        <w:rPr>
          <w:rFonts w:ascii="Times New Roman" w:hAnsi="Times New Roman" w:eastAsia="Times New Roman"/>
          <w:color w:val="0000FF"/>
          <w:sz w:val="24"/>
        </w:rPr>
        <w:t>·</w:t>
      </w:r>
      <w:r>
        <w:rPr>
          <w:color w:val="0000FF"/>
          <w:sz w:val="24"/>
        </w:rPr>
        <w:t>生态影响》（</w:t>
      </w:r>
      <w:r>
        <w:rPr>
          <w:rFonts w:ascii="Times New Roman" w:hAnsi="Times New Roman" w:eastAsia="Times New Roman"/>
          <w:color w:val="0000FF"/>
          <w:sz w:val="24"/>
        </w:rPr>
        <w:t>HJ</w:t>
      </w:r>
      <w:r>
        <w:rPr>
          <w:rFonts w:ascii="Times New Roman" w:hAnsi="Times New Roman" w:eastAsia="Times New Roman"/>
          <w:color w:val="0000FF"/>
          <w:spacing w:val="-1"/>
          <w:sz w:val="24"/>
        </w:rPr>
        <w:t xml:space="preserve"> </w:t>
      </w:r>
      <w:r>
        <w:rPr>
          <w:rFonts w:ascii="Times New Roman" w:hAnsi="Times New Roman" w:eastAsia="Times New Roman"/>
          <w:color w:val="0000FF"/>
          <w:sz w:val="24"/>
        </w:rPr>
        <w:t>19-2011</w:t>
      </w:r>
      <w:r>
        <w:rPr>
          <w:color w:val="0000FF"/>
          <w:sz w:val="24"/>
        </w:rPr>
        <w:t>）；</w:t>
      </w:r>
    </w:p>
    <w:p>
      <w:pPr>
        <w:pStyle w:val="18"/>
        <w:numPr>
          <w:ilvl w:val="0"/>
          <w:numId w:val="8"/>
        </w:numPr>
        <w:tabs>
          <w:tab w:val="left" w:pos="1621"/>
        </w:tabs>
        <w:spacing w:before="163" w:after="0" w:line="240" w:lineRule="auto"/>
        <w:ind w:left="1621" w:right="0" w:hanging="601"/>
        <w:jc w:val="left"/>
        <w:rPr>
          <w:color w:val="0000FF"/>
          <w:sz w:val="24"/>
        </w:rPr>
      </w:pPr>
      <w:r>
        <w:rPr>
          <w:color w:val="0000FF"/>
          <w:sz w:val="24"/>
        </w:rPr>
        <w:t>《建设项目环境风险评价技术导则》（</w:t>
      </w:r>
      <w:r>
        <w:rPr>
          <w:rFonts w:ascii="Times New Roman" w:eastAsia="Times New Roman"/>
          <w:color w:val="0000FF"/>
          <w:sz w:val="24"/>
        </w:rPr>
        <w:t>HJ</w:t>
      </w:r>
      <w:r>
        <w:rPr>
          <w:rFonts w:ascii="Times New Roman" w:eastAsia="Times New Roman"/>
          <w:color w:val="0000FF"/>
          <w:spacing w:val="-1"/>
          <w:sz w:val="24"/>
        </w:rPr>
        <w:t xml:space="preserve"> </w:t>
      </w:r>
      <w:r>
        <w:rPr>
          <w:rFonts w:ascii="Times New Roman" w:eastAsia="Times New Roman"/>
          <w:color w:val="0000FF"/>
          <w:sz w:val="24"/>
        </w:rPr>
        <w:t>169-2018</w:t>
      </w:r>
      <w:r>
        <w:rPr>
          <w:color w:val="0000FF"/>
          <w:sz w:val="24"/>
        </w:rPr>
        <w:t>）；</w:t>
      </w:r>
    </w:p>
    <w:p>
      <w:pPr>
        <w:pStyle w:val="18"/>
        <w:numPr>
          <w:ilvl w:val="0"/>
          <w:numId w:val="8"/>
        </w:numPr>
        <w:tabs>
          <w:tab w:val="left" w:pos="1621"/>
        </w:tabs>
        <w:spacing w:before="163" w:after="0" w:line="240" w:lineRule="auto"/>
        <w:ind w:left="1621" w:right="0" w:hanging="601"/>
        <w:jc w:val="left"/>
        <w:rPr>
          <w:color w:val="0000FF"/>
          <w:sz w:val="24"/>
        </w:rPr>
      </w:pPr>
      <w:r>
        <w:rPr>
          <w:color w:val="0000FF"/>
          <w:sz w:val="24"/>
        </w:rPr>
        <w:t>《畜禽养殖业污染防治技术规范》（</w:t>
      </w:r>
      <w:r>
        <w:rPr>
          <w:rFonts w:ascii="Times New Roman" w:eastAsia="Times New Roman"/>
          <w:color w:val="0000FF"/>
          <w:sz w:val="24"/>
        </w:rPr>
        <w:t>HJ/T81-2001</w:t>
      </w:r>
      <w:r>
        <w:rPr>
          <w:color w:val="0000FF"/>
          <w:sz w:val="24"/>
        </w:rPr>
        <w:t>）；</w:t>
      </w:r>
    </w:p>
    <w:p>
      <w:pPr>
        <w:pStyle w:val="18"/>
        <w:numPr>
          <w:ilvl w:val="0"/>
          <w:numId w:val="8"/>
        </w:numPr>
        <w:tabs>
          <w:tab w:val="left" w:pos="1741"/>
        </w:tabs>
        <w:spacing w:before="163" w:after="0" w:line="240" w:lineRule="auto"/>
        <w:ind w:left="1741" w:right="0" w:hanging="721"/>
        <w:jc w:val="left"/>
        <w:rPr>
          <w:color w:val="0000FF"/>
          <w:sz w:val="24"/>
        </w:rPr>
      </w:pPr>
      <w:r>
        <w:rPr>
          <w:color w:val="0000FF"/>
          <w:sz w:val="24"/>
        </w:rPr>
        <w:t>《畜禽养殖业污染治理工程技术规范》（</w:t>
      </w:r>
      <w:r>
        <w:rPr>
          <w:rFonts w:ascii="Times New Roman" w:eastAsia="Times New Roman"/>
          <w:color w:val="0000FF"/>
          <w:sz w:val="24"/>
        </w:rPr>
        <w:t>HJ497-2009</w:t>
      </w:r>
      <w:r>
        <w:rPr>
          <w:color w:val="0000FF"/>
          <w:sz w:val="24"/>
        </w:rPr>
        <w:t>）；</w:t>
      </w:r>
    </w:p>
    <w:p>
      <w:pPr>
        <w:pStyle w:val="18"/>
        <w:numPr>
          <w:ilvl w:val="0"/>
          <w:numId w:val="8"/>
        </w:numPr>
        <w:tabs>
          <w:tab w:val="left" w:pos="1732"/>
        </w:tabs>
        <w:spacing w:before="163" w:after="0" w:line="240" w:lineRule="auto"/>
        <w:ind w:left="1731" w:right="0" w:hanging="712"/>
        <w:jc w:val="left"/>
        <w:rPr>
          <w:color w:val="0000FF"/>
          <w:sz w:val="24"/>
        </w:rPr>
      </w:pPr>
      <w:r>
        <w:rPr>
          <w:color w:val="0000FF"/>
          <w:sz w:val="24"/>
        </w:rPr>
        <w:t>《畜禽养殖产地环境评价规范》（</w:t>
      </w:r>
      <w:r>
        <w:rPr>
          <w:rFonts w:ascii="Times New Roman" w:eastAsia="Times New Roman"/>
          <w:color w:val="0000FF"/>
          <w:sz w:val="24"/>
        </w:rPr>
        <w:t>HJ568-2010</w:t>
      </w:r>
      <w:r>
        <w:rPr>
          <w:color w:val="0000FF"/>
          <w:sz w:val="24"/>
        </w:rPr>
        <w:t>）；</w:t>
      </w:r>
    </w:p>
    <w:p>
      <w:pPr>
        <w:pStyle w:val="18"/>
        <w:numPr>
          <w:ilvl w:val="0"/>
          <w:numId w:val="8"/>
        </w:numPr>
        <w:tabs>
          <w:tab w:val="left" w:pos="1741"/>
        </w:tabs>
        <w:spacing w:before="163" w:after="0" w:line="240" w:lineRule="auto"/>
        <w:ind w:left="1741" w:right="0" w:hanging="721"/>
        <w:jc w:val="left"/>
        <w:rPr>
          <w:color w:val="0000FF"/>
          <w:sz w:val="24"/>
        </w:rPr>
      </w:pPr>
      <w:r>
        <w:rPr>
          <w:color w:val="0000FF"/>
          <w:spacing w:val="-1"/>
          <w:sz w:val="24"/>
        </w:rPr>
        <w:t>《病害动物和病害动物产品生物案例处理规程》</w:t>
      </w:r>
      <w:r>
        <w:rPr>
          <w:color w:val="0000FF"/>
          <w:sz w:val="24"/>
        </w:rPr>
        <w:t>（</w:t>
      </w:r>
      <w:r>
        <w:rPr>
          <w:rFonts w:ascii="Times New Roman" w:eastAsia="Times New Roman"/>
          <w:color w:val="0000FF"/>
          <w:sz w:val="24"/>
        </w:rPr>
        <w:t>GB16548-2006</w:t>
      </w:r>
      <w:r>
        <w:rPr>
          <w:color w:val="0000FF"/>
          <w:sz w:val="24"/>
        </w:rPr>
        <w:t>）；</w:t>
      </w:r>
    </w:p>
    <w:p>
      <w:pPr>
        <w:spacing w:after="0" w:line="240" w:lineRule="auto"/>
        <w:jc w:val="left"/>
        <w:rPr>
          <w:color w:val="0000FF"/>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color w:val="0000FF"/>
          <w:sz w:val="9"/>
        </w:rPr>
      </w:pPr>
    </w:p>
    <w:p>
      <w:pPr>
        <w:pStyle w:val="18"/>
        <w:numPr>
          <w:ilvl w:val="0"/>
          <w:numId w:val="8"/>
        </w:numPr>
        <w:tabs>
          <w:tab w:val="left" w:pos="1741"/>
        </w:tabs>
        <w:spacing w:before="76" w:after="0" w:line="240" w:lineRule="auto"/>
        <w:ind w:left="1741" w:right="0" w:hanging="721"/>
        <w:jc w:val="left"/>
        <w:rPr>
          <w:color w:val="0000FF"/>
          <w:sz w:val="24"/>
        </w:rPr>
      </w:pPr>
      <w:r>
        <w:rPr>
          <w:color w:val="0000FF"/>
          <w:sz w:val="24"/>
        </w:rPr>
        <w:t>《粪便无害化卫生要求》（</w:t>
      </w:r>
      <w:r>
        <w:rPr>
          <w:rFonts w:ascii="Times New Roman" w:eastAsia="Times New Roman"/>
          <w:color w:val="0000FF"/>
          <w:sz w:val="24"/>
        </w:rPr>
        <w:t>GB7959-2012</w:t>
      </w:r>
      <w:r>
        <w:rPr>
          <w:color w:val="0000FF"/>
          <w:sz w:val="24"/>
        </w:rPr>
        <w:t>）；</w:t>
      </w:r>
    </w:p>
    <w:p>
      <w:pPr>
        <w:pStyle w:val="18"/>
        <w:numPr>
          <w:ilvl w:val="0"/>
          <w:numId w:val="8"/>
        </w:numPr>
        <w:tabs>
          <w:tab w:val="left" w:pos="1741"/>
        </w:tabs>
        <w:spacing w:before="161" w:after="0" w:line="240" w:lineRule="auto"/>
        <w:ind w:left="1741" w:right="0" w:hanging="721"/>
        <w:jc w:val="left"/>
        <w:rPr>
          <w:color w:val="0000FF"/>
          <w:sz w:val="24"/>
        </w:rPr>
      </w:pPr>
      <w:r>
        <w:rPr>
          <w:color w:val="0000FF"/>
          <w:sz w:val="24"/>
        </w:rPr>
        <w:t>《畜禽粪便无害化处理技术规范》（</w:t>
      </w:r>
      <w:r>
        <w:rPr>
          <w:rFonts w:ascii="Times New Roman" w:hAnsi="Times New Roman" w:eastAsia="Times New Roman"/>
          <w:color w:val="0000FF"/>
          <w:sz w:val="24"/>
        </w:rPr>
        <w:t>GB∕T</w:t>
      </w:r>
      <w:r>
        <w:rPr>
          <w:rFonts w:ascii="Times New Roman" w:hAnsi="Times New Roman" w:eastAsia="Times New Roman"/>
          <w:color w:val="0000FF"/>
          <w:spacing w:val="-4"/>
          <w:sz w:val="24"/>
        </w:rPr>
        <w:t xml:space="preserve"> </w:t>
      </w:r>
      <w:r>
        <w:rPr>
          <w:rFonts w:ascii="Times New Roman" w:hAnsi="Times New Roman" w:eastAsia="Times New Roman"/>
          <w:color w:val="0000FF"/>
          <w:sz w:val="24"/>
        </w:rPr>
        <w:t>36195-2018</w:t>
      </w:r>
      <w:r>
        <w:rPr>
          <w:color w:val="0000FF"/>
          <w:sz w:val="24"/>
        </w:rPr>
        <w:t>）；</w:t>
      </w:r>
    </w:p>
    <w:p>
      <w:pPr>
        <w:pStyle w:val="18"/>
        <w:numPr>
          <w:ilvl w:val="0"/>
          <w:numId w:val="8"/>
        </w:numPr>
        <w:tabs>
          <w:tab w:val="left" w:pos="1741"/>
        </w:tabs>
        <w:spacing w:before="162" w:after="0" w:line="240" w:lineRule="auto"/>
        <w:ind w:left="1741" w:right="0" w:hanging="721"/>
        <w:jc w:val="left"/>
        <w:rPr>
          <w:color w:val="0000FF"/>
          <w:sz w:val="24"/>
        </w:rPr>
      </w:pPr>
      <w:r>
        <w:rPr>
          <w:color w:val="0000FF"/>
          <w:sz w:val="24"/>
        </w:rPr>
        <w:t>《病死动物无害化处理技术规范》农医发〔</w:t>
      </w:r>
      <w:r>
        <w:rPr>
          <w:rFonts w:ascii="Times New Roman" w:eastAsia="Times New Roman"/>
          <w:color w:val="0000FF"/>
          <w:sz w:val="24"/>
        </w:rPr>
        <w:t>2013</w:t>
      </w:r>
      <w:r>
        <w:rPr>
          <w:color w:val="0000FF"/>
          <w:sz w:val="24"/>
        </w:rPr>
        <w:t>〕</w:t>
      </w:r>
      <w:r>
        <w:rPr>
          <w:rFonts w:ascii="Times New Roman" w:eastAsia="Times New Roman"/>
          <w:color w:val="0000FF"/>
          <w:sz w:val="24"/>
        </w:rPr>
        <w:t>34</w:t>
      </w:r>
      <w:r>
        <w:rPr>
          <w:color w:val="0000FF"/>
          <w:sz w:val="24"/>
        </w:rPr>
        <w:t>号；</w:t>
      </w:r>
    </w:p>
    <w:p>
      <w:pPr>
        <w:pStyle w:val="18"/>
        <w:numPr>
          <w:ilvl w:val="0"/>
          <w:numId w:val="8"/>
        </w:numPr>
        <w:tabs>
          <w:tab w:val="left" w:pos="1741"/>
        </w:tabs>
        <w:spacing w:before="163" w:after="0" w:line="240" w:lineRule="auto"/>
        <w:ind w:left="1741" w:right="0" w:hanging="721"/>
        <w:jc w:val="left"/>
        <w:rPr>
          <w:color w:val="0000FF"/>
          <w:sz w:val="24"/>
        </w:rPr>
      </w:pPr>
      <w:r>
        <w:rPr>
          <w:color w:val="0000FF"/>
          <w:spacing w:val="-4"/>
          <w:sz w:val="24"/>
        </w:rPr>
        <w:t>《规模畜禽养殖场污染防治最佳可行技术指南</w:t>
      </w:r>
      <w:r>
        <w:rPr>
          <w:color w:val="0000FF"/>
          <w:spacing w:val="-3"/>
          <w:sz w:val="24"/>
        </w:rPr>
        <w:t>（</w:t>
      </w:r>
      <w:r>
        <w:rPr>
          <w:color w:val="0000FF"/>
          <w:spacing w:val="1"/>
          <w:sz w:val="24"/>
        </w:rPr>
        <w:t>试行</w:t>
      </w:r>
      <w:r>
        <w:rPr>
          <w:color w:val="0000FF"/>
          <w:spacing w:val="-80"/>
          <w:sz w:val="24"/>
        </w:rPr>
        <w:t>）</w:t>
      </w:r>
      <w:r>
        <w:rPr>
          <w:color w:val="0000FF"/>
          <w:spacing w:val="-156"/>
          <w:sz w:val="24"/>
        </w:rPr>
        <w:t>》</w:t>
      </w:r>
      <w:r>
        <w:rPr>
          <w:color w:val="0000FF"/>
          <w:spacing w:val="-3"/>
          <w:sz w:val="24"/>
        </w:rPr>
        <w:t>（</w:t>
      </w:r>
      <w:r>
        <w:rPr>
          <w:rFonts w:ascii="Times New Roman" w:eastAsia="Times New Roman"/>
          <w:color w:val="0000FF"/>
          <w:spacing w:val="-1"/>
          <w:sz w:val="24"/>
        </w:rPr>
        <w:t>H</w:t>
      </w:r>
      <w:r>
        <w:rPr>
          <w:rFonts w:ascii="Times New Roman" w:eastAsia="Times New Roman"/>
          <w:color w:val="0000FF"/>
          <w:spacing w:val="2"/>
          <w:sz w:val="24"/>
        </w:rPr>
        <w:t>J</w:t>
      </w:r>
      <w:r>
        <w:rPr>
          <w:rFonts w:ascii="Times New Roman" w:eastAsia="Times New Roman"/>
          <w:color w:val="0000FF"/>
          <w:spacing w:val="-1"/>
          <w:sz w:val="24"/>
        </w:rPr>
        <w:t>-</w:t>
      </w:r>
      <w:r>
        <w:rPr>
          <w:rFonts w:ascii="Times New Roman" w:eastAsia="Times New Roman"/>
          <w:color w:val="0000FF"/>
          <w:spacing w:val="-2"/>
          <w:sz w:val="24"/>
        </w:rPr>
        <w:t>B</w:t>
      </w:r>
      <w:r>
        <w:rPr>
          <w:rFonts w:ascii="Times New Roman" w:eastAsia="Times New Roman"/>
          <w:color w:val="0000FF"/>
          <w:spacing w:val="-23"/>
          <w:sz w:val="24"/>
        </w:rPr>
        <w:t>A</w:t>
      </w:r>
      <w:r>
        <w:rPr>
          <w:rFonts w:ascii="Times New Roman" w:eastAsia="Times New Roman"/>
          <w:color w:val="0000FF"/>
          <w:spacing w:val="-22"/>
          <w:sz w:val="24"/>
        </w:rPr>
        <w:t>T</w:t>
      </w:r>
      <w:r>
        <w:rPr>
          <w:rFonts w:ascii="Times New Roman" w:eastAsia="Times New Roman"/>
          <w:color w:val="0000FF"/>
          <w:spacing w:val="-4"/>
          <w:sz w:val="24"/>
        </w:rPr>
        <w:t>-</w:t>
      </w:r>
      <w:r>
        <w:rPr>
          <w:rFonts w:ascii="Times New Roman" w:eastAsia="Times New Roman"/>
          <w:color w:val="0000FF"/>
          <w:sz w:val="24"/>
        </w:rPr>
        <w:t>10</w:t>
      </w:r>
      <w:r>
        <w:rPr>
          <w:color w:val="0000FF"/>
          <w:spacing w:val="-120"/>
          <w:sz w:val="24"/>
        </w:rPr>
        <w:t>）</w:t>
      </w:r>
      <w:r>
        <w:rPr>
          <w:color w:val="0000FF"/>
          <w:sz w:val="24"/>
        </w:rPr>
        <w:t>，</w:t>
      </w:r>
    </w:p>
    <w:p>
      <w:pPr>
        <w:pStyle w:val="7"/>
        <w:spacing w:before="163"/>
        <w:rPr>
          <w:color w:val="0000FF"/>
        </w:rPr>
      </w:pPr>
      <w:r>
        <w:rPr>
          <w:rFonts w:ascii="Times New Roman" w:eastAsia="Times New Roman"/>
          <w:color w:val="0000FF"/>
        </w:rPr>
        <w:t>2013</w:t>
      </w:r>
      <w:r>
        <w:rPr>
          <w:color w:val="0000FF"/>
        </w:rPr>
        <w:t>年</w:t>
      </w:r>
      <w:r>
        <w:rPr>
          <w:rFonts w:ascii="Times New Roman" w:eastAsia="Times New Roman"/>
          <w:color w:val="0000FF"/>
        </w:rPr>
        <w:t>7</w:t>
      </w:r>
      <w:r>
        <w:rPr>
          <w:color w:val="0000FF"/>
        </w:rPr>
        <w:t>月</w:t>
      </w:r>
      <w:r>
        <w:rPr>
          <w:rFonts w:ascii="Times New Roman" w:eastAsia="Times New Roman"/>
          <w:color w:val="0000FF"/>
        </w:rPr>
        <w:t>17</w:t>
      </w:r>
      <w:r>
        <w:rPr>
          <w:color w:val="0000FF"/>
        </w:rPr>
        <w:t>日发布；</w:t>
      </w:r>
    </w:p>
    <w:p>
      <w:pPr>
        <w:pStyle w:val="18"/>
        <w:numPr>
          <w:ilvl w:val="0"/>
          <w:numId w:val="8"/>
        </w:numPr>
        <w:tabs>
          <w:tab w:val="left" w:pos="1741"/>
        </w:tabs>
        <w:spacing w:before="163" w:after="0" w:line="367" w:lineRule="auto"/>
        <w:ind w:left="540" w:right="577" w:firstLine="480"/>
        <w:jc w:val="left"/>
        <w:rPr>
          <w:color w:val="0000FF"/>
          <w:sz w:val="24"/>
        </w:rPr>
      </w:pPr>
      <w:r>
        <w:rPr>
          <w:color w:val="0000FF"/>
          <w:spacing w:val="-3"/>
          <w:sz w:val="24"/>
        </w:rPr>
        <w:t>《农业部畜禽规模养殖场粪污资源化利用设施建设规范</w:t>
      </w:r>
      <w:r>
        <w:rPr>
          <w:color w:val="0000FF"/>
          <w:sz w:val="24"/>
        </w:rPr>
        <w:t>（试行</w:t>
      </w:r>
      <w:r>
        <w:rPr>
          <w:color w:val="0000FF"/>
          <w:spacing w:val="-20"/>
          <w:sz w:val="24"/>
        </w:rPr>
        <w:t>）》</w:t>
      </w:r>
      <w:r>
        <w:rPr>
          <w:color w:val="0000FF"/>
          <w:spacing w:val="-5"/>
          <w:sz w:val="24"/>
        </w:rPr>
        <w:t>农办牧〔</w:t>
      </w:r>
      <w:r>
        <w:rPr>
          <w:rFonts w:ascii="Times New Roman" w:eastAsia="Times New Roman"/>
          <w:color w:val="0000FF"/>
          <w:sz w:val="24"/>
        </w:rPr>
        <w:t>2018</w:t>
      </w:r>
      <w:r>
        <w:rPr>
          <w:color w:val="0000FF"/>
          <w:sz w:val="24"/>
        </w:rPr>
        <w:t>〕</w:t>
      </w:r>
      <w:r>
        <w:rPr>
          <w:rFonts w:ascii="Times New Roman" w:eastAsia="Times New Roman"/>
          <w:color w:val="0000FF"/>
          <w:sz w:val="24"/>
        </w:rPr>
        <w:t>2</w:t>
      </w:r>
      <w:r>
        <w:rPr>
          <w:color w:val="0000FF"/>
          <w:sz w:val="24"/>
        </w:rPr>
        <w:t>号，</w:t>
      </w:r>
      <w:r>
        <w:rPr>
          <w:rFonts w:ascii="Times New Roman" w:eastAsia="Times New Roman"/>
          <w:color w:val="0000FF"/>
          <w:sz w:val="24"/>
        </w:rPr>
        <w:t>2018</w:t>
      </w:r>
      <w:r>
        <w:rPr>
          <w:color w:val="0000FF"/>
          <w:spacing w:val="-30"/>
          <w:sz w:val="24"/>
        </w:rPr>
        <w:t>年</w:t>
      </w:r>
      <w:r>
        <w:rPr>
          <w:rFonts w:ascii="Times New Roman" w:eastAsia="Times New Roman"/>
          <w:color w:val="0000FF"/>
          <w:sz w:val="24"/>
        </w:rPr>
        <w:t>1</w:t>
      </w:r>
      <w:r>
        <w:rPr>
          <w:color w:val="0000FF"/>
          <w:spacing w:val="-30"/>
          <w:sz w:val="24"/>
        </w:rPr>
        <w:t>月</w:t>
      </w:r>
      <w:r>
        <w:rPr>
          <w:rFonts w:ascii="Times New Roman" w:eastAsia="Times New Roman"/>
          <w:color w:val="0000FF"/>
          <w:spacing w:val="-3"/>
          <w:sz w:val="24"/>
        </w:rPr>
        <w:t>11</w:t>
      </w:r>
      <w:r>
        <w:rPr>
          <w:color w:val="0000FF"/>
          <w:sz w:val="24"/>
        </w:rPr>
        <w:t>日；</w:t>
      </w:r>
    </w:p>
    <w:p>
      <w:pPr>
        <w:pStyle w:val="18"/>
        <w:numPr>
          <w:ilvl w:val="0"/>
          <w:numId w:val="8"/>
        </w:numPr>
        <w:tabs>
          <w:tab w:val="left" w:pos="1741"/>
        </w:tabs>
        <w:spacing w:before="0" w:after="0" w:line="305" w:lineRule="exact"/>
        <w:ind w:left="1741" w:right="0" w:hanging="721"/>
        <w:jc w:val="left"/>
        <w:rPr>
          <w:color w:val="0000FF"/>
          <w:sz w:val="24"/>
        </w:rPr>
      </w:pPr>
      <w:r>
        <w:rPr>
          <w:color w:val="0000FF"/>
          <w:spacing w:val="-3"/>
          <w:sz w:val="24"/>
        </w:rPr>
        <w:t>《排污许可证申请与核发技术规范畜禽养殖行业》（</w:t>
      </w:r>
      <w:r>
        <w:rPr>
          <w:rFonts w:ascii="Times New Roman" w:eastAsia="Times New Roman"/>
          <w:color w:val="0000FF"/>
          <w:spacing w:val="-3"/>
          <w:sz w:val="24"/>
        </w:rPr>
        <w:t>HJ1029-2019</w:t>
      </w:r>
      <w:r>
        <w:rPr>
          <w:color w:val="0000FF"/>
          <w:spacing w:val="-3"/>
          <w:sz w:val="24"/>
        </w:rPr>
        <w:t>）</w:t>
      </w:r>
      <w:r>
        <w:rPr>
          <w:color w:val="0000FF"/>
          <w:sz w:val="24"/>
        </w:rPr>
        <w:t>。</w:t>
      </w:r>
    </w:p>
    <w:p>
      <w:pPr>
        <w:pStyle w:val="5"/>
        <w:numPr>
          <w:ilvl w:val="2"/>
          <w:numId w:val="5"/>
        </w:numPr>
        <w:tabs>
          <w:tab w:val="left" w:pos="1241"/>
        </w:tabs>
        <w:spacing w:before="185" w:after="0" w:line="240" w:lineRule="auto"/>
        <w:ind w:left="1240" w:right="0" w:hanging="701"/>
        <w:jc w:val="left"/>
        <w:outlineLvl w:val="2"/>
        <w:rPr>
          <w:rFonts w:ascii="Times New Roman" w:eastAsia="Times New Roman"/>
        </w:rPr>
      </w:pPr>
      <w:bookmarkStart w:id="48" w:name="2.2.5 项目编制依据"/>
      <w:bookmarkEnd w:id="48"/>
      <w:bookmarkStart w:id="49" w:name="2.2.5 项目编制依据"/>
      <w:bookmarkEnd w:id="49"/>
      <w:bookmarkStart w:id="50" w:name="_Toc31909"/>
      <w:r>
        <w:t>项目编制依据</w:t>
      </w:r>
      <w:bookmarkEnd w:id="50"/>
    </w:p>
    <w:p>
      <w:pPr>
        <w:pStyle w:val="18"/>
        <w:numPr>
          <w:ilvl w:val="0"/>
          <w:numId w:val="9"/>
        </w:numPr>
        <w:tabs>
          <w:tab w:val="left" w:pos="1621"/>
        </w:tabs>
        <w:spacing w:before="214" w:after="0" w:line="367" w:lineRule="auto"/>
        <w:ind w:left="540" w:right="577" w:firstLine="480"/>
        <w:jc w:val="left"/>
        <w:rPr>
          <w:color w:val="0000FF"/>
          <w:sz w:val="24"/>
        </w:rPr>
      </w:pPr>
      <w:r>
        <w:rPr>
          <w:color w:val="0000FF"/>
          <w:spacing w:val="-1"/>
          <w:sz w:val="24"/>
        </w:rPr>
        <w:t>《</w:t>
      </w:r>
      <w:r>
        <w:rPr>
          <w:rFonts w:hint="eastAsia"/>
          <w:color w:val="0000FF"/>
          <w:spacing w:val="-1"/>
          <w:sz w:val="24"/>
          <w:lang w:val="en-US" w:eastAsia="zh-CN"/>
        </w:rPr>
        <w:t>莎车县孜热甫夏提良种繁育中心环境质量现状监测方案</w:t>
      </w:r>
      <w:r>
        <w:rPr>
          <w:color w:val="0000FF"/>
          <w:spacing w:val="-1"/>
          <w:sz w:val="24"/>
        </w:rPr>
        <w:t>》，</w:t>
      </w:r>
      <w:r>
        <w:rPr>
          <w:rFonts w:hint="eastAsia"/>
          <w:color w:val="0000FF"/>
          <w:spacing w:val="-1"/>
          <w:sz w:val="24"/>
          <w:lang w:val="en-US" w:eastAsia="zh-CN"/>
        </w:rPr>
        <w:t>莎车县畜牧兽医局</w:t>
      </w:r>
      <w:r>
        <w:rPr>
          <w:color w:val="0000FF"/>
          <w:sz w:val="24"/>
        </w:rPr>
        <w:t>，</w:t>
      </w:r>
      <w:r>
        <w:rPr>
          <w:rFonts w:ascii="Times New Roman" w:eastAsia="Times New Roman"/>
          <w:color w:val="0000FF"/>
          <w:sz w:val="24"/>
        </w:rPr>
        <w:t>2019</w:t>
      </w:r>
      <w:r>
        <w:rPr>
          <w:color w:val="0000FF"/>
          <w:spacing w:val="-30"/>
          <w:sz w:val="24"/>
        </w:rPr>
        <w:t>年</w:t>
      </w:r>
      <w:r>
        <w:rPr>
          <w:rFonts w:hint="eastAsia" w:ascii="Times New Roman" w:eastAsia="宋体"/>
          <w:color w:val="0000FF"/>
          <w:sz w:val="24"/>
          <w:lang w:val="en-US" w:eastAsia="zh-CN"/>
        </w:rPr>
        <w:t>12</w:t>
      </w:r>
      <w:r>
        <w:rPr>
          <w:color w:val="0000FF"/>
          <w:sz w:val="24"/>
        </w:rPr>
        <w:t>月；</w:t>
      </w:r>
    </w:p>
    <w:p>
      <w:pPr>
        <w:pStyle w:val="18"/>
        <w:numPr>
          <w:ilvl w:val="0"/>
          <w:numId w:val="9"/>
        </w:numPr>
        <w:tabs>
          <w:tab w:val="left" w:pos="1621"/>
        </w:tabs>
        <w:spacing w:before="0" w:after="0" w:line="305" w:lineRule="exact"/>
        <w:ind w:left="1621" w:right="0" w:hanging="601"/>
        <w:jc w:val="left"/>
        <w:rPr>
          <w:color w:val="0000FF"/>
          <w:sz w:val="24"/>
        </w:rPr>
      </w:pPr>
      <w:r>
        <w:rPr>
          <w:rFonts w:hint="eastAsia"/>
          <w:color w:val="0000FF"/>
          <w:sz w:val="24"/>
          <w:lang w:val="en-US" w:eastAsia="zh-CN"/>
        </w:rPr>
        <w:t>莎车</w:t>
      </w:r>
      <w:r>
        <w:rPr>
          <w:color w:val="0000FF"/>
          <w:sz w:val="24"/>
        </w:rPr>
        <w:t>县羊养殖扶贫产业建设项目总平面规划图；</w:t>
      </w:r>
    </w:p>
    <w:p>
      <w:pPr>
        <w:pStyle w:val="18"/>
        <w:numPr>
          <w:ilvl w:val="0"/>
          <w:numId w:val="9"/>
        </w:numPr>
        <w:tabs>
          <w:tab w:val="left" w:pos="1621"/>
        </w:tabs>
        <w:spacing w:before="163" w:after="0" w:line="240" w:lineRule="auto"/>
        <w:ind w:left="1621" w:right="0" w:hanging="601"/>
        <w:jc w:val="left"/>
        <w:rPr>
          <w:color w:val="0000FF"/>
          <w:sz w:val="24"/>
        </w:rPr>
      </w:pPr>
      <w:r>
        <w:rPr>
          <w:color w:val="0000FF"/>
          <w:sz w:val="24"/>
        </w:rPr>
        <w:t>现状检测报告，新疆</w:t>
      </w:r>
      <w:r>
        <w:rPr>
          <w:rFonts w:hint="eastAsia"/>
          <w:color w:val="0000FF"/>
          <w:sz w:val="24"/>
          <w:lang w:val="en-US" w:eastAsia="zh-CN"/>
        </w:rPr>
        <w:t>环疆绿源环保科技</w:t>
      </w:r>
      <w:r>
        <w:rPr>
          <w:color w:val="0000FF"/>
          <w:sz w:val="24"/>
        </w:rPr>
        <w:t>有限公司，</w:t>
      </w:r>
      <w:r>
        <w:rPr>
          <w:rFonts w:ascii="Times New Roman" w:eastAsia="Times New Roman"/>
          <w:color w:val="0000FF"/>
          <w:sz w:val="24"/>
        </w:rPr>
        <w:t>20</w:t>
      </w:r>
      <w:r>
        <w:rPr>
          <w:rFonts w:hint="eastAsia" w:ascii="Times New Roman" w:eastAsia="宋体"/>
          <w:color w:val="0000FF"/>
          <w:sz w:val="24"/>
          <w:lang w:val="en-US" w:eastAsia="zh-CN"/>
        </w:rPr>
        <w:t>20</w:t>
      </w:r>
      <w:r>
        <w:rPr>
          <w:color w:val="0000FF"/>
          <w:spacing w:val="-30"/>
          <w:sz w:val="24"/>
        </w:rPr>
        <w:t>年</w:t>
      </w:r>
      <w:r>
        <w:rPr>
          <w:rFonts w:ascii="Times New Roman" w:eastAsia="Times New Roman"/>
          <w:color w:val="0000FF"/>
          <w:sz w:val="24"/>
        </w:rPr>
        <w:t>1</w:t>
      </w:r>
      <w:r>
        <w:rPr>
          <w:color w:val="0000FF"/>
          <w:spacing w:val="-30"/>
          <w:sz w:val="24"/>
        </w:rPr>
        <w:t>月</w:t>
      </w:r>
      <w:r>
        <w:rPr>
          <w:rFonts w:hint="eastAsia"/>
          <w:color w:val="0000FF"/>
          <w:spacing w:val="-30"/>
          <w:sz w:val="24"/>
          <w:lang w:val="en-US" w:eastAsia="zh-CN"/>
        </w:rPr>
        <w:t>8</w:t>
      </w:r>
      <w:r>
        <w:rPr>
          <w:color w:val="0000FF"/>
          <w:sz w:val="24"/>
        </w:rPr>
        <w:t>日；</w:t>
      </w:r>
    </w:p>
    <w:p>
      <w:pPr>
        <w:pStyle w:val="18"/>
        <w:numPr>
          <w:ilvl w:val="0"/>
          <w:numId w:val="9"/>
        </w:numPr>
        <w:tabs>
          <w:tab w:val="left" w:pos="1621"/>
        </w:tabs>
        <w:spacing w:before="163" w:after="0" w:line="240" w:lineRule="auto"/>
        <w:ind w:left="1621" w:right="0" w:hanging="601"/>
        <w:jc w:val="left"/>
        <w:rPr>
          <w:color w:val="0000FF"/>
          <w:sz w:val="24"/>
        </w:rPr>
      </w:pPr>
      <w:r>
        <w:rPr>
          <w:color w:val="0000FF"/>
          <w:sz w:val="24"/>
        </w:rPr>
        <w:t>关于本项目进行环境影响评价工作的委托书；</w:t>
      </w:r>
    </w:p>
    <w:p>
      <w:pPr>
        <w:pStyle w:val="18"/>
        <w:numPr>
          <w:ilvl w:val="0"/>
          <w:numId w:val="9"/>
        </w:numPr>
        <w:tabs>
          <w:tab w:val="left" w:pos="1621"/>
        </w:tabs>
        <w:spacing w:before="163" w:after="0" w:line="240" w:lineRule="auto"/>
        <w:ind w:left="1621" w:right="0" w:hanging="601"/>
        <w:jc w:val="left"/>
        <w:rPr>
          <w:sz w:val="24"/>
        </w:rPr>
      </w:pPr>
      <w:r>
        <w:rPr>
          <w:color w:val="0000FF"/>
          <w:sz w:val="24"/>
        </w:rPr>
        <w:t>本项目的环境影响评价合同及建设方提供的与项目有关的其他文件。</w:t>
      </w:r>
    </w:p>
    <w:p>
      <w:pPr>
        <w:pStyle w:val="4"/>
        <w:numPr>
          <w:ilvl w:val="1"/>
          <w:numId w:val="5"/>
        </w:numPr>
        <w:tabs>
          <w:tab w:val="left" w:pos="1100"/>
        </w:tabs>
        <w:spacing w:before="208" w:after="0" w:line="240" w:lineRule="auto"/>
        <w:ind w:left="1099" w:right="0" w:hanging="560"/>
        <w:jc w:val="left"/>
        <w:outlineLvl w:val="1"/>
      </w:pPr>
      <w:bookmarkStart w:id="51" w:name="2.3 环境影响因素识别及评价因子筛选"/>
      <w:bookmarkEnd w:id="51"/>
      <w:bookmarkStart w:id="52" w:name="_bookmark10"/>
      <w:bookmarkEnd w:id="52"/>
      <w:bookmarkStart w:id="53" w:name="_Toc22845"/>
      <w:r>
        <w:t>环境影响因素识别及评价因子筛选</w:t>
      </w:r>
      <w:bookmarkEnd w:id="53"/>
    </w:p>
    <w:p>
      <w:pPr>
        <w:pStyle w:val="5"/>
        <w:numPr>
          <w:ilvl w:val="2"/>
          <w:numId w:val="5"/>
        </w:numPr>
        <w:tabs>
          <w:tab w:val="left" w:pos="1241"/>
        </w:tabs>
        <w:spacing w:before="225" w:after="0" w:line="240" w:lineRule="auto"/>
        <w:ind w:left="1240" w:right="0" w:hanging="701"/>
        <w:jc w:val="left"/>
        <w:outlineLvl w:val="2"/>
        <w:rPr>
          <w:rFonts w:ascii="Times New Roman" w:eastAsia="Times New Roman"/>
        </w:rPr>
      </w:pPr>
      <w:bookmarkStart w:id="54" w:name="2.3.1 环境影响因素识别"/>
      <w:bookmarkEnd w:id="54"/>
      <w:bookmarkStart w:id="55" w:name="2.3.1 环境影响因素识别"/>
      <w:bookmarkEnd w:id="55"/>
      <w:bookmarkStart w:id="56" w:name="_Toc20553"/>
      <w:r>
        <w:t>环境影响因素识别</w:t>
      </w:r>
      <w:bookmarkEnd w:id="56"/>
    </w:p>
    <w:p>
      <w:pPr>
        <w:pStyle w:val="7"/>
        <w:spacing w:before="212" w:line="367" w:lineRule="auto"/>
        <w:ind w:right="577" w:firstLine="482"/>
        <w:jc w:val="both"/>
        <w:rPr>
          <w:color w:val="0000FF"/>
        </w:rPr>
      </w:pPr>
      <w:r>
        <w:rPr>
          <w:color w:val="0000FF"/>
          <w:spacing w:val="-6"/>
        </w:rPr>
        <w:t>本项目对环境的主要影响为施工期和运营期。项目施工期间对环境的影响很</w:t>
      </w:r>
      <w:r>
        <w:rPr>
          <w:color w:val="0000FF"/>
          <w:spacing w:val="-7"/>
        </w:rPr>
        <w:t>大程度上取决于工程特点、施工季节以及工程所处的地形、地貌等环境因素，施</w:t>
      </w:r>
      <w:r>
        <w:rPr>
          <w:color w:val="0000FF"/>
          <w:spacing w:val="-6"/>
        </w:rPr>
        <w:t>工期对环境的影响主要为施工扬尘、施工噪声、施工废水及固体废弃物。运营期</w:t>
      </w:r>
      <w:r>
        <w:rPr>
          <w:color w:val="0000FF"/>
          <w:spacing w:val="-11"/>
        </w:rPr>
        <w:t>产生废气、废水、噪声以及固废等污染因素，将相应对场址区域的环境空气、地</w:t>
      </w:r>
      <w:r>
        <w:rPr>
          <w:color w:val="0000FF"/>
          <w:spacing w:val="-6"/>
        </w:rPr>
        <w:t>下水环境及声环境等产生不同程度的影响。综上所述，确定本项目建设可能产生</w:t>
      </w:r>
      <w:r>
        <w:rPr>
          <w:color w:val="0000FF"/>
          <w:spacing w:val="-7"/>
        </w:rPr>
        <w:t>的环境影响因素见表</w:t>
      </w:r>
      <w:r>
        <w:rPr>
          <w:rFonts w:ascii="Times New Roman" w:eastAsia="Times New Roman"/>
          <w:color w:val="0000FF"/>
        </w:rPr>
        <w:t>2.3-1</w:t>
      </w:r>
      <w:r>
        <w:rPr>
          <w:color w:val="0000FF"/>
        </w:rPr>
        <w:t>。</w:t>
      </w:r>
    </w:p>
    <w:p>
      <w:pPr>
        <w:spacing w:after="0" w:line="367" w:lineRule="auto"/>
        <w:jc w:val="both"/>
        <w:rPr>
          <w:color w:val="0000FF"/>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ind w:left="0"/>
        <w:rPr>
          <w:sz w:val="20"/>
        </w:rPr>
      </w:pPr>
    </w:p>
    <w:p>
      <w:pPr>
        <w:pStyle w:val="7"/>
        <w:spacing w:before="9"/>
        <w:ind w:left="0"/>
        <w:rPr>
          <w:sz w:val="15"/>
        </w:rPr>
      </w:pPr>
    </w:p>
    <w:p>
      <w:pPr>
        <w:pStyle w:val="7"/>
        <w:bidi w:val="0"/>
        <w:jc w:val="center"/>
      </w:pPr>
      <w:r>
        <w:t>表2.3-1</w:t>
      </w:r>
      <w:r>
        <w:tab/>
      </w:r>
      <w:r>
        <w:t>项目环境影响识别一览表</w:t>
      </w:r>
    </w:p>
    <w:tbl>
      <w:tblPr>
        <w:tblStyle w:val="15"/>
        <w:tblW w:w="0" w:type="auto"/>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2"/>
        <w:gridCol w:w="567"/>
        <w:gridCol w:w="1079"/>
        <w:gridCol w:w="821"/>
        <w:gridCol w:w="867"/>
        <w:gridCol w:w="850"/>
        <w:gridCol w:w="800"/>
        <w:gridCol w:w="716"/>
        <w:gridCol w:w="721"/>
        <w:gridCol w:w="1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restart"/>
          </w:tcPr>
          <w:p>
            <w:pPr>
              <w:pStyle w:val="19"/>
              <w:spacing w:before="14" w:line="310" w:lineRule="atLeast"/>
              <w:ind w:left="195" w:right="185"/>
              <w:jc w:val="left"/>
              <w:rPr>
                <w:b/>
                <w:color w:val="0000FF"/>
                <w:sz w:val="21"/>
              </w:rPr>
            </w:pPr>
            <w:r>
              <w:rPr>
                <w:b/>
                <w:color w:val="0000FF"/>
                <w:sz w:val="21"/>
              </w:rPr>
              <w:t>阶段</w:t>
            </w:r>
          </w:p>
        </w:tc>
        <w:tc>
          <w:tcPr>
            <w:tcW w:w="1646" w:type="dxa"/>
            <w:gridSpan w:val="2"/>
            <w:vMerge w:val="restart"/>
          </w:tcPr>
          <w:p>
            <w:pPr>
              <w:pStyle w:val="19"/>
              <w:spacing w:before="5"/>
              <w:jc w:val="left"/>
              <w:rPr>
                <w:b/>
                <w:color w:val="0000FF"/>
                <w:sz w:val="16"/>
              </w:rPr>
            </w:pPr>
          </w:p>
          <w:p>
            <w:pPr>
              <w:pStyle w:val="19"/>
              <w:spacing w:before="1"/>
              <w:ind w:left="402"/>
              <w:jc w:val="left"/>
              <w:rPr>
                <w:b/>
                <w:color w:val="0000FF"/>
                <w:sz w:val="21"/>
              </w:rPr>
            </w:pPr>
            <w:r>
              <w:rPr>
                <w:b/>
                <w:color w:val="0000FF"/>
                <w:sz w:val="21"/>
              </w:rPr>
              <w:t>污染因素</w:t>
            </w:r>
          </w:p>
        </w:tc>
        <w:tc>
          <w:tcPr>
            <w:tcW w:w="6075" w:type="dxa"/>
            <w:gridSpan w:val="7"/>
          </w:tcPr>
          <w:p>
            <w:pPr>
              <w:pStyle w:val="19"/>
              <w:spacing w:before="35"/>
              <w:ind w:left="2595" w:right="2586"/>
              <w:rPr>
                <w:b/>
                <w:color w:val="0000FF"/>
                <w:sz w:val="21"/>
              </w:rPr>
            </w:pPr>
            <w:r>
              <w:rPr>
                <w:b/>
                <w:color w:val="0000FF"/>
                <w:sz w:val="21"/>
              </w:rPr>
              <w:t>环境要素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1646" w:type="dxa"/>
            <w:gridSpan w:val="2"/>
            <w:vMerge w:val="continue"/>
            <w:tcBorders>
              <w:top w:val="nil"/>
            </w:tcBorders>
          </w:tcPr>
          <w:p>
            <w:pPr>
              <w:rPr>
                <w:color w:val="0000FF"/>
                <w:sz w:val="2"/>
                <w:szCs w:val="2"/>
              </w:rPr>
            </w:pPr>
          </w:p>
        </w:tc>
        <w:tc>
          <w:tcPr>
            <w:tcW w:w="821" w:type="dxa"/>
          </w:tcPr>
          <w:p>
            <w:pPr>
              <w:pStyle w:val="19"/>
              <w:spacing w:before="36"/>
              <w:ind w:left="178" w:right="171"/>
              <w:rPr>
                <w:b/>
                <w:color w:val="0000FF"/>
                <w:sz w:val="21"/>
              </w:rPr>
            </w:pPr>
            <w:r>
              <w:rPr>
                <w:b/>
                <w:color w:val="0000FF"/>
                <w:sz w:val="21"/>
              </w:rPr>
              <w:t>大气</w:t>
            </w:r>
          </w:p>
        </w:tc>
        <w:tc>
          <w:tcPr>
            <w:tcW w:w="867" w:type="dxa"/>
          </w:tcPr>
          <w:p>
            <w:pPr>
              <w:pStyle w:val="19"/>
              <w:spacing w:before="36"/>
              <w:ind w:left="96" w:right="87"/>
              <w:rPr>
                <w:b/>
                <w:color w:val="0000FF"/>
                <w:sz w:val="21"/>
              </w:rPr>
            </w:pPr>
            <w:r>
              <w:rPr>
                <w:b/>
                <w:color w:val="0000FF"/>
                <w:sz w:val="21"/>
              </w:rPr>
              <w:t>地表水</w:t>
            </w:r>
          </w:p>
        </w:tc>
        <w:tc>
          <w:tcPr>
            <w:tcW w:w="850" w:type="dxa"/>
          </w:tcPr>
          <w:p>
            <w:pPr>
              <w:pStyle w:val="19"/>
              <w:spacing w:before="36"/>
              <w:ind w:left="88" w:right="78"/>
              <w:rPr>
                <w:b/>
                <w:color w:val="0000FF"/>
                <w:sz w:val="21"/>
              </w:rPr>
            </w:pPr>
            <w:r>
              <w:rPr>
                <w:b/>
                <w:color w:val="0000FF"/>
                <w:sz w:val="21"/>
              </w:rPr>
              <w:t>地下水</w:t>
            </w:r>
          </w:p>
        </w:tc>
        <w:tc>
          <w:tcPr>
            <w:tcW w:w="800" w:type="dxa"/>
          </w:tcPr>
          <w:p>
            <w:pPr>
              <w:pStyle w:val="19"/>
              <w:spacing w:before="36"/>
              <w:ind w:left="6"/>
              <w:rPr>
                <w:b/>
                <w:color w:val="0000FF"/>
                <w:sz w:val="21"/>
              </w:rPr>
            </w:pPr>
            <w:r>
              <w:rPr>
                <w:b/>
                <w:color w:val="0000FF"/>
                <w:w w:val="99"/>
                <w:sz w:val="21"/>
              </w:rPr>
              <w:t>声</w:t>
            </w:r>
          </w:p>
        </w:tc>
        <w:tc>
          <w:tcPr>
            <w:tcW w:w="716" w:type="dxa"/>
          </w:tcPr>
          <w:p>
            <w:pPr>
              <w:pStyle w:val="19"/>
              <w:spacing w:before="36"/>
              <w:ind w:left="125" w:right="118"/>
              <w:rPr>
                <w:b/>
                <w:color w:val="0000FF"/>
                <w:sz w:val="21"/>
              </w:rPr>
            </w:pPr>
            <w:r>
              <w:rPr>
                <w:b/>
                <w:color w:val="0000FF"/>
                <w:sz w:val="21"/>
              </w:rPr>
              <w:t>生态</w:t>
            </w:r>
          </w:p>
        </w:tc>
        <w:tc>
          <w:tcPr>
            <w:tcW w:w="721" w:type="dxa"/>
          </w:tcPr>
          <w:p>
            <w:pPr>
              <w:pStyle w:val="19"/>
              <w:spacing w:before="36"/>
              <w:ind w:left="129" w:right="119"/>
              <w:rPr>
                <w:b/>
                <w:color w:val="0000FF"/>
                <w:sz w:val="21"/>
              </w:rPr>
            </w:pPr>
            <w:r>
              <w:rPr>
                <w:b/>
                <w:color w:val="0000FF"/>
                <w:sz w:val="21"/>
              </w:rPr>
              <w:t>土壤</w:t>
            </w:r>
          </w:p>
        </w:tc>
        <w:tc>
          <w:tcPr>
            <w:tcW w:w="1300" w:type="dxa"/>
          </w:tcPr>
          <w:p>
            <w:pPr>
              <w:pStyle w:val="19"/>
              <w:spacing w:before="36"/>
              <w:ind w:left="208" w:right="198"/>
              <w:rPr>
                <w:b/>
                <w:color w:val="0000FF"/>
                <w:sz w:val="21"/>
              </w:rPr>
            </w:pPr>
            <w:r>
              <w:rPr>
                <w:b/>
                <w:color w:val="0000FF"/>
                <w:sz w:val="21"/>
              </w:rPr>
              <w:t>居民生活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restart"/>
          </w:tcPr>
          <w:p>
            <w:pPr>
              <w:pStyle w:val="19"/>
              <w:spacing w:before="4"/>
              <w:jc w:val="left"/>
              <w:rPr>
                <w:b/>
                <w:color w:val="0000FF"/>
                <w:sz w:val="19"/>
              </w:rPr>
            </w:pPr>
          </w:p>
          <w:p>
            <w:pPr>
              <w:pStyle w:val="19"/>
              <w:spacing w:line="278" w:lineRule="auto"/>
              <w:ind w:left="195" w:right="185"/>
              <w:jc w:val="both"/>
              <w:rPr>
                <w:color w:val="0000FF"/>
                <w:sz w:val="21"/>
              </w:rPr>
            </w:pPr>
            <w:r>
              <w:rPr>
                <w:color w:val="0000FF"/>
                <w:sz w:val="21"/>
              </w:rPr>
              <w:t>施工期</w:t>
            </w:r>
          </w:p>
        </w:tc>
        <w:tc>
          <w:tcPr>
            <w:tcW w:w="567" w:type="dxa"/>
            <w:vMerge w:val="restart"/>
          </w:tcPr>
          <w:p>
            <w:pPr>
              <w:pStyle w:val="19"/>
              <w:spacing w:before="10"/>
              <w:jc w:val="left"/>
              <w:rPr>
                <w:b/>
                <w:color w:val="0000FF"/>
                <w:sz w:val="17"/>
              </w:rPr>
            </w:pPr>
          </w:p>
          <w:p>
            <w:pPr>
              <w:pStyle w:val="19"/>
              <w:spacing w:line="278" w:lineRule="auto"/>
              <w:ind w:left="177" w:right="168"/>
              <w:jc w:val="left"/>
              <w:rPr>
                <w:color w:val="0000FF"/>
                <w:sz w:val="21"/>
              </w:rPr>
            </w:pPr>
            <w:r>
              <w:rPr>
                <w:color w:val="0000FF"/>
                <w:sz w:val="21"/>
              </w:rPr>
              <w:t>场区</w:t>
            </w:r>
          </w:p>
        </w:tc>
        <w:tc>
          <w:tcPr>
            <w:tcW w:w="1079" w:type="dxa"/>
          </w:tcPr>
          <w:p>
            <w:pPr>
              <w:pStyle w:val="19"/>
              <w:spacing w:before="34"/>
              <w:ind w:left="95" w:right="91"/>
              <w:rPr>
                <w:color w:val="0000FF"/>
                <w:sz w:val="21"/>
              </w:rPr>
            </w:pPr>
            <w:r>
              <w:rPr>
                <w:color w:val="0000FF"/>
                <w:sz w:val="21"/>
              </w:rPr>
              <w:t>扬尘</w:t>
            </w:r>
          </w:p>
        </w:tc>
        <w:tc>
          <w:tcPr>
            <w:tcW w:w="821" w:type="dxa"/>
          </w:tcPr>
          <w:p>
            <w:pPr>
              <w:pStyle w:val="19"/>
              <w:spacing w:before="34"/>
              <w:ind w:left="178" w:right="170"/>
              <w:rPr>
                <w:rFonts w:ascii="Times New Roman" w:hAnsi="Times New Roman"/>
                <w:color w:val="0000FF"/>
                <w:sz w:val="21"/>
              </w:rPr>
            </w:pPr>
            <w:r>
              <w:rPr>
                <w:color w:val="0000FF"/>
                <w:sz w:val="21"/>
              </w:rPr>
              <w:t>◆</w:t>
            </w:r>
            <w:r>
              <w:rPr>
                <w:rFonts w:ascii="Times New Roman" w:hAnsi="Times New Roman"/>
                <w:color w:val="0000FF"/>
                <w:sz w:val="21"/>
              </w:rPr>
              <w:t>S</w:t>
            </w:r>
          </w:p>
        </w:tc>
        <w:tc>
          <w:tcPr>
            <w:tcW w:w="867" w:type="dxa"/>
          </w:tcPr>
          <w:p>
            <w:pPr>
              <w:pStyle w:val="19"/>
              <w:spacing w:before="48"/>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9"/>
              <w:spacing w:before="48"/>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9"/>
              <w:spacing w:before="48"/>
              <w:ind w:left="10"/>
              <w:rPr>
                <w:rFonts w:ascii="Times New Roman" w:hAnsi="Times New Roman"/>
                <w:color w:val="0000FF"/>
                <w:sz w:val="21"/>
              </w:rPr>
            </w:pPr>
            <w:r>
              <w:rPr>
                <w:rFonts w:ascii="Times New Roman" w:hAnsi="Times New Roman"/>
                <w:color w:val="0000FF"/>
                <w:w w:val="99"/>
                <w:sz w:val="21"/>
              </w:rPr>
              <w:t>○</w:t>
            </w:r>
          </w:p>
        </w:tc>
        <w:tc>
          <w:tcPr>
            <w:tcW w:w="716" w:type="dxa"/>
          </w:tcPr>
          <w:p>
            <w:pPr>
              <w:pStyle w:val="19"/>
              <w:spacing w:before="34"/>
              <w:ind w:left="125" w:right="117"/>
              <w:rPr>
                <w:rFonts w:ascii="Times New Roman" w:hAnsi="Times New Roman"/>
                <w:color w:val="0000FF"/>
                <w:sz w:val="21"/>
              </w:rPr>
            </w:pPr>
            <w:r>
              <w:rPr>
                <w:color w:val="0000FF"/>
                <w:sz w:val="21"/>
              </w:rPr>
              <w:t>△</w:t>
            </w:r>
            <w:r>
              <w:rPr>
                <w:rFonts w:ascii="Times New Roman" w:hAnsi="Times New Roman"/>
                <w:color w:val="0000FF"/>
                <w:sz w:val="21"/>
              </w:rPr>
              <w:t>S</w:t>
            </w:r>
          </w:p>
        </w:tc>
        <w:tc>
          <w:tcPr>
            <w:tcW w:w="721" w:type="dxa"/>
          </w:tcPr>
          <w:p>
            <w:pPr>
              <w:pStyle w:val="19"/>
              <w:spacing w:before="48"/>
              <w:ind w:left="9"/>
              <w:rPr>
                <w:rFonts w:ascii="Times New Roman" w:hAnsi="Times New Roman"/>
                <w:color w:val="0000FF"/>
                <w:sz w:val="21"/>
              </w:rPr>
            </w:pPr>
            <w:r>
              <w:rPr>
                <w:rFonts w:ascii="Times New Roman" w:hAnsi="Times New Roman"/>
                <w:color w:val="0000FF"/>
                <w:w w:val="99"/>
                <w:sz w:val="21"/>
              </w:rPr>
              <w:t>○</w:t>
            </w:r>
          </w:p>
        </w:tc>
        <w:tc>
          <w:tcPr>
            <w:tcW w:w="1300" w:type="dxa"/>
          </w:tcPr>
          <w:p>
            <w:pPr>
              <w:pStyle w:val="19"/>
              <w:spacing w:before="48"/>
              <w:ind w:left="207" w:right="198"/>
              <w:rPr>
                <w:rFonts w:ascii="Times New Roman" w:hAnsi="Times New Roman"/>
                <w:color w:val="0000FF"/>
                <w:sz w:val="21"/>
              </w:rPr>
            </w:pPr>
            <w:r>
              <w:rPr>
                <w:rFonts w:ascii="Times New Roman" w:hAnsi="Times New Roman"/>
                <w:color w:val="0000FF"/>
                <w:sz w:val="21"/>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567" w:type="dxa"/>
            <w:vMerge w:val="continue"/>
            <w:tcBorders>
              <w:top w:val="nil"/>
            </w:tcBorders>
          </w:tcPr>
          <w:p>
            <w:pPr>
              <w:rPr>
                <w:color w:val="0000FF"/>
                <w:sz w:val="2"/>
                <w:szCs w:val="2"/>
              </w:rPr>
            </w:pPr>
          </w:p>
        </w:tc>
        <w:tc>
          <w:tcPr>
            <w:tcW w:w="1079" w:type="dxa"/>
          </w:tcPr>
          <w:p>
            <w:pPr>
              <w:pStyle w:val="19"/>
              <w:spacing w:before="34"/>
              <w:ind w:left="97" w:right="91"/>
              <w:rPr>
                <w:color w:val="0000FF"/>
                <w:sz w:val="21"/>
              </w:rPr>
            </w:pPr>
            <w:r>
              <w:rPr>
                <w:color w:val="0000FF"/>
                <w:sz w:val="21"/>
              </w:rPr>
              <w:t>施工废水</w:t>
            </w:r>
          </w:p>
        </w:tc>
        <w:tc>
          <w:tcPr>
            <w:tcW w:w="821" w:type="dxa"/>
          </w:tcPr>
          <w:p>
            <w:pPr>
              <w:pStyle w:val="19"/>
              <w:spacing w:before="48"/>
              <w:ind w:left="6"/>
              <w:rPr>
                <w:rFonts w:ascii="Times New Roman" w:hAnsi="Times New Roman"/>
                <w:color w:val="0000FF"/>
                <w:sz w:val="21"/>
              </w:rPr>
            </w:pPr>
            <w:r>
              <w:rPr>
                <w:rFonts w:ascii="Times New Roman" w:hAnsi="Times New Roman"/>
                <w:color w:val="0000FF"/>
                <w:w w:val="99"/>
                <w:sz w:val="21"/>
              </w:rPr>
              <w:t>○</w:t>
            </w:r>
          </w:p>
        </w:tc>
        <w:tc>
          <w:tcPr>
            <w:tcW w:w="867" w:type="dxa"/>
          </w:tcPr>
          <w:p>
            <w:pPr>
              <w:pStyle w:val="19"/>
              <w:spacing w:before="48"/>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9"/>
              <w:spacing w:before="48"/>
              <w:ind w:left="87" w:right="78"/>
              <w:rPr>
                <w:rFonts w:ascii="Times New Roman" w:hAnsi="Times New Roman"/>
                <w:color w:val="0000FF"/>
                <w:sz w:val="21"/>
              </w:rPr>
            </w:pPr>
            <w:r>
              <w:rPr>
                <w:rFonts w:ascii="Times New Roman" w:hAnsi="Times New Roman"/>
                <w:color w:val="0000FF"/>
                <w:sz w:val="21"/>
              </w:rPr>
              <w:t>▲S</w:t>
            </w:r>
          </w:p>
        </w:tc>
        <w:tc>
          <w:tcPr>
            <w:tcW w:w="800" w:type="dxa"/>
          </w:tcPr>
          <w:p>
            <w:pPr>
              <w:pStyle w:val="19"/>
              <w:spacing w:before="48"/>
              <w:ind w:left="10"/>
              <w:rPr>
                <w:rFonts w:ascii="Times New Roman" w:hAnsi="Times New Roman"/>
                <w:color w:val="0000FF"/>
                <w:sz w:val="21"/>
              </w:rPr>
            </w:pPr>
            <w:r>
              <w:rPr>
                <w:rFonts w:ascii="Times New Roman" w:hAnsi="Times New Roman"/>
                <w:color w:val="0000FF"/>
                <w:w w:val="99"/>
                <w:sz w:val="21"/>
              </w:rPr>
              <w:t>○</w:t>
            </w:r>
          </w:p>
        </w:tc>
        <w:tc>
          <w:tcPr>
            <w:tcW w:w="716" w:type="dxa"/>
          </w:tcPr>
          <w:p>
            <w:pPr>
              <w:pStyle w:val="19"/>
              <w:spacing w:before="34"/>
              <w:ind w:left="125" w:right="117"/>
              <w:rPr>
                <w:rFonts w:ascii="Times New Roman" w:hAnsi="Times New Roman"/>
                <w:color w:val="0000FF"/>
                <w:sz w:val="21"/>
              </w:rPr>
            </w:pPr>
            <w:r>
              <w:rPr>
                <w:color w:val="0000FF"/>
                <w:sz w:val="21"/>
              </w:rPr>
              <w:t>△</w:t>
            </w:r>
            <w:r>
              <w:rPr>
                <w:rFonts w:ascii="Times New Roman" w:hAnsi="Times New Roman"/>
                <w:color w:val="0000FF"/>
                <w:sz w:val="21"/>
              </w:rPr>
              <w:t>S</w:t>
            </w:r>
          </w:p>
        </w:tc>
        <w:tc>
          <w:tcPr>
            <w:tcW w:w="721" w:type="dxa"/>
          </w:tcPr>
          <w:p>
            <w:pPr>
              <w:pStyle w:val="19"/>
              <w:spacing w:before="48"/>
              <w:ind w:left="128" w:right="119"/>
              <w:rPr>
                <w:rFonts w:ascii="Times New Roman" w:hAnsi="Times New Roman"/>
                <w:color w:val="0000FF"/>
                <w:sz w:val="21"/>
              </w:rPr>
            </w:pPr>
            <w:r>
              <w:rPr>
                <w:rFonts w:ascii="Times New Roman" w:hAnsi="Times New Roman"/>
                <w:color w:val="0000FF"/>
                <w:sz w:val="21"/>
              </w:rPr>
              <w:t>▲S</w:t>
            </w:r>
          </w:p>
        </w:tc>
        <w:tc>
          <w:tcPr>
            <w:tcW w:w="1300" w:type="dxa"/>
          </w:tcPr>
          <w:p>
            <w:pPr>
              <w:pStyle w:val="19"/>
              <w:spacing w:before="48"/>
              <w:ind w:left="9"/>
              <w:rPr>
                <w:rFonts w:ascii="Times New Roman" w:hAnsi="Times New Roman"/>
                <w:color w:val="0000FF"/>
                <w:sz w:val="21"/>
              </w:rPr>
            </w:pPr>
            <w:r>
              <w:rPr>
                <w:rFonts w:ascii="Times New Roman" w:hAnsi="Times New Roman"/>
                <w:color w:val="0000FF"/>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567" w:type="dxa"/>
            <w:vMerge w:val="continue"/>
            <w:tcBorders>
              <w:top w:val="nil"/>
            </w:tcBorders>
          </w:tcPr>
          <w:p>
            <w:pPr>
              <w:rPr>
                <w:color w:val="0000FF"/>
                <w:sz w:val="2"/>
                <w:szCs w:val="2"/>
              </w:rPr>
            </w:pPr>
          </w:p>
        </w:tc>
        <w:tc>
          <w:tcPr>
            <w:tcW w:w="1079" w:type="dxa"/>
          </w:tcPr>
          <w:p>
            <w:pPr>
              <w:pStyle w:val="19"/>
              <w:spacing w:before="35"/>
              <w:ind w:left="97" w:right="91"/>
              <w:rPr>
                <w:color w:val="0000FF"/>
                <w:sz w:val="21"/>
              </w:rPr>
            </w:pPr>
            <w:r>
              <w:rPr>
                <w:color w:val="0000FF"/>
                <w:sz w:val="21"/>
              </w:rPr>
              <w:t>施工噪声</w:t>
            </w:r>
          </w:p>
        </w:tc>
        <w:tc>
          <w:tcPr>
            <w:tcW w:w="821" w:type="dxa"/>
          </w:tcPr>
          <w:p>
            <w:pPr>
              <w:pStyle w:val="19"/>
              <w:spacing w:before="48"/>
              <w:ind w:left="6"/>
              <w:rPr>
                <w:rFonts w:ascii="Times New Roman" w:hAnsi="Times New Roman"/>
                <w:color w:val="0000FF"/>
                <w:sz w:val="21"/>
              </w:rPr>
            </w:pPr>
            <w:r>
              <w:rPr>
                <w:rFonts w:ascii="Times New Roman" w:hAnsi="Times New Roman"/>
                <w:color w:val="0000FF"/>
                <w:w w:val="99"/>
                <w:sz w:val="21"/>
              </w:rPr>
              <w:t>○</w:t>
            </w:r>
          </w:p>
        </w:tc>
        <w:tc>
          <w:tcPr>
            <w:tcW w:w="867" w:type="dxa"/>
          </w:tcPr>
          <w:p>
            <w:pPr>
              <w:pStyle w:val="19"/>
              <w:spacing w:before="48"/>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9"/>
              <w:spacing w:before="48"/>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9"/>
              <w:spacing w:before="35"/>
              <w:ind w:left="210" w:right="200"/>
              <w:rPr>
                <w:rFonts w:ascii="Times New Roman" w:hAnsi="Times New Roman"/>
                <w:color w:val="0000FF"/>
                <w:sz w:val="21"/>
              </w:rPr>
            </w:pPr>
            <w:r>
              <w:rPr>
                <w:color w:val="0000FF"/>
                <w:sz w:val="21"/>
              </w:rPr>
              <w:t>◆</w:t>
            </w:r>
            <w:r>
              <w:rPr>
                <w:rFonts w:ascii="Times New Roman" w:hAnsi="Times New Roman"/>
                <w:color w:val="0000FF"/>
                <w:sz w:val="21"/>
              </w:rPr>
              <w:t>S</w:t>
            </w:r>
          </w:p>
        </w:tc>
        <w:tc>
          <w:tcPr>
            <w:tcW w:w="716" w:type="dxa"/>
          </w:tcPr>
          <w:p>
            <w:pPr>
              <w:pStyle w:val="19"/>
              <w:spacing w:before="35"/>
              <w:ind w:left="125" w:right="117"/>
              <w:rPr>
                <w:rFonts w:ascii="Times New Roman" w:hAnsi="Times New Roman"/>
                <w:color w:val="0000FF"/>
                <w:sz w:val="21"/>
              </w:rPr>
            </w:pPr>
            <w:r>
              <w:rPr>
                <w:color w:val="0000FF"/>
                <w:sz w:val="21"/>
              </w:rPr>
              <w:t>△</w:t>
            </w:r>
            <w:r>
              <w:rPr>
                <w:rFonts w:ascii="Times New Roman" w:hAnsi="Times New Roman"/>
                <w:color w:val="0000FF"/>
                <w:sz w:val="21"/>
              </w:rPr>
              <w:t>S</w:t>
            </w:r>
          </w:p>
        </w:tc>
        <w:tc>
          <w:tcPr>
            <w:tcW w:w="721" w:type="dxa"/>
          </w:tcPr>
          <w:p>
            <w:pPr>
              <w:pStyle w:val="19"/>
              <w:spacing w:before="48"/>
              <w:ind w:left="9"/>
              <w:rPr>
                <w:rFonts w:ascii="Times New Roman" w:hAnsi="Times New Roman"/>
                <w:color w:val="0000FF"/>
                <w:sz w:val="21"/>
              </w:rPr>
            </w:pPr>
            <w:r>
              <w:rPr>
                <w:rFonts w:ascii="Times New Roman" w:hAnsi="Times New Roman"/>
                <w:color w:val="0000FF"/>
                <w:w w:val="99"/>
                <w:sz w:val="21"/>
              </w:rPr>
              <w:t>○</w:t>
            </w:r>
          </w:p>
        </w:tc>
        <w:tc>
          <w:tcPr>
            <w:tcW w:w="1300" w:type="dxa"/>
          </w:tcPr>
          <w:p>
            <w:pPr>
              <w:pStyle w:val="19"/>
              <w:spacing w:before="35"/>
              <w:ind w:left="207" w:right="198"/>
              <w:rPr>
                <w:rFonts w:ascii="Times New Roman" w:hAnsi="Times New Roman"/>
                <w:color w:val="0000FF"/>
                <w:sz w:val="21"/>
              </w:rPr>
            </w:pPr>
            <w:r>
              <w:rPr>
                <w:color w:val="0000FF"/>
                <w:sz w:val="21"/>
              </w:rPr>
              <w:t>△</w:t>
            </w:r>
            <w:r>
              <w:rPr>
                <w:rFonts w:ascii="Times New Roman" w:hAnsi="Times New Roman"/>
                <w:color w:val="0000FF"/>
                <w:sz w:val="21"/>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1646" w:type="dxa"/>
            <w:gridSpan w:val="2"/>
          </w:tcPr>
          <w:p>
            <w:pPr>
              <w:pStyle w:val="19"/>
              <w:spacing w:before="35"/>
              <w:ind w:left="402"/>
              <w:jc w:val="left"/>
              <w:rPr>
                <w:color w:val="0000FF"/>
                <w:sz w:val="21"/>
              </w:rPr>
            </w:pPr>
            <w:r>
              <w:rPr>
                <w:color w:val="0000FF"/>
                <w:sz w:val="21"/>
              </w:rPr>
              <w:t>车辆运输</w:t>
            </w:r>
          </w:p>
        </w:tc>
        <w:tc>
          <w:tcPr>
            <w:tcW w:w="821" w:type="dxa"/>
          </w:tcPr>
          <w:p>
            <w:pPr>
              <w:pStyle w:val="19"/>
              <w:spacing w:before="49"/>
              <w:ind w:left="178" w:right="168"/>
              <w:rPr>
                <w:rFonts w:ascii="Times New Roman" w:hAnsi="Times New Roman"/>
                <w:color w:val="0000FF"/>
                <w:sz w:val="21"/>
              </w:rPr>
            </w:pPr>
            <w:r>
              <w:rPr>
                <w:rFonts w:ascii="Times New Roman" w:hAnsi="Times New Roman"/>
                <w:color w:val="0000FF"/>
                <w:sz w:val="21"/>
              </w:rPr>
              <w:t>▲S</w:t>
            </w:r>
          </w:p>
        </w:tc>
        <w:tc>
          <w:tcPr>
            <w:tcW w:w="867" w:type="dxa"/>
          </w:tcPr>
          <w:p>
            <w:pPr>
              <w:pStyle w:val="19"/>
              <w:spacing w:before="49"/>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9"/>
              <w:spacing w:before="49"/>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9"/>
              <w:spacing w:before="49"/>
              <w:ind w:left="210" w:right="200"/>
              <w:rPr>
                <w:rFonts w:ascii="Times New Roman" w:hAnsi="Times New Roman"/>
                <w:color w:val="0000FF"/>
                <w:sz w:val="21"/>
              </w:rPr>
            </w:pPr>
            <w:r>
              <w:rPr>
                <w:rFonts w:ascii="Times New Roman" w:hAnsi="Times New Roman"/>
                <w:color w:val="0000FF"/>
                <w:sz w:val="21"/>
              </w:rPr>
              <w:t>▲S</w:t>
            </w:r>
          </w:p>
        </w:tc>
        <w:tc>
          <w:tcPr>
            <w:tcW w:w="716" w:type="dxa"/>
          </w:tcPr>
          <w:p>
            <w:pPr>
              <w:pStyle w:val="19"/>
              <w:spacing w:before="49"/>
              <w:ind w:left="11"/>
              <w:rPr>
                <w:rFonts w:ascii="Times New Roman" w:hAnsi="Times New Roman"/>
                <w:color w:val="0000FF"/>
                <w:sz w:val="21"/>
              </w:rPr>
            </w:pPr>
            <w:r>
              <w:rPr>
                <w:rFonts w:ascii="Times New Roman" w:hAnsi="Times New Roman"/>
                <w:color w:val="0000FF"/>
                <w:w w:val="99"/>
                <w:sz w:val="21"/>
              </w:rPr>
              <w:t>○</w:t>
            </w:r>
          </w:p>
        </w:tc>
        <w:tc>
          <w:tcPr>
            <w:tcW w:w="721" w:type="dxa"/>
          </w:tcPr>
          <w:p>
            <w:pPr>
              <w:pStyle w:val="19"/>
              <w:spacing w:before="49"/>
              <w:ind w:left="9"/>
              <w:rPr>
                <w:rFonts w:ascii="Times New Roman" w:hAnsi="Times New Roman"/>
                <w:color w:val="0000FF"/>
                <w:sz w:val="21"/>
              </w:rPr>
            </w:pPr>
            <w:r>
              <w:rPr>
                <w:rFonts w:ascii="Times New Roman" w:hAnsi="Times New Roman"/>
                <w:color w:val="0000FF"/>
                <w:w w:val="99"/>
                <w:sz w:val="21"/>
              </w:rPr>
              <w:t>○</w:t>
            </w:r>
          </w:p>
        </w:tc>
        <w:tc>
          <w:tcPr>
            <w:tcW w:w="1300" w:type="dxa"/>
          </w:tcPr>
          <w:p>
            <w:pPr>
              <w:pStyle w:val="19"/>
              <w:spacing w:before="49"/>
              <w:ind w:left="207" w:right="198"/>
              <w:rPr>
                <w:rFonts w:ascii="Times New Roman" w:hAnsi="Times New Roman"/>
                <w:color w:val="0000FF"/>
                <w:sz w:val="21"/>
              </w:rPr>
            </w:pPr>
            <w:r>
              <w:rPr>
                <w:rFonts w:ascii="Times New Roman" w:hAnsi="Times New Roman"/>
                <w:color w:val="0000FF"/>
                <w:sz w:val="21"/>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restart"/>
          </w:tcPr>
          <w:p>
            <w:pPr>
              <w:pStyle w:val="19"/>
              <w:jc w:val="left"/>
              <w:rPr>
                <w:b/>
                <w:color w:val="0000FF"/>
                <w:sz w:val="20"/>
              </w:rPr>
            </w:pPr>
          </w:p>
          <w:p>
            <w:pPr>
              <w:pStyle w:val="19"/>
              <w:spacing w:before="165" w:line="278" w:lineRule="auto"/>
              <w:ind w:left="195" w:right="185"/>
              <w:jc w:val="both"/>
              <w:rPr>
                <w:color w:val="0000FF"/>
                <w:sz w:val="21"/>
              </w:rPr>
            </w:pPr>
            <w:r>
              <w:rPr>
                <w:color w:val="0000FF"/>
                <w:sz w:val="21"/>
              </w:rPr>
              <w:t>运营期</w:t>
            </w:r>
          </w:p>
        </w:tc>
        <w:tc>
          <w:tcPr>
            <w:tcW w:w="567" w:type="dxa"/>
            <w:vMerge w:val="restart"/>
          </w:tcPr>
          <w:p>
            <w:pPr>
              <w:pStyle w:val="19"/>
              <w:spacing w:before="12"/>
              <w:jc w:val="left"/>
              <w:rPr>
                <w:b/>
                <w:color w:val="0000FF"/>
                <w:sz w:val="17"/>
              </w:rPr>
            </w:pPr>
          </w:p>
          <w:p>
            <w:pPr>
              <w:pStyle w:val="19"/>
              <w:spacing w:line="278" w:lineRule="auto"/>
              <w:ind w:left="177" w:right="168"/>
              <w:jc w:val="left"/>
              <w:rPr>
                <w:color w:val="0000FF"/>
                <w:sz w:val="21"/>
              </w:rPr>
            </w:pPr>
            <w:r>
              <w:rPr>
                <w:color w:val="0000FF"/>
                <w:sz w:val="21"/>
              </w:rPr>
              <w:t>场区</w:t>
            </w:r>
          </w:p>
        </w:tc>
        <w:tc>
          <w:tcPr>
            <w:tcW w:w="1079" w:type="dxa"/>
          </w:tcPr>
          <w:p>
            <w:pPr>
              <w:pStyle w:val="19"/>
              <w:spacing w:before="35"/>
              <w:ind w:left="97" w:right="91"/>
              <w:rPr>
                <w:color w:val="0000FF"/>
                <w:sz w:val="21"/>
              </w:rPr>
            </w:pPr>
            <w:r>
              <w:rPr>
                <w:color w:val="0000FF"/>
                <w:sz w:val="21"/>
              </w:rPr>
              <w:t>工程废水</w:t>
            </w:r>
          </w:p>
        </w:tc>
        <w:tc>
          <w:tcPr>
            <w:tcW w:w="821" w:type="dxa"/>
          </w:tcPr>
          <w:p>
            <w:pPr>
              <w:pStyle w:val="19"/>
              <w:spacing w:before="49"/>
              <w:ind w:left="178" w:right="171"/>
              <w:rPr>
                <w:rFonts w:ascii="Times New Roman" w:hAnsi="Times New Roman"/>
                <w:color w:val="0000FF"/>
                <w:sz w:val="21"/>
              </w:rPr>
            </w:pPr>
            <w:r>
              <w:rPr>
                <w:rFonts w:ascii="Times New Roman" w:hAnsi="Times New Roman"/>
                <w:color w:val="0000FF"/>
                <w:sz w:val="21"/>
              </w:rPr>
              <w:t>▲L</w:t>
            </w:r>
          </w:p>
        </w:tc>
        <w:tc>
          <w:tcPr>
            <w:tcW w:w="867" w:type="dxa"/>
          </w:tcPr>
          <w:p>
            <w:pPr>
              <w:pStyle w:val="19"/>
              <w:spacing w:before="49"/>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9"/>
              <w:spacing w:before="35"/>
              <w:ind w:left="86" w:right="78"/>
              <w:rPr>
                <w:rFonts w:ascii="Times New Roman" w:hAnsi="Times New Roman"/>
                <w:color w:val="0000FF"/>
                <w:sz w:val="21"/>
              </w:rPr>
            </w:pPr>
            <w:r>
              <w:rPr>
                <w:color w:val="0000FF"/>
                <w:sz w:val="21"/>
              </w:rPr>
              <w:t>△</w:t>
            </w:r>
            <w:r>
              <w:rPr>
                <w:rFonts w:ascii="Times New Roman" w:hAnsi="Times New Roman"/>
                <w:color w:val="0000FF"/>
                <w:sz w:val="21"/>
              </w:rPr>
              <w:t>L</w:t>
            </w:r>
          </w:p>
        </w:tc>
        <w:tc>
          <w:tcPr>
            <w:tcW w:w="800" w:type="dxa"/>
          </w:tcPr>
          <w:p>
            <w:pPr>
              <w:pStyle w:val="19"/>
              <w:spacing w:before="49"/>
              <w:ind w:left="10"/>
              <w:rPr>
                <w:rFonts w:ascii="Times New Roman" w:hAnsi="Times New Roman"/>
                <w:color w:val="0000FF"/>
                <w:sz w:val="21"/>
              </w:rPr>
            </w:pPr>
            <w:r>
              <w:rPr>
                <w:rFonts w:ascii="Times New Roman" w:hAnsi="Times New Roman"/>
                <w:color w:val="0000FF"/>
                <w:w w:val="99"/>
                <w:sz w:val="21"/>
              </w:rPr>
              <w:t>○</w:t>
            </w:r>
          </w:p>
        </w:tc>
        <w:tc>
          <w:tcPr>
            <w:tcW w:w="716" w:type="dxa"/>
          </w:tcPr>
          <w:p>
            <w:pPr>
              <w:pStyle w:val="19"/>
              <w:spacing w:before="35"/>
              <w:ind w:left="125" w:right="117"/>
              <w:rPr>
                <w:rFonts w:ascii="Times New Roman" w:hAnsi="Times New Roman"/>
                <w:color w:val="0000FF"/>
                <w:sz w:val="21"/>
              </w:rPr>
            </w:pPr>
            <w:r>
              <w:rPr>
                <w:color w:val="0000FF"/>
                <w:sz w:val="21"/>
              </w:rPr>
              <w:t>△</w:t>
            </w:r>
            <w:r>
              <w:rPr>
                <w:rFonts w:ascii="Times New Roman" w:hAnsi="Times New Roman"/>
                <w:color w:val="0000FF"/>
                <w:sz w:val="21"/>
              </w:rPr>
              <w:t>L</w:t>
            </w:r>
          </w:p>
        </w:tc>
        <w:tc>
          <w:tcPr>
            <w:tcW w:w="721" w:type="dxa"/>
          </w:tcPr>
          <w:p>
            <w:pPr>
              <w:pStyle w:val="19"/>
              <w:spacing w:before="35"/>
              <w:ind w:left="127" w:right="119"/>
              <w:rPr>
                <w:rFonts w:ascii="Times New Roman" w:hAnsi="Times New Roman"/>
                <w:color w:val="0000FF"/>
                <w:sz w:val="21"/>
              </w:rPr>
            </w:pPr>
            <w:r>
              <w:rPr>
                <w:color w:val="0000FF"/>
                <w:sz w:val="21"/>
              </w:rPr>
              <w:t>△</w:t>
            </w:r>
            <w:r>
              <w:rPr>
                <w:rFonts w:ascii="Times New Roman" w:hAnsi="Times New Roman"/>
                <w:color w:val="0000FF"/>
                <w:sz w:val="21"/>
              </w:rPr>
              <w:t>L</w:t>
            </w:r>
          </w:p>
        </w:tc>
        <w:tc>
          <w:tcPr>
            <w:tcW w:w="1300" w:type="dxa"/>
          </w:tcPr>
          <w:p>
            <w:pPr>
              <w:pStyle w:val="19"/>
              <w:spacing w:before="35"/>
              <w:ind w:left="206" w:right="198"/>
              <w:rPr>
                <w:rFonts w:ascii="Times New Roman" w:hAnsi="Times New Roman"/>
                <w:color w:val="0000FF"/>
                <w:sz w:val="21"/>
              </w:rPr>
            </w:pPr>
            <w:r>
              <w:rPr>
                <w:color w:val="0000FF"/>
                <w:sz w:val="21"/>
              </w:rPr>
              <w:t>◆</w:t>
            </w:r>
            <w:r>
              <w:rPr>
                <w:rFonts w:ascii="Times New Roman" w:hAnsi="Times New Roman"/>
                <w:color w:val="0000FF"/>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567" w:type="dxa"/>
            <w:vMerge w:val="continue"/>
            <w:tcBorders>
              <w:top w:val="nil"/>
            </w:tcBorders>
          </w:tcPr>
          <w:p>
            <w:pPr>
              <w:rPr>
                <w:color w:val="0000FF"/>
                <w:sz w:val="2"/>
                <w:szCs w:val="2"/>
              </w:rPr>
            </w:pPr>
          </w:p>
        </w:tc>
        <w:tc>
          <w:tcPr>
            <w:tcW w:w="1079" w:type="dxa"/>
          </w:tcPr>
          <w:p>
            <w:pPr>
              <w:pStyle w:val="19"/>
              <w:spacing w:before="36"/>
              <w:ind w:left="97" w:right="91"/>
              <w:rPr>
                <w:color w:val="0000FF"/>
                <w:sz w:val="21"/>
              </w:rPr>
            </w:pPr>
            <w:r>
              <w:rPr>
                <w:color w:val="0000FF"/>
                <w:sz w:val="21"/>
              </w:rPr>
              <w:t>生产恶臭</w:t>
            </w:r>
          </w:p>
        </w:tc>
        <w:tc>
          <w:tcPr>
            <w:tcW w:w="821" w:type="dxa"/>
          </w:tcPr>
          <w:p>
            <w:pPr>
              <w:pStyle w:val="19"/>
              <w:spacing w:before="50"/>
              <w:ind w:left="178" w:right="171"/>
              <w:rPr>
                <w:rFonts w:ascii="Times New Roman" w:hAnsi="Times New Roman"/>
                <w:color w:val="0000FF"/>
                <w:sz w:val="21"/>
              </w:rPr>
            </w:pPr>
            <w:r>
              <w:rPr>
                <w:rFonts w:ascii="Times New Roman" w:hAnsi="Times New Roman"/>
                <w:color w:val="0000FF"/>
                <w:sz w:val="21"/>
              </w:rPr>
              <w:t>▲L</w:t>
            </w:r>
          </w:p>
        </w:tc>
        <w:tc>
          <w:tcPr>
            <w:tcW w:w="867" w:type="dxa"/>
          </w:tcPr>
          <w:p>
            <w:pPr>
              <w:pStyle w:val="19"/>
              <w:spacing w:before="50"/>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9"/>
              <w:spacing w:before="50"/>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9"/>
              <w:spacing w:before="50"/>
              <w:ind w:left="10"/>
              <w:rPr>
                <w:rFonts w:ascii="Times New Roman" w:hAnsi="Times New Roman"/>
                <w:color w:val="0000FF"/>
                <w:sz w:val="21"/>
              </w:rPr>
            </w:pPr>
            <w:r>
              <w:rPr>
                <w:rFonts w:ascii="Times New Roman" w:hAnsi="Times New Roman"/>
                <w:color w:val="0000FF"/>
                <w:w w:val="99"/>
                <w:sz w:val="21"/>
              </w:rPr>
              <w:t>○</w:t>
            </w:r>
          </w:p>
        </w:tc>
        <w:tc>
          <w:tcPr>
            <w:tcW w:w="716" w:type="dxa"/>
          </w:tcPr>
          <w:p>
            <w:pPr>
              <w:pStyle w:val="19"/>
              <w:spacing w:before="50"/>
              <w:ind w:left="11"/>
              <w:rPr>
                <w:rFonts w:ascii="Times New Roman" w:hAnsi="Times New Roman"/>
                <w:color w:val="0000FF"/>
                <w:sz w:val="21"/>
              </w:rPr>
            </w:pPr>
            <w:r>
              <w:rPr>
                <w:rFonts w:ascii="Times New Roman" w:hAnsi="Times New Roman"/>
                <w:color w:val="0000FF"/>
                <w:w w:val="99"/>
                <w:sz w:val="21"/>
              </w:rPr>
              <w:t>○</w:t>
            </w:r>
          </w:p>
        </w:tc>
        <w:tc>
          <w:tcPr>
            <w:tcW w:w="721" w:type="dxa"/>
          </w:tcPr>
          <w:p>
            <w:pPr>
              <w:pStyle w:val="19"/>
              <w:spacing w:before="50"/>
              <w:ind w:left="9"/>
              <w:rPr>
                <w:rFonts w:ascii="Times New Roman" w:hAnsi="Times New Roman"/>
                <w:color w:val="0000FF"/>
                <w:sz w:val="21"/>
              </w:rPr>
            </w:pPr>
            <w:r>
              <w:rPr>
                <w:rFonts w:ascii="Times New Roman" w:hAnsi="Times New Roman"/>
                <w:color w:val="0000FF"/>
                <w:w w:val="99"/>
                <w:sz w:val="21"/>
              </w:rPr>
              <w:t>○</w:t>
            </w:r>
          </w:p>
        </w:tc>
        <w:tc>
          <w:tcPr>
            <w:tcW w:w="1300" w:type="dxa"/>
          </w:tcPr>
          <w:p>
            <w:pPr>
              <w:pStyle w:val="19"/>
              <w:spacing w:before="50"/>
              <w:ind w:left="206" w:right="198"/>
              <w:rPr>
                <w:rFonts w:ascii="Times New Roman" w:hAnsi="Times New Roman"/>
                <w:color w:val="0000FF"/>
                <w:sz w:val="21"/>
              </w:rPr>
            </w:pPr>
            <w:r>
              <w:rPr>
                <w:rFonts w:ascii="Times New Roman" w:hAnsi="Times New Roman"/>
                <w:color w:val="0000FF"/>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567" w:type="dxa"/>
            <w:vMerge w:val="continue"/>
            <w:tcBorders>
              <w:top w:val="nil"/>
            </w:tcBorders>
          </w:tcPr>
          <w:p>
            <w:pPr>
              <w:rPr>
                <w:color w:val="0000FF"/>
                <w:sz w:val="2"/>
                <w:szCs w:val="2"/>
              </w:rPr>
            </w:pPr>
          </w:p>
        </w:tc>
        <w:tc>
          <w:tcPr>
            <w:tcW w:w="1079" w:type="dxa"/>
          </w:tcPr>
          <w:p>
            <w:pPr>
              <w:pStyle w:val="19"/>
              <w:spacing w:before="34"/>
              <w:ind w:left="97" w:right="91"/>
              <w:rPr>
                <w:color w:val="0000FF"/>
                <w:sz w:val="21"/>
              </w:rPr>
            </w:pPr>
            <w:r>
              <w:rPr>
                <w:color w:val="0000FF"/>
                <w:sz w:val="21"/>
              </w:rPr>
              <w:t>生产噪声</w:t>
            </w:r>
          </w:p>
        </w:tc>
        <w:tc>
          <w:tcPr>
            <w:tcW w:w="821" w:type="dxa"/>
          </w:tcPr>
          <w:p>
            <w:pPr>
              <w:pStyle w:val="19"/>
              <w:spacing w:before="48"/>
              <w:ind w:left="6"/>
              <w:rPr>
                <w:rFonts w:ascii="Times New Roman" w:hAnsi="Times New Roman"/>
                <w:color w:val="0000FF"/>
                <w:sz w:val="21"/>
              </w:rPr>
            </w:pPr>
            <w:r>
              <w:rPr>
                <w:rFonts w:ascii="Times New Roman" w:hAnsi="Times New Roman"/>
                <w:color w:val="0000FF"/>
                <w:w w:val="99"/>
                <w:sz w:val="21"/>
              </w:rPr>
              <w:t>○</w:t>
            </w:r>
          </w:p>
        </w:tc>
        <w:tc>
          <w:tcPr>
            <w:tcW w:w="867" w:type="dxa"/>
          </w:tcPr>
          <w:p>
            <w:pPr>
              <w:pStyle w:val="19"/>
              <w:spacing w:before="48"/>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9"/>
              <w:spacing w:before="48"/>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9"/>
              <w:spacing w:before="34"/>
              <w:ind w:left="210" w:right="201"/>
              <w:rPr>
                <w:rFonts w:ascii="Times New Roman" w:hAnsi="Times New Roman"/>
                <w:color w:val="0000FF"/>
                <w:sz w:val="21"/>
              </w:rPr>
            </w:pPr>
            <w:r>
              <w:rPr>
                <w:color w:val="0000FF"/>
                <w:sz w:val="21"/>
              </w:rPr>
              <w:t>◆</w:t>
            </w:r>
            <w:r>
              <w:rPr>
                <w:rFonts w:ascii="Times New Roman" w:hAnsi="Times New Roman"/>
                <w:color w:val="0000FF"/>
                <w:sz w:val="21"/>
              </w:rPr>
              <w:t>L</w:t>
            </w:r>
          </w:p>
        </w:tc>
        <w:tc>
          <w:tcPr>
            <w:tcW w:w="716" w:type="dxa"/>
          </w:tcPr>
          <w:p>
            <w:pPr>
              <w:pStyle w:val="19"/>
              <w:spacing w:before="48"/>
              <w:ind w:left="11"/>
              <w:rPr>
                <w:rFonts w:ascii="Times New Roman" w:hAnsi="Times New Roman"/>
                <w:color w:val="0000FF"/>
                <w:sz w:val="21"/>
              </w:rPr>
            </w:pPr>
            <w:r>
              <w:rPr>
                <w:rFonts w:ascii="Times New Roman" w:hAnsi="Times New Roman"/>
                <w:color w:val="0000FF"/>
                <w:w w:val="99"/>
                <w:sz w:val="21"/>
              </w:rPr>
              <w:t>○</w:t>
            </w:r>
          </w:p>
        </w:tc>
        <w:tc>
          <w:tcPr>
            <w:tcW w:w="721" w:type="dxa"/>
          </w:tcPr>
          <w:p>
            <w:pPr>
              <w:pStyle w:val="19"/>
              <w:spacing w:before="48"/>
              <w:ind w:left="9"/>
              <w:rPr>
                <w:rFonts w:ascii="Times New Roman" w:hAnsi="Times New Roman"/>
                <w:color w:val="0000FF"/>
                <w:sz w:val="21"/>
              </w:rPr>
            </w:pPr>
            <w:r>
              <w:rPr>
                <w:rFonts w:ascii="Times New Roman" w:hAnsi="Times New Roman"/>
                <w:color w:val="0000FF"/>
                <w:w w:val="99"/>
                <w:sz w:val="21"/>
              </w:rPr>
              <w:t>○</w:t>
            </w:r>
          </w:p>
        </w:tc>
        <w:tc>
          <w:tcPr>
            <w:tcW w:w="1300" w:type="dxa"/>
          </w:tcPr>
          <w:p>
            <w:pPr>
              <w:pStyle w:val="19"/>
              <w:spacing w:before="48"/>
              <w:ind w:left="206" w:right="198"/>
              <w:rPr>
                <w:rFonts w:ascii="Times New Roman" w:hAnsi="Times New Roman"/>
                <w:color w:val="0000FF"/>
                <w:sz w:val="21"/>
              </w:rPr>
            </w:pPr>
            <w:r>
              <w:rPr>
                <w:rFonts w:ascii="Times New Roman" w:hAnsi="Times New Roman"/>
                <w:color w:val="0000FF"/>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1646" w:type="dxa"/>
            <w:gridSpan w:val="2"/>
          </w:tcPr>
          <w:p>
            <w:pPr>
              <w:pStyle w:val="19"/>
              <w:spacing w:before="34"/>
              <w:ind w:left="191"/>
              <w:jc w:val="left"/>
              <w:rPr>
                <w:color w:val="0000FF"/>
                <w:sz w:val="21"/>
              </w:rPr>
            </w:pPr>
            <w:r>
              <w:rPr>
                <w:color w:val="0000FF"/>
                <w:sz w:val="21"/>
              </w:rPr>
              <w:t>固废综合利用</w:t>
            </w:r>
          </w:p>
        </w:tc>
        <w:tc>
          <w:tcPr>
            <w:tcW w:w="821" w:type="dxa"/>
          </w:tcPr>
          <w:p>
            <w:pPr>
              <w:pStyle w:val="19"/>
              <w:spacing w:before="34"/>
              <w:ind w:left="178" w:right="171"/>
              <w:rPr>
                <w:rFonts w:ascii="Times New Roman" w:hAnsi="Times New Roman"/>
                <w:color w:val="0000FF"/>
                <w:sz w:val="21"/>
              </w:rPr>
            </w:pPr>
            <w:r>
              <w:rPr>
                <w:color w:val="0000FF"/>
                <w:sz w:val="21"/>
              </w:rPr>
              <w:t>◆</w:t>
            </w:r>
            <w:r>
              <w:rPr>
                <w:rFonts w:ascii="Times New Roman" w:hAnsi="Times New Roman"/>
                <w:color w:val="0000FF"/>
                <w:sz w:val="21"/>
              </w:rPr>
              <w:t>L</w:t>
            </w:r>
          </w:p>
        </w:tc>
        <w:tc>
          <w:tcPr>
            <w:tcW w:w="867" w:type="dxa"/>
          </w:tcPr>
          <w:p>
            <w:pPr>
              <w:pStyle w:val="19"/>
              <w:spacing w:before="34"/>
              <w:ind w:left="94" w:right="87"/>
              <w:rPr>
                <w:rFonts w:ascii="Times New Roman" w:hAnsi="Times New Roman"/>
                <w:color w:val="0000FF"/>
                <w:sz w:val="21"/>
              </w:rPr>
            </w:pPr>
            <w:r>
              <w:rPr>
                <w:color w:val="0000FF"/>
                <w:sz w:val="21"/>
              </w:rPr>
              <w:t>△</w:t>
            </w:r>
            <w:r>
              <w:rPr>
                <w:rFonts w:ascii="Times New Roman" w:hAnsi="Times New Roman"/>
                <w:color w:val="0000FF"/>
                <w:sz w:val="21"/>
              </w:rPr>
              <w:t>L</w:t>
            </w:r>
          </w:p>
        </w:tc>
        <w:tc>
          <w:tcPr>
            <w:tcW w:w="850" w:type="dxa"/>
          </w:tcPr>
          <w:p>
            <w:pPr>
              <w:pStyle w:val="19"/>
              <w:spacing w:before="34"/>
              <w:ind w:left="86" w:right="78"/>
              <w:rPr>
                <w:rFonts w:ascii="Times New Roman" w:hAnsi="Times New Roman"/>
                <w:color w:val="0000FF"/>
                <w:sz w:val="21"/>
              </w:rPr>
            </w:pPr>
            <w:r>
              <w:rPr>
                <w:color w:val="0000FF"/>
                <w:sz w:val="21"/>
              </w:rPr>
              <w:t>△</w:t>
            </w:r>
            <w:r>
              <w:rPr>
                <w:rFonts w:ascii="Times New Roman" w:hAnsi="Times New Roman"/>
                <w:color w:val="0000FF"/>
                <w:sz w:val="21"/>
              </w:rPr>
              <w:t>L</w:t>
            </w:r>
          </w:p>
        </w:tc>
        <w:tc>
          <w:tcPr>
            <w:tcW w:w="800" w:type="dxa"/>
          </w:tcPr>
          <w:p>
            <w:pPr>
              <w:pStyle w:val="19"/>
              <w:spacing w:before="48"/>
              <w:ind w:left="10"/>
              <w:rPr>
                <w:rFonts w:ascii="Times New Roman" w:hAnsi="Times New Roman"/>
                <w:color w:val="0000FF"/>
                <w:sz w:val="21"/>
              </w:rPr>
            </w:pPr>
            <w:r>
              <w:rPr>
                <w:rFonts w:ascii="Times New Roman" w:hAnsi="Times New Roman"/>
                <w:color w:val="0000FF"/>
                <w:w w:val="99"/>
                <w:sz w:val="21"/>
              </w:rPr>
              <w:t>○</w:t>
            </w:r>
          </w:p>
        </w:tc>
        <w:tc>
          <w:tcPr>
            <w:tcW w:w="716" w:type="dxa"/>
          </w:tcPr>
          <w:p>
            <w:pPr>
              <w:pStyle w:val="19"/>
              <w:spacing w:before="48"/>
              <w:ind w:left="11"/>
              <w:rPr>
                <w:rFonts w:ascii="Times New Roman" w:hAnsi="Times New Roman"/>
                <w:color w:val="0000FF"/>
                <w:sz w:val="21"/>
              </w:rPr>
            </w:pPr>
            <w:r>
              <w:rPr>
                <w:rFonts w:ascii="Times New Roman" w:hAnsi="Times New Roman"/>
                <w:color w:val="0000FF"/>
                <w:w w:val="99"/>
                <w:sz w:val="21"/>
              </w:rPr>
              <w:t>○</w:t>
            </w:r>
          </w:p>
        </w:tc>
        <w:tc>
          <w:tcPr>
            <w:tcW w:w="721" w:type="dxa"/>
          </w:tcPr>
          <w:p>
            <w:pPr>
              <w:pStyle w:val="19"/>
              <w:spacing w:before="34"/>
              <w:ind w:left="127" w:right="119"/>
              <w:rPr>
                <w:rFonts w:ascii="Times New Roman" w:hAnsi="Times New Roman"/>
                <w:color w:val="0000FF"/>
                <w:sz w:val="21"/>
              </w:rPr>
            </w:pPr>
            <w:r>
              <w:rPr>
                <w:color w:val="0000FF"/>
                <w:sz w:val="21"/>
              </w:rPr>
              <w:t>△</w:t>
            </w:r>
            <w:r>
              <w:rPr>
                <w:rFonts w:ascii="Times New Roman" w:hAnsi="Times New Roman"/>
                <w:color w:val="0000FF"/>
                <w:sz w:val="21"/>
              </w:rPr>
              <w:t>L</w:t>
            </w:r>
          </w:p>
        </w:tc>
        <w:tc>
          <w:tcPr>
            <w:tcW w:w="1300" w:type="dxa"/>
          </w:tcPr>
          <w:p>
            <w:pPr>
              <w:pStyle w:val="19"/>
              <w:spacing w:before="34"/>
              <w:ind w:left="206" w:right="198"/>
              <w:rPr>
                <w:rFonts w:ascii="Times New Roman" w:hAnsi="Times New Roman"/>
                <w:color w:val="0000FF"/>
                <w:sz w:val="21"/>
              </w:rPr>
            </w:pPr>
            <w:r>
              <w:rPr>
                <w:color w:val="0000FF"/>
                <w:sz w:val="21"/>
              </w:rPr>
              <w:t>△</w:t>
            </w:r>
            <w:r>
              <w:rPr>
                <w:rFonts w:ascii="Times New Roman" w:hAnsi="Times New Roman"/>
                <w:color w:val="0000FF"/>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2" w:type="dxa"/>
            <w:vMerge w:val="continue"/>
            <w:tcBorders>
              <w:top w:val="nil"/>
            </w:tcBorders>
          </w:tcPr>
          <w:p>
            <w:pPr>
              <w:rPr>
                <w:color w:val="0000FF"/>
                <w:sz w:val="2"/>
                <w:szCs w:val="2"/>
              </w:rPr>
            </w:pPr>
          </w:p>
        </w:tc>
        <w:tc>
          <w:tcPr>
            <w:tcW w:w="1646" w:type="dxa"/>
            <w:gridSpan w:val="2"/>
          </w:tcPr>
          <w:p>
            <w:pPr>
              <w:pStyle w:val="19"/>
              <w:spacing w:before="35"/>
              <w:ind w:left="402"/>
              <w:jc w:val="left"/>
              <w:rPr>
                <w:color w:val="0000FF"/>
                <w:sz w:val="21"/>
              </w:rPr>
            </w:pPr>
            <w:r>
              <w:rPr>
                <w:color w:val="0000FF"/>
                <w:sz w:val="21"/>
              </w:rPr>
              <w:t>车辆运输</w:t>
            </w:r>
          </w:p>
        </w:tc>
        <w:tc>
          <w:tcPr>
            <w:tcW w:w="821" w:type="dxa"/>
          </w:tcPr>
          <w:p>
            <w:pPr>
              <w:pStyle w:val="19"/>
              <w:spacing w:before="48"/>
              <w:ind w:left="178" w:right="171"/>
              <w:rPr>
                <w:rFonts w:ascii="Times New Roman" w:hAnsi="Times New Roman"/>
                <w:color w:val="0000FF"/>
                <w:sz w:val="21"/>
              </w:rPr>
            </w:pPr>
            <w:r>
              <w:rPr>
                <w:rFonts w:ascii="Times New Roman" w:hAnsi="Times New Roman"/>
                <w:color w:val="0000FF"/>
                <w:sz w:val="21"/>
              </w:rPr>
              <w:t>▲L</w:t>
            </w:r>
          </w:p>
        </w:tc>
        <w:tc>
          <w:tcPr>
            <w:tcW w:w="867" w:type="dxa"/>
          </w:tcPr>
          <w:p>
            <w:pPr>
              <w:pStyle w:val="19"/>
              <w:spacing w:before="48"/>
              <w:ind w:left="8"/>
              <w:rPr>
                <w:rFonts w:ascii="Times New Roman" w:hAnsi="Times New Roman"/>
                <w:color w:val="0000FF"/>
                <w:sz w:val="21"/>
              </w:rPr>
            </w:pPr>
            <w:r>
              <w:rPr>
                <w:rFonts w:ascii="Times New Roman" w:hAnsi="Times New Roman"/>
                <w:color w:val="0000FF"/>
                <w:w w:val="99"/>
                <w:sz w:val="21"/>
              </w:rPr>
              <w:t>○</w:t>
            </w:r>
          </w:p>
        </w:tc>
        <w:tc>
          <w:tcPr>
            <w:tcW w:w="850" w:type="dxa"/>
          </w:tcPr>
          <w:p>
            <w:pPr>
              <w:pStyle w:val="19"/>
              <w:spacing w:before="48"/>
              <w:ind w:left="9"/>
              <w:rPr>
                <w:rFonts w:ascii="Times New Roman" w:hAnsi="Times New Roman"/>
                <w:color w:val="0000FF"/>
                <w:sz w:val="21"/>
              </w:rPr>
            </w:pPr>
            <w:r>
              <w:rPr>
                <w:rFonts w:ascii="Times New Roman" w:hAnsi="Times New Roman"/>
                <w:color w:val="0000FF"/>
                <w:w w:val="99"/>
                <w:sz w:val="21"/>
              </w:rPr>
              <w:t>○</w:t>
            </w:r>
          </w:p>
        </w:tc>
        <w:tc>
          <w:tcPr>
            <w:tcW w:w="800" w:type="dxa"/>
          </w:tcPr>
          <w:p>
            <w:pPr>
              <w:pStyle w:val="19"/>
              <w:spacing w:before="48"/>
              <w:ind w:left="208" w:right="201"/>
              <w:rPr>
                <w:rFonts w:ascii="Times New Roman" w:hAnsi="Times New Roman"/>
                <w:color w:val="0000FF"/>
                <w:sz w:val="21"/>
              </w:rPr>
            </w:pPr>
            <w:r>
              <w:rPr>
                <w:rFonts w:ascii="Times New Roman" w:hAnsi="Times New Roman"/>
                <w:color w:val="0000FF"/>
                <w:sz w:val="21"/>
              </w:rPr>
              <w:t>▲L</w:t>
            </w:r>
          </w:p>
        </w:tc>
        <w:tc>
          <w:tcPr>
            <w:tcW w:w="716" w:type="dxa"/>
          </w:tcPr>
          <w:p>
            <w:pPr>
              <w:pStyle w:val="19"/>
              <w:spacing w:before="48"/>
              <w:ind w:left="11"/>
              <w:rPr>
                <w:rFonts w:ascii="Times New Roman" w:hAnsi="Times New Roman"/>
                <w:color w:val="0000FF"/>
                <w:sz w:val="21"/>
              </w:rPr>
            </w:pPr>
            <w:r>
              <w:rPr>
                <w:rFonts w:ascii="Times New Roman" w:hAnsi="Times New Roman"/>
                <w:color w:val="0000FF"/>
                <w:w w:val="99"/>
                <w:sz w:val="21"/>
              </w:rPr>
              <w:t>○</w:t>
            </w:r>
          </w:p>
        </w:tc>
        <w:tc>
          <w:tcPr>
            <w:tcW w:w="721" w:type="dxa"/>
          </w:tcPr>
          <w:p>
            <w:pPr>
              <w:pStyle w:val="19"/>
              <w:spacing w:before="35"/>
              <w:ind w:left="127" w:right="119"/>
              <w:rPr>
                <w:rFonts w:ascii="Times New Roman" w:hAnsi="Times New Roman"/>
                <w:color w:val="0000FF"/>
                <w:sz w:val="21"/>
              </w:rPr>
            </w:pPr>
            <w:r>
              <w:rPr>
                <w:color w:val="0000FF"/>
                <w:sz w:val="21"/>
              </w:rPr>
              <w:t>△</w:t>
            </w:r>
            <w:r>
              <w:rPr>
                <w:rFonts w:ascii="Times New Roman" w:hAnsi="Times New Roman"/>
                <w:color w:val="0000FF"/>
                <w:sz w:val="21"/>
              </w:rPr>
              <w:t>L</w:t>
            </w:r>
          </w:p>
        </w:tc>
        <w:tc>
          <w:tcPr>
            <w:tcW w:w="1300" w:type="dxa"/>
          </w:tcPr>
          <w:p>
            <w:pPr>
              <w:pStyle w:val="19"/>
              <w:spacing w:before="48"/>
              <w:ind w:left="206" w:right="198"/>
              <w:rPr>
                <w:rFonts w:ascii="Times New Roman" w:hAnsi="Times New Roman"/>
                <w:color w:val="0000FF"/>
                <w:sz w:val="21"/>
              </w:rPr>
            </w:pPr>
            <w:r>
              <w:rPr>
                <w:rFonts w:ascii="Times New Roman" w:hAnsi="Times New Roman"/>
                <w:color w:val="0000FF"/>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23" w:type="dxa"/>
            <w:gridSpan w:val="10"/>
          </w:tcPr>
          <w:p>
            <w:pPr>
              <w:pStyle w:val="19"/>
              <w:numPr>
                <w:ilvl w:val="0"/>
                <w:numId w:val="10"/>
              </w:numPr>
              <w:tabs>
                <w:tab w:val="left" w:pos="319"/>
              </w:tabs>
              <w:spacing w:before="35" w:after="0" w:line="240" w:lineRule="auto"/>
              <w:ind w:left="318" w:right="0" w:hanging="212"/>
              <w:jc w:val="left"/>
              <w:rPr>
                <w:color w:val="0000FF"/>
                <w:sz w:val="21"/>
              </w:rPr>
            </w:pPr>
            <w:r>
              <w:rPr>
                <w:color w:val="0000FF"/>
                <w:sz w:val="21"/>
              </w:rPr>
              <w:t>有影响，</w:t>
            </w:r>
            <w:r>
              <w:rPr>
                <w:rFonts w:ascii="Times New Roman" w:hAnsi="Times New Roman" w:eastAsia="Times New Roman"/>
                <w:color w:val="0000FF"/>
                <w:sz w:val="21"/>
              </w:rPr>
              <w:t>▲</w:t>
            </w:r>
            <w:r>
              <w:rPr>
                <w:color w:val="0000FF"/>
                <w:sz w:val="21"/>
              </w:rPr>
              <w:t>有轻微影响，△可能有影响，</w:t>
            </w:r>
            <w:r>
              <w:rPr>
                <w:rFonts w:ascii="Times New Roman" w:hAnsi="Times New Roman" w:eastAsia="Times New Roman"/>
                <w:color w:val="0000FF"/>
                <w:sz w:val="21"/>
              </w:rPr>
              <w:t>○</w:t>
            </w:r>
            <w:r>
              <w:rPr>
                <w:color w:val="0000FF"/>
                <w:sz w:val="21"/>
              </w:rPr>
              <w:t>没有影响，</w:t>
            </w:r>
            <w:r>
              <w:rPr>
                <w:rFonts w:ascii="Times New Roman" w:hAnsi="Times New Roman" w:eastAsia="Times New Roman"/>
                <w:color w:val="0000FF"/>
                <w:sz w:val="21"/>
              </w:rPr>
              <w:t>S</w:t>
            </w:r>
            <w:r>
              <w:rPr>
                <w:color w:val="0000FF"/>
                <w:sz w:val="21"/>
              </w:rPr>
              <w:t>短期影响，</w:t>
            </w:r>
            <w:r>
              <w:rPr>
                <w:rFonts w:ascii="Times New Roman" w:hAnsi="Times New Roman" w:eastAsia="Times New Roman"/>
                <w:color w:val="0000FF"/>
                <w:sz w:val="21"/>
              </w:rPr>
              <w:t>L</w:t>
            </w:r>
            <w:r>
              <w:rPr>
                <w:color w:val="0000FF"/>
                <w:sz w:val="21"/>
              </w:rPr>
              <w:t>长期影响</w:t>
            </w:r>
          </w:p>
        </w:tc>
      </w:tr>
    </w:tbl>
    <w:p>
      <w:pPr>
        <w:pStyle w:val="7"/>
        <w:spacing w:before="5"/>
        <w:ind w:left="0"/>
        <w:rPr>
          <w:b/>
          <w:sz w:val="18"/>
        </w:rPr>
      </w:pPr>
    </w:p>
    <w:p>
      <w:pPr>
        <w:pStyle w:val="7"/>
        <w:spacing w:line="364" w:lineRule="auto"/>
        <w:ind w:right="577" w:firstLine="480"/>
        <w:jc w:val="both"/>
        <w:rPr>
          <w:color w:val="0000FF"/>
        </w:rPr>
      </w:pPr>
      <w:r>
        <w:rPr>
          <w:color w:val="0000FF"/>
          <w:spacing w:val="-20"/>
        </w:rPr>
        <w:t>由表</w:t>
      </w:r>
      <w:r>
        <w:rPr>
          <w:rFonts w:ascii="Times New Roman" w:eastAsia="Times New Roman"/>
          <w:color w:val="0000FF"/>
        </w:rPr>
        <w:t>2.3-1</w:t>
      </w:r>
      <w:r>
        <w:rPr>
          <w:color w:val="0000FF"/>
          <w:spacing w:val="-1"/>
        </w:rPr>
        <w:t>可知，项目施工期对环境空气及水环境、声环境等均有短期的不</w:t>
      </w:r>
      <w:r>
        <w:rPr>
          <w:color w:val="0000FF"/>
          <w:spacing w:val="-10"/>
        </w:rPr>
        <w:t>利影响，但其会随着施工期的结束而消失。运营期的影响为长期影响，其主要环</w:t>
      </w:r>
      <w:r>
        <w:rPr>
          <w:color w:val="0000FF"/>
        </w:rPr>
        <w:t>境影响要素为环境空气及水环境，其次为声环境、固体废物。</w:t>
      </w:r>
    </w:p>
    <w:p>
      <w:pPr>
        <w:pStyle w:val="5"/>
        <w:numPr>
          <w:ilvl w:val="2"/>
          <w:numId w:val="5"/>
        </w:numPr>
        <w:tabs>
          <w:tab w:val="left" w:pos="1241"/>
        </w:tabs>
        <w:spacing w:before="118" w:after="0" w:line="240" w:lineRule="auto"/>
        <w:ind w:left="1240" w:right="0" w:hanging="701"/>
        <w:jc w:val="left"/>
        <w:outlineLvl w:val="2"/>
        <w:rPr>
          <w:rFonts w:ascii="Times New Roman" w:eastAsia="Times New Roman"/>
        </w:rPr>
      </w:pPr>
      <w:bookmarkStart w:id="57" w:name="2.3.2 评价因子筛选"/>
      <w:bookmarkEnd w:id="57"/>
      <w:bookmarkStart w:id="58" w:name="2.3.2 评价因子筛选"/>
      <w:bookmarkEnd w:id="58"/>
      <w:bookmarkStart w:id="59" w:name="_Toc1247"/>
      <w:r>
        <w:t>评价因子筛选</w:t>
      </w:r>
      <w:bookmarkEnd w:id="59"/>
    </w:p>
    <w:p>
      <w:pPr>
        <w:pStyle w:val="7"/>
        <w:spacing w:before="5"/>
        <w:ind w:left="0"/>
        <w:rPr>
          <w:b/>
          <w:sz w:val="21"/>
        </w:rPr>
      </w:pPr>
    </w:p>
    <w:p>
      <w:pPr>
        <w:pStyle w:val="7"/>
        <w:spacing w:line="364" w:lineRule="auto"/>
        <w:ind w:right="577" w:firstLine="480"/>
        <w:jc w:val="both"/>
        <w:rPr>
          <w:color w:val="0000FF"/>
        </w:rPr>
      </w:pPr>
      <w:r>
        <w:rPr>
          <w:color w:val="0000FF"/>
          <w:spacing w:val="-7"/>
        </w:rPr>
        <w:t>根据环境影响因素的识别结果，结合建设项目的工程特点、排污种类、排污</w:t>
      </w:r>
      <w:r>
        <w:rPr>
          <w:color w:val="0000FF"/>
          <w:spacing w:val="-3"/>
        </w:rPr>
        <w:t>去向及周围区域的环境质量状况，确定本次评价因子见表</w:t>
      </w:r>
      <w:r>
        <w:rPr>
          <w:rFonts w:ascii="Times New Roman" w:eastAsia="Times New Roman"/>
          <w:color w:val="0000FF"/>
        </w:rPr>
        <w:t>2.3-2</w:t>
      </w:r>
      <w:r>
        <w:rPr>
          <w:color w:val="0000FF"/>
        </w:rPr>
        <w:t>。</w:t>
      </w:r>
    </w:p>
    <w:p>
      <w:pPr>
        <w:pStyle w:val="7"/>
        <w:bidi w:val="0"/>
        <w:jc w:val="center"/>
        <w:rPr>
          <w:color w:val="0000FF"/>
        </w:rPr>
      </w:pPr>
      <w:r>
        <w:rPr>
          <w:color w:val="0000FF"/>
        </w:rPr>
        <w:t>表2.3-2</w:t>
      </w:r>
      <w:r>
        <w:rPr>
          <w:color w:val="0000FF"/>
        </w:rPr>
        <w:tab/>
      </w:r>
      <w:r>
        <w:rPr>
          <w:color w:val="0000FF"/>
        </w:rPr>
        <w:t>项目评价因子一览表</w:t>
      </w:r>
    </w:p>
    <w:tbl>
      <w:tblPr>
        <w:tblStyle w:val="15"/>
        <w:tblW w:w="0" w:type="auto"/>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3900"/>
        <w:gridCol w:w="3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02" w:type="dxa"/>
          </w:tcPr>
          <w:p>
            <w:pPr>
              <w:pStyle w:val="19"/>
              <w:spacing w:before="36"/>
              <w:ind w:left="110" w:right="102"/>
              <w:rPr>
                <w:b/>
                <w:color w:val="0000FF"/>
                <w:sz w:val="21"/>
              </w:rPr>
            </w:pPr>
            <w:r>
              <w:rPr>
                <w:b/>
                <w:color w:val="0000FF"/>
                <w:sz w:val="21"/>
              </w:rPr>
              <w:t>类别</w:t>
            </w:r>
          </w:p>
        </w:tc>
        <w:tc>
          <w:tcPr>
            <w:tcW w:w="3900" w:type="dxa"/>
          </w:tcPr>
          <w:p>
            <w:pPr>
              <w:pStyle w:val="19"/>
              <w:spacing w:before="36"/>
              <w:ind w:left="355" w:right="345"/>
              <w:rPr>
                <w:b/>
                <w:color w:val="0000FF"/>
                <w:sz w:val="21"/>
              </w:rPr>
            </w:pPr>
            <w:r>
              <w:rPr>
                <w:b/>
                <w:color w:val="0000FF"/>
                <w:sz w:val="21"/>
              </w:rPr>
              <w:t>现状评价因子</w:t>
            </w:r>
          </w:p>
        </w:tc>
        <w:tc>
          <w:tcPr>
            <w:tcW w:w="3322" w:type="dxa"/>
          </w:tcPr>
          <w:p>
            <w:pPr>
              <w:pStyle w:val="19"/>
              <w:spacing w:before="36"/>
              <w:ind w:left="65" w:right="53"/>
              <w:rPr>
                <w:b/>
                <w:color w:val="0000FF"/>
                <w:sz w:val="21"/>
              </w:rPr>
            </w:pPr>
            <w:r>
              <w:rPr>
                <w:b/>
                <w:color w:val="0000FF"/>
                <w:sz w:val="21"/>
              </w:rPr>
              <w:t>影响评价因子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2" w:type="dxa"/>
          </w:tcPr>
          <w:p>
            <w:pPr>
              <w:pStyle w:val="19"/>
              <w:spacing w:before="101"/>
              <w:ind w:left="110" w:right="102"/>
              <w:rPr>
                <w:color w:val="0000FF"/>
                <w:sz w:val="21"/>
              </w:rPr>
            </w:pPr>
            <w:r>
              <w:rPr>
                <w:color w:val="0000FF"/>
                <w:sz w:val="21"/>
              </w:rPr>
              <w:t>大气环境</w:t>
            </w:r>
          </w:p>
        </w:tc>
        <w:tc>
          <w:tcPr>
            <w:tcW w:w="3900" w:type="dxa"/>
          </w:tcPr>
          <w:p>
            <w:pPr>
              <w:pStyle w:val="19"/>
              <w:spacing w:before="16" w:line="240" w:lineRule="exact"/>
              <w:ind w:left="106" w:right="-15"/>
              <w:jc w:val="left"/>
              <w:rPr>
                <w:rFonts w:ascii="Times New Roman" w:eastAsia="Times New Roman"/>
                <w:color w:val="0000FF"/>
                <w:sz w:val="21"/>
              </w:rPr>
            </w:pPr>
            <w:r>
              <w:rPr>
                <w:rFonts w:ascii="Times New Roman" w:eastAsia="Times New Roman"/>
                <w:color w:val="0000FF"/>
                <w:spacing w:val="-1"/>
                <w:position w:val="2"/>
                <w:sz w:val="21"/>
              </w:rPr>
              <w:t>H</w:t>
            </w:r>
            <w:r>
              <w:rPr>
                <w:rFonts w:ascii="Times New Roman" w:eastAsia="Times New Roman"/>
                <w:color w:val="0000FF"/>
                <w:spacing w:val="-1"/>
                <w:position w:val="2"/>
                <w:sz w:val="21"/>
                <w:vertAlign w:val="subscript"/>
              </w:rPr>
              <w:t>2</w:t>
            </w:r>
            <w:r>
              <w:rPr>
                <w:rFonts w:ascii="Times New Roman" w:eastAsia="Times New Roman"/>
                <w:color w:val="0000FF"/>
                <w:spacing w:val="-1"/>
                <w:position w:val="2"/>
                <w:sz w:val="21"/>
                <w:vertAlign w:val="baseline"/>
              </w:rPr>
              <w:t>S</w:t>
            </w:r>
            <w:r>
              <w:rPr>
                <w:color w:val="0000FF"/>
                <w:spacing w:val="-61"/>
                <w:position w:val="2"/>
                <w:sz w:val="21"/>
                <w:vertAlign w:val="baseline"/>
              </w:rPr>
              <w:t>、</w:t>
            </w:r>
            <w:r>
              <w:rPr>
                <w:rFonts w:ascii="Times New Roman" w:eastAsia="Times New Roman"/>
                <w:color w:val="0000FF"/>
                <w:spacing w:val="-1"/>
                <w:position w:val="2"/>
                <w:sz w:val="21"/>
                <w:vertAlign w:val="baseline"/>
              </w:rPr>
              <w:t>NH</w:t>
            </w:r>
            <w:r>
              <w:rPr>
                <w:rFonts w:ascii="Times New Roman" w:eastAsia="Times New Roman"/>
                <w:color w:val="0000FF"/>
                <w:spacing w:val="-1"/>
                <w:position w:val="2"/>
                <w:sz w:val="21"/>
                <w:vertAlign w:val="subscript"/>
              </w:rPr>
              <w:t>3</w:t>
            </w:r>
            <w:r>
              <w:rPr>
                <w:color w:val="0000FF"/>
                <w:spacing w:val="-63"/>
                <w:position w:val="2"/>
                <w:sz w:val="21"/>
                <w:vertAlign w:val="baseline"/>
              </w:rPr>
              <w:t>、</w:t>
            </w:r>
            <w:r>
              <w:rPr>
                <w:rFonts w:ascii="Times New Roman" w:eastAsia="Times New Roman"/>
                <w:color w:val="0000FF"/>
                <w:spacing w:val="-1"/>
                <w:position w:val="2"/>
                <w:sz w:val="21"/>
                <w:vertAlign w:val="baseline"/>
              </w:rPr>
              <w:t>SO</w:t>
            </w:r>
            <w:r>
              <w:rPr>
                <w:rFonts w:ascii="Times New Roman" w:eastAsia="Times New Roman"/>
                <w:color w:val="0000FF"/>
                <w:spacing w:val="-1"/>
                <w:position w:val="2"/>
                <w:sz w:val="21"/>
                <w:vertAlign w:val="subscript"/>
              </w:rPr>
              <w:t>2</w:t>
            </w:r>
            <w:r>
              <w:rPr>
                <w:color w:val="0000FF"/>
                <w:spacing w:val="-63"/>
                <w:position w:val="2"/>
                <w:sz w:val="21"/>
                <w:vertAlign w:val="baseline"/>
              </w:rPr>
              <w:t>、</w:t>
            </w:r>
            <w:r>
              <w:rPr>
                <w:rFonts w:ascii="Times New Roman" w:eastAsia="Times New Roman"/>
                <w:color w:val="0000FF"/>
                <w:spacing w:val="-1"/>
                <w:position w:val="2"/>
                <w:sz w:val="21"/>
                <w:vertAlign w:val="baseline"/>
              </w:rPr>
              <w:t>NO</w:t>
            </w:r>
            <w:r>
              <w:rPr>
                <w:rFonts w:ascii="Times New Roman" w:eastAsia="Times New Roman"/>
                <w:color w:val="0000FF"/>
                <w:spacing w:val="-1"/>
                <w:position w:val="2"/>
                <w:sz w:val="21"/>
                <w:vertAlign w:val="subscript"/>
              </w:rPr>
              <w:t>2</w:t>
            </w:r>
            <w:r>
              <w:rPr>
                <w:color w:val="0000FF"/>
                <w:spacing w:val="-61"/>
                <w:position w:val="2"/>
                <w:sz w:val="21"/>
                <w:vertAlign w:val="baseline"/>
              </w:rPr>
              <w:t>、</w:t>
            </w:r>
            <w:r>
              <w:rPr>
                <w:rFonts w:ascii="Times New Roman" w:eastAsia="Times New Roman"/>
                <w:color w:val="0000FF"/>
                <w:spacing w:val="-1"/>
                <w:position w:val="2"/>
                <w:sz w:val="21"/>
                <w:vertAlign w:val="baseline"/>
              </w:rPr>
              <w:t>TSP</w:t>
            </w:r>
            <w:r>
              <w:rPr>
                <w:color w:val="0000FF"/>
                <w:spacing w:val="-61"/>
                <w:position w:val="2"/>
                <w:sz w:val="21"/>
                <w:vertAlign w:val="baseline"/>
              </w:rPr>
              <w:t>、</w:t>
            </w:r>
            <w:r>
              <w:rPr>
                <w:rFonts w:ascii="Times New Roman" w:eastAsia="Times New Roman"/>
                <w:color w:val="0000FF"/>
                <w:position w:val="2"/>
                <w:sz w:val="21"/>
                <w:vertAlign w:val="baseline"/>
              </w:rPr>
              <w:t>PM</w:t>
            </w:r>
            <w:r>
              <w:rPr>
                <w:rFonts w:ascii="Times New Roman" w:eastAsia="Times New Roman"/>
                <w:color w:val="0000FF"/>
                <w:position w:val="2"/>
                <w:sz w:val="21"/>
                <w:vertAlign w:val="subscript"/>
              </w:rPr>
              <w:t>10</w:t>
            </w:r>
            <w:r>
              <w:rPr>
                <w:color w:val="0000FF"/>
                <w:spacing w:val="-61"/>
                <w:position w:val="2"/>
                <w:sz w:val="21"/>
                <w:vertAlign w:val="baseline"/>
              </w:rPr>
              <w:t>、</w:t>
            </w:r>
            <w:r>
              <w:rPr>
                <w:rFonts w:ascii="Times New Roman" w:eastAsia="Times New Roman"/>
                <w:color w:val="0000FF"/>
                <w:position w:val="2"/>
                <w:sz w:val="21"/>
                <w:vertAlign w:val="baseline"/>
              </w:rPr>
              <w:t>PM</w:t>
            </w:r>
            <w:r>
              <w:rPr>
                <w:rFonts w:ascii="Times New Roman" w:eastAsia="Times New Roman"/>
                <w:color w:val="0000FF"/>
                <w:position w:val="2"/>
                <w:sz w:val="21"/>
                <w:vertAlign w:val="subscript"/>
              </w:rPr>
              <w:t>2.5</w:t>
            </w:r>
            <w:r>
              <w:rPr>
                <w:color w:val="0000FF"/>
                <w:spacing w:val="-20"/>
                <w:position w:val="2"/>
                <w:sz w:val="21"/>
                <w:vertAlign w:val="baseline"/>
              </w:rPr>
              <w:t>、</w:t>
            </w:r>
            <w:r>
              <w:rPr>
                <w:rFonts w:ascii="Times New Roman" w:eastAsia="Times New Roman"/>
                <w:color w:val="0000FF"/>
                <w:position w:val="2"/>
                <w:sz w:val="21"/>
                <w:vertAlign w:val="baseline"/>
              </w:rPr>
              <w:t>CO</w:t>
            </w:r>
            <w:r>
              <w:rPr>
                <w:color w:val="0000FF"/>
                <w:position w:val="2"/>
                <w:sz w:val="21"/>
                <w:vertAlign w:val="baseline"/>
              </w:rPr>
              <w:t>、</w:t>
            </w:r>
            <w:r>
              <w:rPr>
                <w:rFonts w:ascii="Times New Roman" w:eastAsia="Times New Roman"/>
                <w:color w:val="0000FF"/>
                <w:position w:val="2"/>
                <w:sz w:val="21"/>
                <w:vertAlign w:val="baseline"/>
              </w:rPr>
              <w:t>O</w:t>
            </w:r>
            <w:r>
              <w:rPr>
                <w:rFonts w:ascii="Times New Roman" w:eastAsia="Times New Roman"/>
                <w:color w:val="0000FF"/>
                <w:position w:val="2"/>
                <w:sz w:val="21"/>
                <w:vertAlign w:val="subscript"/>
              </w:rPr>
              <w:t>3</w:t>
            </w:r>
          </w:p>
        </w:tc>
        <w:tc>
          <w:tcPr>
            <w:tcW w:w="3322" w:type="dxa"/>
          </w:tcPr>
          <w:p>
            <w:pPr>
              <w:pStyle w:val="19"/>
              <w:spacing w:before="98"/>
              <w:ind w:left="65" w:right="56"/>
              <w:rPr>
                <w:color w:val="0000FF"/>
                <w:sz w:val="21"/>
              </w:rPr>
            </w:pPr>
            <w:r>
              <w:rPr>
                <w:rFonts w:ascii="Times New Roman" w:eastAsia="Times New Roman"/>
                <w:color w:val="0000FF"/>
                <w:position w:val="2"/>
                <w:sz w:val="21"/>
              </w:rPr>
              <w:t>NH</w:t>
            </w:r>
            <w:r>
              <w:rPr>
                <w:rFonts w:ascii="Times New Roman" w:eastAsia="Times New Roman"/>
                <w:color w:val="0000FF"/>
                <w:position w:val="2"/>
                <w:sz w:val="21"/>
                <w:vertAlign w:val="subscript"/>
              </w:rPr>
              <w:t>3</w:t>
            </w:r>
            <w:r>
              <w:rPr>
                <w:color w:val="0000FF"/>
                <w:position w:val="2"/>
                <w:sz w:val="21"/>
                <w:vertAlign w:val="baseline"/>
              </w:rPr>
              <w:t>、</w:t>
            </w:r>
            <w:r>
              <w:rPr>
                <w:rFonts w:ascii="Times New Roman" w:eastAsia="Times New Roman"/>
                <w:color w:val="0000FF"/>
                <w:position w:val="2"/>
                <w:sz w:val="21"/>
                <w:vertAlign w:val="baseline"/>
              </w:rPr>
              <w:t>H</w:t>
            </w:r>
            <w:r>
              <w:rPr>
                <w:rFonts w:ascii="Times New Roman" w:eastAsia="Times New Roman"/>
                <w:color w:val="0000FF"/>
                <w:position w:val="2"/>
                <w:sz w:val="21"/>
                <w:vertAlign w:val="subscript"/>
              </w:rPr>
              <w:t>2</w:t>
            </w:r>
            <w:r>
              <w:rPr>
                <w:rFonts w:ascii="Times New Roman" w:eastAsia="Times New Roman"/>
                <w:color w:val="0000FF"/>
                <w:position w:val="2"/>
                <w:sz w:val="21"/>
                <w:vertAlign w:val="baseli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4" w:hRule="atLeast"/>
        </w:trPr>
        <w:tc>
          <w:tcPr>
            <w:tcW w:w="1102" w:type="dxa"/>
          </w:tcPr>
          <w:p>
            <w:pPr>
              <w:pStyle w:val="19"/>
              <w:jc w:val="left"/>
              <w:rPr>
                <w:b/>
                <w:color w:val="0000FF"/>
                <w:sz w:val="20"/>
              </w:rPr>
            </w:pPr>
          </w:p>
          <w:p>
            <w:pPr>
              <w:pStyle w:val="19"/>
              <w:spacing w:before="11"/>
              <w:jc w:val="left"/>
              <w:rPr>
                <w:b/>
                <w:color w:val="0000FF"/>
                <w:sz w:val="14"/>
              </w:rPr>
            </w:pPr>
          </w:p>
          <w:p>
            <w:pPr>
              <w:pStyle w:val="19"/>
              <w:ind w:left="110" w:right="100"/>
              <w:rPr>
                <w:color w:val="0000FF"/>
                <w:sz w:val="21"/>
              </w:rPr>
            </w:pPr>
            <w:r>
              <w:rPr>
                <w:color w:val="0000FF"/>
                <w:sz w:val="21"/>
              </w:rPr>
              <w:t>水环境</w:t>
            </w:r>
          </w:p>
        </w:tc>
        <w:tc>
          <w:tcPr>
            <w:tcW w:w="3900" w:type="dxa"/>
          </w:tcPr>
          <w:p>
            <w:pPr>
              <w:pStyle w:val="19"/>
              <w:spacing w:line="213" w:lineRule="auto"/>
              <w:ind w:left="106" w:right="-15"/>
              <w:jc w:val="left"/>
              <w:rPr>
                <w:color w:val="0000FF"/>
                <w:sz w:val="21"/>
              </w:rPr>
            </w:pPr>
            <w:r>
              <w:rPr>
                <w:color w:val="0000FF"/>
                <w:spacing w:val="4"/>
                <w:sz w:val="21"/>
              </w:rPr>
              <w:t>地下水环境：</w:t>
            </w:r>
            <w:r>
              <w:rPr>
                <w:rFonts w:ascii="Times New Roman" w:eastAsia="Times New Roman"/>
                <w:color w:val="0000FF"/>
                <w:spacing w:val="4"/>
                <w:sz w:val="21"/>
              </w:rPr>
              <w:t>pH</w:t>
            </w:r>
            <w:r>
              <w:rPr>
                <w:color w:val="0000FF"/>
                <w:spacing w:val="3"/>
                <w:sz w:val="21"/>
              </w:rPr>
              <w:t>、总硬度、溶解性总固体、高锰酸盐指数、硝酸盐、亚硝酸盐、</w:t>
            </w:r>
            <w:r>
              <w:rPr>
                <w:color w:val="0000FF"/>
                <w:spacing w:val="-15"/>
                <w:sz w:val="21"/>
              </w:rPr>
              <w:t>氨氮、六价铬、硫酸盐、氯化物、氟化物、挥发酚、汞、砷、镉、铅、锰、氰化物、</w:t>
            </w:r>
          </w:p>
          <w:p>
            <w:pPr>
              <w:pStyle w:val="19"/>
              <w:spacing w:line="216" w:lineRule="exact"/>
              <w:ind w:left="106"/>
              <w:jc w:val="left"/>
              <w:rPr>
                <w:color w:val="0000FF"/>
                <w:sz w:val="21"/>
              </w:rPr>
            </w:pPr>
            <w:r>
              <w:rPr>
                <w:color w:val="0000FF"/>
                <w:sz w:val="21"/>
              </w:rPr>
              <w:t>总大肠菌群等。</w:t>
            </w:r>
          </w:p>
        </w:tc>
        <w:tc>
          <w:tcPr>
            <w:tcW w:w="3322" w:type="dxa"/>
          </w:tcPr>
          <w:p>
            <w:pPr>
              <w:pStyle w:val="19"/>
              <w:spacing w:before="12"/>
              <w:jc w:val="left"/>
              <w:rPr>
                <w:b/>
                <w:color w:val="0000FF"/>
                <w:sz w:val="17"/>
              </w:rPr>
            </w:pPr>
          </w:p>
          <w:p>
            <w:pPr>
              <w:pStyle w:val="19"/>
              <w:spacing w:line="213" w:lineRule="auto"/>
              <w:ind w:left="106" w:right="-15"/>
              <w:jc w:val="left"/>
              <w:rPr>
                <w:color w:val="0000FF"/>
                <w:sz w:val="21"/>
              </w:rPr>
            </w:pPr>
            <w:r>
              <w:rPr>
                <w:color w:val="0000FF"/>
                <w:spacing w:val="-7"/>
                <w:sz w:val="21"/>
              </w:rPr>
              <w:t>悬浮物、化学需氧量、五日生化需</w:t>
            </w:r>
            <w:r>
              <w:rPr>
                <w:color w:val="0000FF"/>
                <w:spacing w:val="-14"/>
                <w:sz w:val="21"/>
              </w:rPr>
              <w:t>氧量、总磷、氨氮、粪大肠菌群数、蛔虫卵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02" w:type="dxa"/>
          </w:tcPr>
          <w:p>
            <w:pPr>
              <w:pStyle w:val="19"/>
              <w:spacing w:before="35"/>
              <w:ind w:left="110" w:right="100"/>
              <w:rPr>
                <w:color w:val="0000FF"/>
                <w:sz w:val="21"/>
              </w:rPr>
            </w:pPr>
            <w:r>
              <w:rPr>
                <w:color w:val="0000FF"/>
                <w:sz w:val="21"/>
              </w:rPr>
              <w:t>声环境</w:t>
            </w:r>
          </w:p>
        </w:tc>
        <w:tc>
          <w:tcPr>
            <w:tcW w:w="3900" w:type="dxa"/>
          </w:tcPr>
          <w:p>
            <w:pPr>
              <w:pStyle w:val="19"/>
              <w:spacing w:before="35"/>
              <w:ind w:left="355" w:right="345"/>
              <w:rPr>
                <w:color w:val="0000FF"/>
                <w:sz w:val="21"/>
              </w:rPr>
            </w:pPr>
            <w:r>
              <w:rPr>
                <w:color w:val="0000FF"/>
                <w:sz w:val="21"/>
              </w:rPr>
              <w:t>等效连续</w:t>
            </w:r>
            <w:r>
              <w:rPr>
                <w:rFonts w:ascii="Times New Roman" w:eastAsia="Times New Roman"/>
                <w:color w:val="0000FF"/>
                <w:sz w:val="21"/>
              </w:rPr>
              <w:t>A</w:t>
            </w:r>
            <w:r>
              <w:rPr>
                <w:color w:val="0000FF"/>
                <w:sz w:val="21"/>
              </w:rPr>
              <w:t>声级（</w:t>
            </w:r>
            <w:r>
              <w:rPr>
                <w:rFonts w:ascii="Times New Roman" w:eastAsia="Times New Roman"/>
                <w:color w:val="0000FF"/>
                <w:sz w:val="21"/>
              </w:rPr>
              <w:t>Lep</w:t>
            </w:r>
            <w:r>
              <w:rPr>
                <w:color w:val="0000FF"/>
                <w:sz w:val="21"/>
              </w:rPr>
              <w:t>）</w:t>
            </w:r>
          </w:p>
        </w:tc>
        <w:tc>
          <w:tcPr>
            <w:tcW w:w="3322" w:type="dxa"/>
          </w:tcPr>
          <w:p>
            <w:pPr>
              <w:pStyle w:val="19"/>
              <w:spacing w:before="35"/>
              <w:ind w:left="65" w:right="56"/>
              <w:rPr>
                <w:color w:val="0000FF"/>
                <w:sz w:val="21"/>
              </w:rPr>
            </w:pPr>
            <w:r>
              <w:rPr>
                <w:color w:val="0000FF"/>
                <w:sz w:val="21"/>
              </w:rPr>
              <w:t>等效连续</w:t>
            </w:r>
            <w:r>
              <w:rPr>
                <w:rFonts w:ascii="Times New Roman" w:eastAsia="Times New Roman"/>
                <w:color w:val="0000FF"/>
                <w:sz w:val="21"/>
              </w:rPr>
              <w:t>A</w:t>
            </w:r>
            <w:r>
              <w:rPr>
                <w:color w:val="0000FF"/>
                <w:sz w:val="21"/>
              </w:rPr>
              <w:t>声级（</w:t>
            </w:r>
            <w:r>
              <w:rPr>
                <w:rFonts w:ascii="Times New Roman" w:eastAsia="Times New Roman"/>
                <w:color w:val="0000FF"/>
                <w:sz w:val="21"/>
              </w:rPr>
              <w:t>Lep</w:t>
            </w:r>
            <w:r>
              <w:rPr>
                <w:color w:val="0000FF"/>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2" w:type="dxa"/>
          </w:tcPr>
          <w:p>
            <w:pPr>
              <w:pStyle w:val="19"/>
              <w:spacing w:before="1" w:line="240" w:lineRule="exact"/>
              <w:ind w:left="445" w:right="121" w:hanging="315"/>
              <w:jc w:val="left"/>
              <w:rPr>
                <w:color w:val="0000FF"/>
                <w:sz w:val="21"/>
              </w:rPr>
            </w:pPr>
            <w:r>
              <w:rPr>
                <w:color w:val="0000FF"/>
                <w:sz w:val="21"/>
              </w:rPr>
              <w:t>固体废弃物</w:t>
            </w:r>
          </w:p>
        </w:tc>
        <w:tc>
          <w:tcPr>
            <w:tcW w:w="3900" w:type="dxa"/>
          </w:tcPr>
          <w:p>
            <w:pPr>
              <w:pStyle w:val="19"/>
              <w:spacing w:before="103"/>
              <w:ind w:left="7"/>
              <w:rPr>
                <w:color w:val="0000FF"/>
                <w:sz w:val="21"/>
              </w:rPr>
            </w:pPr>
            <w:r>
              <w:rPr>
                <w:color w:val="0000FF"/>
                <w:w w:val="99"/>
                <w:sz w:val="21"/>
              </w:rPr>
              <w:t>—</w:t>
            </w:r>
          </w:p>
        </w:tc>
        <w:tc>
          <w:tcPr>
            <w:tcW w:w="3322" w:type="dxa"/>
          </w:tcPr>
          <w:p>
            <w:pPr>
              <w:pStyle w:val="19"/>
              <w:spacing w:before="1" w:line="240" w:lineRule="exact"/>
              <w:ind w:left="106" w:right="36"/>
              <w:jc w:val="left"/>
              <w:rPr>
                <w:color w:val="0000FF"/>
                <w:sz w:val="21"/>
              </w:rPr>
            </w:pPr>
            <w:r>
              <w:rPr>
                <w:color w:val="0000FF"/>
                <w:sz w:val="21"/>
              </w:rPr>
              <w:t>粪便、病死尸体、医疗废物及生活垃圾等固体废物处理处置状况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02" w:type="dxa"/>
          </w:tcPr>
          <w:p>
            <w:pPr>
              <w:pStyle w:val="19"/>
              <w:spacing w:before="34"/>
              <w:ind w:left="110" w:right="102"/>
              <w:rPr>
                <w:color w:val="0000FF"/>
                <w:sz w:val="21"/>
              </w:rPr>
            </w:pPr>
            <w:r>
              <w:rPr>
                <w:color w:val="0000FF"/>
                <w:sz w:val="21"/>
              </w:rPr>
              <w:t>土壤环境</w:t>
            </w:r>
          </w:p>
        </w:tc>
        <w:tc>
          <w:tcPr>
            <w:tcW w:w="3900" w:type="dxa"/>
          </w:tcPr>
          <w:p>
            <w:pPr>
              <w:pStyle w:val="19"/>
              <w:spacing w:before="34"/>
              <w:ind w:left="355" w:right="345"/>
              <w:rPr>
                <w:color w:val="0000FF"/>
                <w:sz w:val="21"/>
              </w:rPr>
            </w:pPr>
            <w:r>
              <w:rPr>
                <w:color w:val="0000FF"/>
                <w:sz w:val="21"/>
              </w:rPr>
              <w:t>镉、汞、铅、砷、铬、铜、镍、锌</w:t>
            </w:r>
          </w:p>
        </w:tc>
        <w:tc>
          <w:tcPr>
            <w:tcW w:w="3322" w:type="dxa"/>
          </w:tcPr>
          <w:p>
            <w:pPr>
              <w:pStyle w:val="19"/>
              <w:spacing w:before="34"/>
              <w:ind w:left="65" w:right="56"/>
              <w:rPr>
                <w:color w:val="0000FF"/>
                <w:sz w:val="21"/>
              </w:rPr>
            </w:pPr>
            <w:r>
              <w:rPr>
                <w:color w:val="0000FF"/>
                <w:sz w:val="21"/>
              </w:rPr>
              <w:t>镉、汞、铅、砷、铬、铜、镍、锌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2" w:type="dxa"/>
          </w:tcPr>
          <w:p>
            <w:pPr>
              <w:pStyle w:val="19"/>
              <w:spacing w:before="103"/>
              <w:ind w:left="110" w:right="102"/>
              <w:rPr>
                <w:color w:val="0000FF"/>
                <w:sz w:val="21"/>
              </w:rPr>
            </w:pPr>
            <w:r>
              <w:rPr>
                <w:color w:val="0000FF"/>
                <w:sz w:val="21"/>
              </w:rPr>
              <w:t>生态环境</w:t>
            </w:r>
          </w:p>
        </w:tc>
        <w:tc>
          <w:tcPr>
            <w:tcW w:w="3900" w:type="dxa"/>
          </w:tcPr>
          <w:p>
            <w:pPr>
              <w:pStyle w:val="19"/>
              <w:spacing w:before="1" w:line="240" w:lineRule="exact"/>
              <w:ind w:left="106" w:right="99"/>
              <w:jc w:val="left"/>
              <w:rPr>
                <w:color w:val="0000FF"/>
                <w:sz w:val="21"/>
              </w:rPr>
            </w:pPr>
            <w:r>
              <w:rPr>
                <w:color w:val="0000FF"/>
                <w:spacing w:val="-10"/>
                <w:w w:val="95"/>
                <w:sz w:val="21"/>
              </w:rPr>
              <w:t>土地利用、水土流失、土壤、植被、野生</w:t>
            </w:r>
            <w:r>
              <w:rPr>
                <w:color w:val="0000FF"/>
                <w:spacing w:val="-10"/>
                <w:sz w:val="21"/>
              </w:rPr>
              <w:t>动物</w:t>
            </w:r>
          </w:p>
        </w:tc>
        <w:tc>
          <w:tcPr>
            <w:tcW w:w="3322" w:type="dxa"/>
          </w:tcPr>
          <w:p>
            <w:pPr>
              <w:pStyle w:val="19"/>
              <w:spacing w:before="1" w:line="240" w:lineRule="exact"/>
              <w:ind w:left="106" w:right="-15"/>
              <w:jc w:val="left"/>
              <w:rPr>
                <w:color w:val="0000FF"/>
                <w:sz w:val="21"/>
              </w:rPr>
            </w:pPr>
            <w:r>
              <w:rPr>
                <w:color w:val="0000FF"/>
                <w:spacing w:val="-13"/>
                <w:sz w:val="21"/>
              </w:rPr>
              <w:t>土地利用、水土流失、土壤、植被、野生动物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02" w:type="dxa"/>
          </w:tcPr>
          <w:p>
            <w:pPr>
              <w:pStyle w:val="19"/>
              <w:spacing w:before="34"/>
              <w:ind w:left="110" w:right="102"/>
              <w:rPr>
                <w:color w:val="0000FF"/>
                <w:sz w:val="21"/>
              </w:rPr>
            </w:pPr>
            <w:r>
              <w:rPr>
                <w:color w:val="0000FF"/>
                <w:sz w:val="21"/>
              </w:rPr>
              <w:t>环境风险</w:t>
            </w:r>
          </w:p>
        </w:tc>
        <w:tc>
          <w:tcPr>
            <w:tcW w:w="3900" w:type="dxa"/>
          </w:tcPr>
          <w:p>
            <w:pPr>
              <w:pStyle w:val="19"/>
              <w:spacing w:before="34"/>
              <w:ind w:left="352" w:right="345"/>
              <w:rPr>
                <w:color w:val="0000FF"/>
                <w:sz w:val="21"/>
              </w:rPr>
            </w:pPr>
            <w:r>
              <w:rPr>
                <w:color w:val="0000FF"/>
                <w:sz w:val="21"/>
              </w:rPr>
              <w:t>医疗废物风险、畜禽疫情风险</w:t>
            </w:r>
          </w:p>
        </w:tc>
        <w:tc>
          <w:tcPr>
            <w:tcW w:w="3322" w:type="dxa"/>
          </w:tcPr>
          <w:p>
            <w:pPr>
              <w:pStyle w:val="19"/>
              <w:spacing w:before="34"/>
              <w:ind w:left="9"/>
              <w:rPr>
                <w:color w:val="0000FF"/>
                <w:sz w:val="21"/>
              </w:rPr>
            </w:pPr>
            <w:r>
              <w:rPr>
                <w:color w:val="0000FF"/>
                <w:w w:val="99"/>
                <w:sz w:val="21"/>
              </w:rPr>
              <w:t>—</w:t>
            </w:r>
          </w:p>
        </w:tc>
      </w:tr>
    </w:tbl>
    <w:p>
      <w:pPr>
        <w:spacing w:after="0"/>
        <w:rPr>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4"/>
        <w:ind w:left="0"/>
        <w:rPr>
          <w:b/>
          <w:sz w:val="8"/>
        </w:rPr>
      </w:pPr>
    </w:p>
    <w:p>
      <w:pPr>
        <w:pStyle w:val="4"/>
        <w:numPr>
          <w:ilvl w:val="1"/>
          <w:numId w:val="5"/>
        </w:numPr>
        <w:tabs>
          <w:tab w:val="left" w:pos="1100"/>
        </w:tabs>
        <w:spacing w:before="64" w:after="0" w:line="240" w:lineRule="auto"/>
        <w:ind w:left="1099" w:right="0" w:hanging="560"/>
        <w:jc w:val="left"/>
        <w:outlineLvl w:val="1"/>
      </w:pPr>
      <w:bookmarkStart w:id="60" w:name="2.4 环境功能区划及评价标准"/>
      <w:bookmarkEnd w:id="60"/>
      <w:bookmarkStart w:id="61" w:name="_bookmark11"/>
      <w:bookmarkEnd w:id="61"/>
      <w:bookmarkStart w:id="62" w:name="_Toc6496"/>
      <w:r>
        <w:t>环境功能区划及评价标准</w:t>
      </w:r>
      <w:bookmarkEnd w:id="62"/>
    </w:p>
    <w:p>
      <w:pPr>
        <w:pStyle w:val="7"/>
        <w:spacing w:before="6"/>
        <w:ind w:left="0"/>
        <w:rPr>
          <w:b/>
          <w:sz w:val="28"/>
        </w:rPr>
      </w:pPr>
    </w:p>
    <w:p>
      <w:pPr>
        <w:pStyle w:val="18"/>
        <w:numPr>
          <w:ilvl w:val="2"/>
          <w:numId w:val="5"/>
        </w:numPr>
        <w:tabs>
          <w:tab w:val="left" w:pos="1241"/>
        </w:tabs>
        <w:spacing w:before="0" w:after="0" w:line="240" w:lineRule="auto"/>
        <w:ind w:left="1240" w:right="0" w:hanging="701"/>
        <w:jc w:val="left"/>
        <w:outlineLvl w:val="2"/>
        <w:rPr>
          <w:rFonts w:ascii="Times New Roman" w:eastAsia="Times New Roman"/>
          <w:b/>
          <w:sz w:val="28"/>
        </w:rPr>
      </w:pPr>
      <w:bookmarkStart w:id="63" w:name="2.4.1 环境功能区划"/>
      <w:bookmarkEnd w:id="63"/>
      <w:bookmarkStart w:id="64" w:name="2.4.1 环境功能区划"/>
      <w:bookmarkEnd w:id="64"/>
      <w:bookmarkStart w:id="65" w:name="_Toc1727"/>
      <w:r>
        <w:rPr>
          <w:b/>
          <w:sz w:val="28"/>
        </w:rPr>
        <w:t>环境功能区划</w:t>
      </w:r>
      <w:bookmarkEnd w:id="65"/>
    </w:p>
    <w:p>
      <w:pPr>
        <w:pStyle w:val="7"/>
        <w:spacing w:before="5"/>
        <w:ind w:left="0"/>
        <w:rPr>
          <w:b/>
          <w:sz w:val="21"/>
        </w:rPr>
      </w:pPr>
    </w:p>
    <w:p>
      <w:pPr>
        <w:pStyle w:val="18"/>
        <w:numPr>
          <w:ilvl w:val="0"/>
          <w:numId w:val="11"/>
        </w:numPr>
        <w:tabs>
          <w:tab w:val="left" w:pos="1621"/>
        </w:tabs>
        <w:spacing w:before="0" w:after="0" w:line="240" w:lineRule="auto"/>
        <w:ind w:left="1621" w:right="0" w:hanging="601"/>
        <w:jc w:val="left"/>
        <w:rPr>
          <w:sz w:val="24"/>
        </w:rPr>
      </w:pPr>
      <w:r>
        <w:rPr>
          <w:sz w:val="24"/>
        </w:rPr>
        <w:t>环境空气功能区划</w:t>
      </w:r>
    </w:p>
    <w:p>
      <w:pPr>
        <w:pStyle w:val="7"/>
        <w:spacing w:before="160" w:line="364" w:lineRule="auto"/>
        <w:ind w:right="485" w:firstLine="480"/>
        <w:rPr>
          <w:color w:val="0000FF"/>
        </w:rPr>
      </w:pPr>
      <w:r>
        <w:rPr>
          <w:color w:val="0000FF"/>
        </w:rPr>
        <w:t>根据《环境空气质量标准》（</w:t>
      </w:r>
      <w:r>
        <w:rPr>
          <w:rFonts w:ascii="Times New Roman" w:eastAsia="Times New Roman"/>
          <w:color w:val="0000FF"/>
        </w:rPr>
        <w:t>GB3095-2012</w:t>
      </w:r>
      <w:r>
        <w:rPr>
          <w:color w:val="0000FF"/>
        </w:rPr>
        <w:t>）中的环境空气质量功能区的分类和标准分级要求，项目属于二类环境空气功能区，执行《环境空气质量标准》</w:t>
      </w:r>
    </w:p>
    <w:p>
      <w:pPr>
        <w:pStyle w:val="7"/>
        <w:spacing w:before="2"/>
        <w:rPr>
          <w:color w:val="0000FF"/>
        </w:rPr>
      </w:pPr>
      <w:r>
        <w:rPr>
          <w:color w:val="0000FF"/>
        </w:rPr>
        <w:t>（</w:t>
      </w:r>
      <w:r>
        <w:rPr>
          <w:rFonts w:ascii="Times New Roman" w:eastAsia="Times New Roman"/>
          <w:color w:val="0000FF"/>
        </w:rPr>
        <w:t>GB3095-2012</w:t>
      </w:r>
      <w:r>
        <w:rPr>
          <w:color w:val="0000FF"/>
        </w:rPr>
        <w:t>）中二级标准。</w:t>
      </w:r>
    </w:p>
    <w:p>
      <w:pPr>
        <w:pStyle w:val="18"/>
        <w:numPr>
          <w:ilvl w:val="0"/>
          <w:numId w:val="11"/>
        </w:numPr>
        <w:tabs>
          <w:tab w:val="left" w:pos="1621"/>
        </w:tabs>
        <w:spacing w:before="160" w:after="0" w:line="240" w:lineRule="auto"/>
        <w:ind w:left="1621" w:right="0" w:hanging="601"/>
        <w:jc w:val="left"/>
        <w:rPr>
          <w:color w:val="0000FF"/>
          <w:sz w:val="24"/>
        </w:rPr>
      </w:pPr>
      <w:r>
        <w:rPr>
          <w:color w:val="0000FF"/>
          <w:sz w:val="24"/>
        </w:rPr>
        <w:t>水环境功能区划</w:t>
      </w:r>
    </w:p>
    <w:p>
      <w:pPr>
        <w:pStyle w:val="7"/>
        <w:spacing w:before="161"/>
        <w:ind w:left="1020"/>
        <w:rPr>
          <w:color w:val="0000FF"/>
        </w:rPr>
      </w:pPr>
      <w:r>
        <w:rPr>
          <w:color w:val="0000FF"/>
        </w:rPr>
        <w:t>地下水：根据区域地下水的使用功能，地下水划分为Ⅲ类功能区，执行国家</w:t>
      </w:r>
    </w:p>
    <w:p>
      <w:pPr>
        <w:pStyle w:val="7"/>
        <w:spacing w:before="160"/>
        <w:rPr>
          <w:color w:val="0000FF"/>
        </w:rPr>
      </w:pPr>
      <w:r>
        <w:rPr>
          <w:color w:val="0000FF"/>
        </w:rPr>
        <w:t>《地下水质量标准》（</w:t>
      </w:r>
      <w:r>
        <w:rPr>
          <w:rFonts w:ascii="Times New Roman" w:hAnsi="Times New Roman" w:eastAsia="Times New Roman"/>
          <w:color w:val="0000FF"/>
        </w:rPr>
        <w:t>GB/T 14848-2017</w:t>
      </w:r>
      <w:r>
        <w:rPr>
          <w:color w:val="0000FF"/>
        </w:rPr>
        <w:t>）中的Ⅲ类标准。</w:t>
      </w:r>
    </w:p>
    <w:p>
      <w:pPr>
        <w:pStyle w:val="18"/>
        <w:numPr>
          <w:ilvl w:val="0"/>
          <w:numId w:val="11"/>
        </w:numPr>
        <w:tabs>
          <w:tab w:val="left" w:pos="1621"/>
        </w:tabs>
        <w:spacing w:before="161" w:after="0" w:line="240" w:lineRule="auto"/>
        <w:ind w:left="1621" w:right="0" w:hanging="601"/>
        <w:jc w:val="left"/>
        <w:rPr>
          <w:color w:val="0000FF"/>
          <w:sz w:val="24"/>
        </w:rPr>
      </w:pPr>
      <w:r>
        <w:rPr>
          <w:color w:val="0000FF"/>
          <w:sz w:val="24"/>
        </w:rPr>
        <w:t>声环境功能区划</w:t>
      </w:r>
    </w:p>
    <w:p>
      <w:pPr>
        <w:pStyle w:val="7"/>
        <w:spacing w:before="160" w:line="364" w:lineRule="auto"/>
        <w:ind w:right="575" w:firstLine="480"/>
        <w:jc w:val="both"/>
        <w:rPr>
          <w:color w:val="0000FF"/>
        </w:rPr>
      </w:pPr>
      <w:r>
        <w:rPr>
          <w:color w:val="0000FF"/>
          <w:spacing w:val="-5"/>
        </w:rPr>
        <w:t>本项目位于新疆</w:t>
      </w:r>
      <w:r>
        <w:rPr>
          <w:rFonts w:hint="eastAsia"/>
          <w:color w:val="0000FF"/>
          <w:spacing w:val="-5"/>
          <w:lang w:val="en-US" w:eastAsia="zh-CN"/>
        </w:rPr>
        <w:t>喀什</w:t>
      </w:r>
      <w:r>
        <w:rPr>
          <w:color w:val="0000FF"/>
          <w:spacing w:val="-5"/>
        </w:rPr>
        <w:t>地区</w:t>
      </w:r>
      <w:r>
        <w:rPr>
          <w:rFonts w:hint="eastAsia"/>
          <w:color w:val="0000FF"/>
          <w:spacing w:val="-5"/>
          <w:lang w:val="en-US" w:eastAsia="zh-CN"/>
        </w:rPr>
        <w:t>莎车</w:t>
      </w:r>
      <w:r>
        <w:rPr>
          <w:color w:val="0000FF"/>
          <w:spacing w:val="-5"/>
        </w:rPr>
        <w:t>县</w:t>
      </w:r>
      <w:r>
        <w:rPr>
          <w:rFonts w:hint="eastAsia" w:ascii="宋体" w:hAnsi="宋体"/>
          <w:color w:val="0000FF"/>
          <w:szCs w:val="21"/>
        </w:rPr>
        <w:t>孜热甫夏提乡3村</w:t>
      </w:r>
      <w:r>
        <w:rPr>
          <w:color w:val="0000FF"/>
          <w:spacing w:val="-5"/>
        </w:rPr>
        <w:t>，属于乡村地区，根据《声</w:t>
      </w:r>
      <w:r>
        <w:rPr>
          <w:color w:val="0000FF"/>
        </w:rPr>
        <w:t>环境质量标准》（</w:t>
      </w:r>
      <w:r>
        <w:rPr>
          <w:rFonts w:ascii="Times New Roman" w:eastAsia="Times New Roman"/>
          <w:color w:val="0000FF"/>
        </w:rPr>
        <w:t>GB3096-2008</w:t>
      </w:r>
      <w:r>
        <w:rPr>
          <w:color w:val="0000FF"/>
        </w:rPr>
        <w:t>）</w:t>
      </w:r>
      <w:r>
        <w:rPr>
          <w:color w:val="0000FF"/>
          <w:spacing w:val="-4"/>
        </w:rPr>
        <w:t>中声环境功能区分类要求，项目所在区域为</w:t>
      </w:r>
      <w:r>
        <w:rPr>
          <w:rFonts w:ascii="Times New Roman" w:eastAsia="Times New Roman"/>
          <w:color w:val="0000FF"/>
        </w:rPr>
        <w:t>2</w:t>
      </w:r>
      <w:r>
        <w:rPr>
          <w:color w:val="0000FF"/>
        </w:rPr>
        <w:t>类声环境功能区。</w:t>
      </w:r>
    </w:p>
    <w:p>
      <w:pPr>
        <w:pStyle w:val="18"/>
        <w:numPr>
          <w:ilvl w:val="0"/>
          <w:numId w:val="11"/>
        </w:numPr>
        <w:tabs>
          <w:tab w:val="left" w:pos="1621"/>
        </w:tabs>
        <w:spacing w:before="2" w:after="0" w:line="240" w:lineRule="auto"/>
        <w:ind w:left="1621" w:right="0" w:hanging="601"/>
        <w:jc w:val="left"/>
        <w:rPr>
          <w:color w:val="0000FF"/>
          <w:sz w:val="24"/>
        </w:rPr>
      </w:pPr>
      <w:r>
        <w:rPr>
          <w:color w:val="0000FF"/>
          <w:sz w:val="24"/>
        </w:rPr>
        <w:t>生态环境</w:t>
      </w:r>
      <w:r>
        <w:rPr>
          <w:rFonts w:hint="eastAsia"/>
          <w:color w:val="0000FF"/>
          <w:sz w:val="24"/>
          <w:lang w:val="en-US" w:eastAsia="zh-CN"/>
        </w:rPr>
        <w:t>区划</w:t>
      </w:r>
    </w:p>
    <w:p>
      <w:pPr>
        <w:pStyle w:val="7"/>
        <w:spacing w:before="160" w:line="364" w:lineRule="auto"/>
        <w:ind w:right="577" w:firstLine="480"/>
        <w:jc w:val="both"/>
        <w:rPr>
          <w:rFonts w:hint="eastAsia"/>
          <w:color w:val="0000FF"/>
          <w:spacing w:val="-12"/>
          <w:lang w:val="en-US" w:eastAsia="zh-CN"/>
        </w:rPr>
      </w:pPr>
      <w:r>
        <w:rPr>
          <w:rFonts w:hint="eastAsia"/>
          <w:color w:val="0000FF"/>
          <w:spacing w:val="-12"/>
          <w:lang w:val="en-US" w:eastAsia="zh-CN"/>
        </w:rPr>
        <w:t>根据《新疆生态功能区划》，项目所在莎车县属于</w:t>
      </w:r>
      <w:r>
        <w:rPr>
          <w:rFonts w:hint="eastAsia"/>
          <w:color w:val="0000FF"/>
          <w:spacing w:val="-12"/>
        </w:rPr>
        <w:t>塔里木盆地暖温荒漠及绿洲农业生态区</w:t>
      </w:r>
      <w:r>
        <w:rPr>
          <w:rFonts w:hint="eastAsia"/>
          <w:color w:val="0000FF"/>
          <w:spacing w:val="-12"/>
          <w:lang w:val="en-US" w:eastAsia="zh-CN"/>
        </w:rPr>
        <w:t>，</w:t>
      </w:r>
      <w:r>
        <w:rPr>
          <w:rFonts w:hint="eastAsia"/>
          <w:color w:val="0000FF"/>
          <w:spacing w:val="-12"/>
        </w:rPr>
        <w:t>塔里木盆地西部、北部荒漠及绿洲农业生态亚区</w:t>
      </w:r>
      <w:r>
        <w:rPr>
          <w:rFonts w:hint="eastAsia"/>
          <w:color w:val="0000FF"/>
          <w:spacing w:val="-12"/>
          <w:lang w:val="en-US" w:eastAsia="zh-CN"/>
        </w:rPr>
        <w:t>，。</w:t>
      </w:r>
      <w:r>
        <w:rPr>
          <w:rFonts w:hint="eastAsia"/>
          <w:color w:val="0000FF"/>
          <w:spacing w:val="-12"/>
        </w:rPr>
        <w:t>该功能区主要的特征，见表</w:t>
      </w:r>
      <w:r>
        <w:rPr>
          <w:rFonts w:hint="eastAsia"/>
          <w:color w:val="0000FF"/>
          <w:spacing w:val="-12"/>
          <w:lang w:val="en-US" w:eastAsia="zh-CN"/>
        </w:rPr>
        <w:t>2.4.1-1。</w:t>
      </w:r>
    </w:p>
    <w:p>
      <w:pPr>
        <w:autoSpaceDE w:val="0"/>
        <w:autoSpaceDN w:val="0"/>
        <w:adjustRightInd w:val="0"/>
        <w:spacing w:line="392" w:lineRule="exact"/>
        <w:ind w:left="681"/>
        <w:jc w:val="center"/>
        <w:rPr>
          <w:rFonts w:hint="default"/>
          <w:color w:val="0000FF"/>
          <w:spacing w:val="-12"/>
          <w:lang w:val="en-US" w:eastAsia="zh-CN"/>
        </w:rPr>
      </w:pPr>
      <w:r>
        <w:rPr>
          <w:rFonts w:hint="eastAsia" w:ascii="宋体" w:hAnsi="宋体" w:eastAsia="宋体" w:cs="宋体"/>
          <w:color w:val="0000FF"/>
          <w:kern w:val="0"/>
          <w:sz w:val="20"/>
          <w:szCs w:val="20"/>
        </w:rPr>
        <w:t>表</w:t>
      </w:r>
      <w:r>
        <w:rPr>
          <w:rFonts w:hint="eastAsia" w:ascii="宋体" w:hAnsi="宋体" w:eastAsia="宋体" w:cs="宋体"/>
          <w:color w:val="0000FF"/>
          <w:kern w:val="0"/>
          <w:sz w:val="20"/>
          <w:szCs w:val="20"/>
          <w:lang w:val="en-US" w:eastAsia="zh-CN"/>
        </w:rPr>
        <w:t>2.4.1</w:t>
      </w:r>
      <w:r>
        <w:rPr>
          <w:rFonts w:hint="eastAsia" w:cs="宋体"/>
          <w:color w:val="0000FF"/>
          <w:kern w:val="0"/>
          <w:sz w:val="20"/>
          <w:szCs w:val="20"/>
          <w:lang w:val="en-US" w:eastAsia="zh-CN"/>
        </w:rPr>
        <w:t>-</w:t>
      </w:r>
      <w:r>
        <w:rPr>
          <w:rFonts w:hint="eastAsia" w:ascii="宋体" w:hAnsi="宋体" w:eastAsia="宋体" w:cs="宋体"/>
          <w:color w:val="0000FF"/>
          <w:kern w:val="0"/>
          <w:sz w:val="20"/>
          <w:szCs w:val="20"/>
          <w:lang w:val="en-US" w:eastAsia="zh-CN"/>
        </w:rPr>
        <w:t>1</w:t>
      </w:r>
      <w:r>
        <w:rPr>
          <w:rFonts w:hint="eastAsia" w:ascii="宋体" w:hAnsi="宋体" w:eastAsia="宋体" w:cs="宋体"/>
          <w:color w:val="0000FF"/>
          <w:kern w:val="0"/>
          <w:sz w:val="20"/>
          <w:szCs w:val="20"/>
        </w:rPr>
        <w:t>生态功能区主要特征</w:t>
      </w:r>
    </w:p>
    <w:tbl>
      <w:tblPr>
        <w:tblStyle w:val="15"/>
        <w:tblW w:w="8739" w:type="dxa"/>
        <w:jc w:val="center"/>
        <w:tblLayout w:type="autofit"/>
        <w:tblCellMar>
          <w:top w:w="0" w:type="dxa"/>
          <w:left w:w="0" w:type="dxa"/>
          <w:bottom w:w="0" w:type="dxa"/>
          <w:right w:w="0" w:type="dxa"/>
        </w:tblCellMar>
      </w:tblPr>
      <w:tblGrid>
        <w:gridCol w:w="2872"/>
        <w:gridCol w:w="5867"/>
      </w:tblGrid>
      <w:tr>
        <w:tblPrEx>
          <w:tblCellMar>
            <w:top w:w="0" w:type="dxa"/>
            <w:left w:w="0" w:type="dxa"/>
            <w:bottom w:w="0" w:type="dxa"/>
            <w:right w:w="0" w:type="dxa"/>
          </w:tblCellMar>
        </w:tblPrEx>
        <w:trPr>
          <w:trHeight w:val="668"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58" w:lineRule="exact"/>
              <w:ind w:firstLine="800" w:firstLineChars="400"/>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名称内容</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92" w:lineRule="exact"/>
              <w:ind w:left="681"/>
              <w:jc w:val="both"/>
              <w:rPr>
                <w:rFonts w:hint="eastAsia" w:ascii="宋体" w:hAnsi="宋体" w:eastAsia="宋体" w:cs="宋体"/>
                <w:color w:val="0000FF"/>
                <w:kern w:val="0"/>
                <w:sz w:val="20"/>
                <w:szCs w:val="20"/>
              </w:rPr>
            </w:pPr>
            <w:r>
              <w:rPr>
                <w:rFonts w:hint="eastAsia" w:ascii="宋体" w:hAnsi="宋体"/>
                <w:color w:val="0000FF"/>
              </w:rPr>
              <w:t>叶尔羌河平原绿洲农业及荒漠河岸林保护生态功能区</w:t>
            </w:r>
          </w:p>
        </w:tc>
      </w:tr>
      <w:tr>
        <w:tblPrEx>
          <w:tblCellMar>
            <w:top w:w="0" w:type="dxa"/>
            <w:left w:w="0" w:type="dxa"/>
            <w:bottom w:w="0" w:type="dxa"/>
            <w:right w:w="0" w:type="dxa"/>
          </w:tblCellMar>
        </w:tblPrEx>
        <w:trPr>
          <w:trHeight w:val="677"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9" w:lineRule="exact"/>
              <w:ind w:left="511"/>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主要生态服务功能</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9" w:lineRule="exact"/>
              <w:ind w:left="26"/>
              <w:jc w:val="center"/>
              <w:rPr>
                <w:rFonts w:hint="eastAsia" w:ascii="宋体" w:hAnsi="宋体" w:eastAsia="宋体" w:cs="宋体"/>
                <w:color w:val="0000FF"/>
                <w:kern w:val="0"/>
                <w:sz w:val="20"/>
                <w:szCs w:val="20"/>
              </w:rPr>
            </w:pPr>
            <w:r>
              <w:rPr>
                <w:rFonts w:hint="eastAsia" w:ascii="宋体" w:hAnsi="宋体"/>
                <w:color w:val="0000FF"/>
              </w:rPr>
              <w:t>农畜产品生产、荒漠化控制、油气资源开发、塔里木河水源补给</w:t>
            </w:r>
          </w:p>
        </w:tc>
      </w:tr>
      <w:tr>
        <w:tblPrEx>
          <w:tblCellMar>
            <w:top w:w="0" w:type="dxa"/>
            <w:left w:w="0" w:type="dxa"/>
            <w:bottom w:w="0" w:type="dxa"/>
            <w:right w:w="0" w:type="dxa"/>
          </w:tblCellMar>
        </w:tblPrEx>
        <w:trPr>
          <w:trHeight w:val="89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85" w:lineRule="exact"/>
              <w:ind w:left="511"/>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主要生态环境问题</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rFonts w:hint="eastAsia" w:ascii="宋体" w:hAnsi="宋体"/>
                <w:color w:val="0000FF"/>
              </w:rPr>
            </w:pPr>
            <w:r>
              <w:rPr>
                <w:rFonts w:hint="eastAsia" w:ascii="宋体" w:hAnsi="宋体"/>
                <w:color w:val="0000FF"/>
              </w:rPr>
              <w:t>土壤盐渍化、风沙危害、荒漠植被及胡杨林破坏、乱挖甘草、平原水库蒸发渗漏损失严重、油气开发污染环境、土壤环境质量下降</w:t>
            </w:r>
          </w:p>
          <w:p>
            <w:pPr>
              <w:autoSpaceDE w:val="0"/>
              <w:autoSpaceDN w:val="0"/>
              <w:adjustRightInd w:val="0"/>
              <w:spacing w:line="251" w:lineRule="exact"/>
              <w:ind w:left="26"/>
              <w:jc w:val="center"/>
              <w:rPr>
                <w:rFonts w:hint="eastAsia" w:ascii="宋体" w:hAnsi="宋体" w:eastAsia="宋体" w:cs="宋体"/>
                <w:color w:val="0000FF"/>
                <w:kern w:val="0"/>
                <w:sz w:val="20"/>
                <w:szCs w:val="20"/>
              </w:rPr>
            </w:pPr>
          </w:p>
        </w:tc>
      </w:tr>
      <w:tr>
        <w:tblPrEx>
          <w:tblCellMar>
            <w:top w:w="0" w:type="dxa"/>
            <w:left w:w="0" w:type="dxa"/>
            <w:bottom w:w="0" w:type="dxa"/>
            <w:right w:w="0" w:type="dxa"/>
          </w:tblCellMar>
        </w:tblPrEx>
        <w:trPr>
          <w:trHeight w:val="65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49" w:lineRule="exact"/>
              <w:ind w:firstLine="200" w:firstLineChars="100"/>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主要生态敏感因子、敏感程度</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49" w:lineRule="exact"/>
              <w:ind w:left="26"/>
              <w:jc w:val="center"/>
              <w:rPr>
                <w:rFonts w:hint="eastAsia" w:ascii="宋体" w:hAnsi="宋体" w:eastAsia="宋体" w:cs="宋体"/>
                <w:color w:val="0000FF"/>
                <w:kern w:val="0"/>
                <w:sz w:val="20"/>
                <w:szCs w:val="20"/>
              </w:rPr>
            </w:pPr>
            <w:r>
              <w:rPr>
                <w:rFonts w:hint="eastAsia" w:ascii="宋体" w:hAnsi="宋体"/>
                <w:color w:val="0000FF"/>
              </w:rPr>
              <w:t>生物多样性及其生境中度敏感，土地沙漠化中度敏感，土壤盐渍化轻度敏感</w:t>
            </w:r>
          </w:p>
        </w:tc>
      </w:tr>
      <w:tr>
        <w:tblPrEx>
          <w:tblCellMar>
            <w:top w:w="0" w:type="dxa"/>
            <w:left w:w="0" w:type="dxa"/>
            <w:bottom w:w="0" w:type="dxa"/>
            <w:right w:w="0" w:type="dxa"/>
          </w:tblCellMar>
        </w:tblPrEx>
        <w:trPr>
          <w:trHeight w:val="834"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1"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主要保护目标</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1" w:lineRule="exact"/>
              <w:rPr>
                <w:rFonts w:hint="eastAsia" w:ascii="宋体" w:hAnsi="宋体" w:eastAsia="宋体" w:cs="宋体"/>
                <w:color w:val="0000FF"/>
                <w:kern w:val="0"/>
                <w:sz w:val="20"/>
                <w:szCs w:val="20"/>
              </w:rPr>
            </w:pPr>
            <w:r>
              <w:rPr>
                <w:rFonts w:hint="eastAsia" w:ascii="宋体" w:hAnsi="宋体"/>
                <w:color w:val="0000FF"/>
              </w:rPr>
              <w:t>保护荒漠植被、保护荒漠河岸林、保护农田土壤环境质量</w:t>
            </w:r>
          </w:p>
        </w:tc>
      </w:tr>
      <w:tr>
        <w:tblPrEx>
          <w:tblCellMar>
            <w:top w:w="0" w:type="dxa"/>
            <w:left w:w="0" w:type="dxa"/>
            <w:bottom w:w="0" w:type="dxa"/>
            <w:right w:w="0" w:type="dxa"/>
          </w:tblCellMar>
        </w:tblPrEx>
        <w:trPr>
          <w:trHeight w:val="65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85"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主要保护措施</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522" w:lineRule="exact"/>
              <w:ind w:left="26"/>
              <w:jc w:val="center"/>
              <w:rPr>
                <w:rFonts w:hint="eastAsia" w:ascii="宋体" w:hAnsi="宋体" w:eastAsia="宋体" w:cs="宋体"/>
                <w:color w:val="0000FF"/>
                <w:kern w:val="0"/>
                <w:sz w:val="20"/>
                <w:szCs w:val="20"/>
              </w:rPr>
            </w:pPr>
            <w:r>
              <w:rPr>
                <w:rFonts w:hint="eastAsia" w:ascii="宋体" w:hAnsi="宋体"/>
                <w:color w:val="0000FF"/>
              </w:rPr>
              <w:t>适度开发地下水、增加向塔河输水量、退耕还林还草、废除部分平原水库、节水灌溉、加强农田投入品的使用管理</w:t>
            </w:r>
          </w:p>
        </w:tc>
      </w:tr>
      <w:tr>
        <w:tblPrEx>
          <w:tblCellMar>
            <w:top w:w="0" w:type="dxa"/>
            <w:left w:w="0" w:type="dxa"/>
            <w:bottom w:w="0" w:type="dxa"/>
            <w:right w:w="0" w:type="dxa"/>
          </w:tblCellMar>
        </w:tblPrEx>
        <w:trPr>
          <w:trHeight w:val="63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61"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适宜发展方向</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61" w:lineRule="exact"/>
              <w:ind w:left="26"/>
              <w:jc w:val="center"/>
              <w:rPr>
                <w:rFonts w:hint="eastAsia" w:ascii="宋体" w:hAnsi="宋体" w:eastAsia="宋体" w:cs="宋体"/>
                <w:color w:val="0000FF"/>
                <w:kern w:val="0"/>
                <w:sz w:val="20"/>
                <w:szCs w:val="20"/>
              </w:rPr>
            </w:pPr>
            <w:r>
              <w:rPr>
                <w:rFonts w:hint="eastAsia" w:ascii="宋体" w:hAnsi="宋体"/>
                <w:color w:val="0000FF"/>
              </w:rPr>
              <w:t>建成粮食、经济作物、林果业基地，发展农区畜牧业</w:t>
            </w:r>
          </w:p>
        </w:tc>
      </w:tr>
    </w:tbl>
    <w:p>
      <w:pPr>
        <w:pStyle w:val="5"/>
        <w:numPr>
          <w:ilvl w:val="2"/>
          <w:numId w:val="5"/>
        </w:numPr>
        <w:tabs>
          <w:tab w:val="left" w:pos="1241"/>
        </w:tabs>
        <w:spacing w:before="116" w:after="0" w:line="240" w:lineRule="auto"/>
        <w:ind w:left="1240" w:right="0" w:hanging="701"/>
        <w:jc w:val="left"/>
        <w:outlineLvl w:val="2"/>
        <w:rPr>
          <w:rFonts w:ascii="Times New Roman" w:eastAsia="Times New Roman"/>
        </w:rPr>
      </w:pPr>
      <w:bookmarkStart w:id="66" w:name="2.4.2 评价标准"/>
      <w:bookmarkEnd w:id="66"/>
      <w:bookmarkStart w:id="67" w:name="2.4.2 评价标准"/>
      <w:bookmarkEnd w:id="67"/>
      <w:bookmarkStart w:id="68" w:name="_Toc14572"/>
      <w:r>
        <w:t>评价标准</w:t>
      </w:r>
      <w:bookmarkEnd w:id="68"/>
    </w:p>
    <w:p>
      <w:pPr>
        <w:pStyle w:val="7"/>
        <w:spacing w:before="1"/>
        <w:ind w:left="0"/>
        <w:rPr>
          <w:b/>
          <w:sz w:val="22"/>
        </w:rPr>
      </w:pPr>
    </w:p>
    <w:p>
      <w:pPr>
        <w:pStyle w:val="18"/>
        <w:numPr>
          <w:ilvl w:val="3"/>
          <w:numId w:val="12"/>
        </w:numPr>
        <w:tabs>
          <w:tab w:val="left" w:pos="1320"/>
        </w:tabs>
        <w:spacing w:before="1" w:after="0" w:line="240" w:lineRule="auto"/>
        <w:ind w:left="1320" w:right="0" w:hanging="780"/>
        <w:jc w:val="left"/>
        <w:rPr>
          <w:sz w:val="24"/>
        </w:rPr>
      </w:pPr>
      <w:bookmarkStart w:id="69" w:name="2.4.2.1 环境质量标准"/>
      <w:bookmarkEnd w:id="69"/>
      <w:bookmarkStart w:id="70" w:name="2.4.2.1 环境质量标准"/>
      <w:bookmarkEnd w:id="70"/>
      <w:r>
        <w:rPr>
          <w:sz w:val="24"/>
        </w:rPr>
        <w:t>环境质量标准</w:t>
      </w:r>
    </w:p>
    <w:p>
      <w:pPr>
        <w:pStyle w:val="18"/>
        <w:numPr>
          <w:ilvl w:val="4"/>
          <w:numId w:val="12"/>
        </w:numPr>
        <w:tabs>
          <w:tab w:val="left" w:pos="1621"/>
        </w:tabs>
        <w:spacing w:before="167" w:after="0" w:line="240" w:lineRule="auto"/>
        <w:ind w:left="1621" w:right="0" w:hanging="601"/>
        <w:jc w:val="left"/>
        <w:rPr>
          <w:color w:val="0000FF"/>
          <w:sz w:val="24"/>
        </w:rPr>
      </w:pPr>
      <w:r>
        <w:rPr>
          <w:color w:val="0000FF"/>
          <w:sz w:val="24"/>
        </w:rPr>
        <w:t>环境空气质量标准</w:t>
      </w:r>
    </w:p>
    <w:p>
      <w:pPr>
        <w:pStyle w:val="7"/>
        <w:spacing w:before="158" w:line="362" w:lineRule="auto"/>
        <w:ind w:right="449" w:firstLine="480"/>
        <w:jc w:val="both"/>
        <w:rPr>
          <w:color w:val="0000FF"/>
        </w:rPr>
      </w:pPr>
      <w:r>
        <w:rPr>
          <w:color w:val="0000FF"/>
          <w:spacing w:val="-9"/>
          <w:position w:val="2"/>
        </w:rPr>
        <w:t>项目所在地属环境空气质量二类区，环境空气质量中</w:t>
      </w:r>
      <w:r>
        <w:rPr>
          <w:rFonts w:ascii="Times New Roman" w:hAnsi="Times New Roman" w:eastAsia="Times New Roman"/>
          <w:color w:val="0000FF"/>
          <w:position w:val="2"/>
        </w:rPr>
        <w:t>SO</w:t>
      </w:r>
      <w:r>
        <w:rPr>
          <w:rFonts w:ascii="Times New Roman" w:hAnsi="Times New Roman" w:eastAsia="Times New Roman"/>
          <w:color w:val="0000FF"/>
          <w:position w:val="2"/>
          <w:vertAlign w:val="subscript"/>
        </w:rPr>
        <w:t>2</w:t>
      </w:r>
      <w:r>
        <w:rPr>
          <w:color w:val="0000FF"/>
          <w:spacing w:val="-111"/>
          <w:position w:val="2"/>
          <w:vertAlign w:val="baseline"/>
        </w:rPr>
        <w:t>、</w:t>
      </w:r>
      <w:r>
        <w:rPr>
          <w:rFonts w:ascii="Times New Roman" w:hAnsi="Times New Roman" w:eastAsia="Times New Roman"/>
          <w:color w:val="0000FF"/>
          <w:position w:val="2"/>
          <w:vertAlign w:val="baseline"/>
        </w:rPr>
        <w:t>NO</w:t>
      </w:r>
      <w:r>
        <w:rPr>
          <w:rFonts w:ascii="Times New Roman" w:hAnsi="Times New Roman" w:eastAsia="Times New Roman"/>
          <w:color w:val="0000FF"/>
          <w:position w:val="2"/>
          <w:vertAlign w:val="subscript"/>
        </w:rPr>
        <w:t>2</w:t>
      </w:r>
      <w:r>
        <w:rPr>
          <w:color w:val="0000FF"/>
          <w:spacing w:val="-111"/>
          <w:position w:val="2"/>
          <w:vertAlign w:val="baseline"/>
        </w:rPr>
        <w:t>、</w:t>
      </w:r>
      <w:r>
        <w:rPr>
          <w:rFonts w:ascii="Times New Roman" w:hAnsi="Times New Roman" w:eastAsia="Times New Roman"/>
          <w:color w:val="0000FF"/>
          <w:position w:val="2"/>
          <w:vertAlign w:val="baseline"/>
        </w:rPr>
        <w:t>PM</w:t>
      </w:r>
      <w:r>
        <w:rPr>
          <w:rFonts w:ascii="Times New Roman" w:hAnsi="Times New Roman" w:eastAsia="Times New Roman"/>
          <w:color w:val="0000FF"/>
          <w:position w:val="2"/>
          <w:vertAlign w:val="subscript"/>
        </w:rPr>
        <w:t>10</w:t>
      </w:r>
      <w:r>
        <w:rPr>
          <w:color w:val="0000FF"/>
          <w:spacing w:val="-108"/>
          <w:position w:val="2"/>
          <w:vertAlign w:val="baseline"/>
        </w:rPr>
        <w:t>、</w:t>
      </w:r>
      <w:r>
        <w:rPr>
          <w:rFonts w:ascii="Times New Roman" w:hAnsi="Times New Roman" w:eastAsia="Times New Roman"/>
          <w:color w:val="0000FF"/>
          <w:position w:val="2"/>
          <w:vertAlign w:val="baseline"/>
        </w:rPr>
        <w:t>PM</w:t>
      </w:r>
      <w:r>
        <w:rPr>
          <w:rFonts w:ascii="Times New Roman" w:hAnsi="Times New Roman" w:eastAsia="Times New Roman"/>
          <w:color w:val="0000FF"/>
          <w:position w:val="2"/>
          <w:vertAlign w:val="subscript"/>
        </w:rPr>
        <w:t>2.5</w:t>
      </w:r>
      <w:r>
        <w:rPr>
          <w:color w:val="0000FF"/>
          <w:spacing w:val="-28"/>
          <w:position w:val="2"/>
          <w:vertAlign w:val="baseline"/>
        </w:rPr>
        <w:t>、</w:t>
      </w:r>
      <w:r>
        <w:rPr>
          <w:rFonts w:ascii="Times New Roman" w:hAnsi="Times New Roman" w:eastAsia="Times New Roman"/>
          <w:color w:val="0000FF"/>
          <w:position w:val="2"/>
          <w:vertAlign w:val="baseline"/>
        </w:rPr>
        <w:t>TSP</w:t>
      </w:r>
      <w:r>
        <w:rPr>
          <w:color w:val="0000FF"/>
          <w:position w:val="2"/>
          <w:vertAlign w:val="baseline"/>
        </w:rPr>
        <w:t>、</w:t>
      </w:r>
      <w:r>
        <w:rPr>
          <w:rFonts w:ascii="Times New Roman" w:hAnsi="Times New Roman" w:eastAsia="Times New Roman"/>
          <w:color w:val="0000FF"/>
          <w:position w:val="2"/>
          <w:vertAlign w:val="baseline"/>
        </w:rPr>
        <w:t>CO</w:t>
      </w:r>
      <w:r>
        <w:rPr>
          <w:color w:val="0000FF"/>
          <w:position w:val="2"/>
          <w:vertAlign w:val="baseline"/>
        </w:rPr>
        <w:t>、</w:t>
      </w:r>
      <w:r>
        <w:rPr>
          <w:rFonts w:ascii="Times New Roman" w:hAnsi="Times New Roman" w:eastAsia="Times New Roman"/>
          <w:color w:val="0000FF"/>
          <w:position w:val="2"/>
          <w:vertAlign w:val="baseline"/>
        </w:rPr>
        <w:t>O</w:t>
      </w:r>
      <w:r>
        <w:rPr>
          <w:rFonts w:ascii="Times New Roman" w:hAnsi="Times New Roman" w:eastAsia="Times New Roman"/>
          <w:color w:val="0000FF"/>
          <w:position w:val="2"/>
          <w:vertAlign w:val="subscript"/>
        </w:rPr>
        <w:t>3</w:t>
      </w:r>
      <w:r>
        <w:rPr>
          <w:color w:val="0000FF"/>
          <w:position w:val="2"/>
          <w:vertAlign w:val="baseline"/>
        </w:rPr>
        <w:t>指标执行《环境空气质量标准》（</w:t>
      </w:r>
      <w:r>
        <w:rPr>
          <w:rFonts w:ascii="Times New Roman" w:hAnsi="Times New Roman" w:eastAsia="Times New Roman"/>
          <w:color w:val="0000FF"/>
          <w:position w:val="2"/>
          <w:vertAlign w:val="baseline"/>
        </w:rPr>
        <w:t>GB3095-2012</w:t>
      </w:r>
      <w:r>
        <w:rPr>
          <w:color w:val="0000FF"/>
          <w:position w:val="2"/>
          <w:vertAlign w:val="baseline"/>
        </w:rPr>
        <w:t>）二级浓度限值；</w:t>
      </w:r>
      <w:r>
        <w:rPr>
          <w:rFonts w:ascii="Times New Roman" w:hAnsi="Times New Roman" w:eastAsia="Times New Roman"/>
          <w:color w:val="0000FF"/>
          <w:position w:val="2"/>
          <w:vertAlign w:val="baseline"/>
        </w:rPr>
        <w:t>H</w:t>
      </w:r>
      <w:r>
        <w:rPr>
          <w:rFonts w:ascii="Times New Roman" w:hAnsi="Times New Roman" w:eastAsia="Times New Roman"/>
          <w:color w:val="0000FF"/>
          <w:position w:val="2"/>
          <w:vertAlign w:val="subscript"/>
        </w:rPr>
        <w:t>2</w:t>
      </w:r>
      <w:r>
        <w:rPr>
          <w:rFonts w:ascii="Times New Roman" w:hAnsi="Times New Roman" w:eastAsia="Times New Roman"/>
          <w:color w:val="0000FF"/>
          <w:position w:val="2"/>
          <w:vertAlign w:val="baseline"/>
        </w:rPr>
        <w:t>S</w:t>
      </w:r>
      <w:r>
        <w:rPr>
          <w:color w:val="0000FF"/>
          <w:spacing w:val="7"/>
          <w:position w:val="2"/>
          <w:vertAlign w:val="baseline"/>
        </w:rPr>
        <w:t>、</w:t>
      </w:r>
      <w:r>
        <w:rPr>
          <w:rFonts w:ascii="Times New Roman" w:hAnsi="Times New Roman" w:eastAsia="Times New Roman"/>
          <w:color w:val="0000FF"/>
          <w:position w:val="2"/>
          <w:vertAlign w:val="baseline"/>
        </w:rPr>
        <w:t>NH</w:t>
      </w:r>
      <w:r>
        <w:rPr>
          <w:rFonts w:ascii="Times New Roman" w:hAnsi="Times New Roman" w:eastAsia="Times New Roman"/>
          <w:color w:val="0000FF"/>
          <w:position w:val="2"/>
          <w:vertAlign w:val="subscript"/>
        </w:rPr>
        <w:t>3</w:t>
      </w:r>
      <w:r>
        <w:rPr>
          <w:color w:val="0000FF"/>
          <w:spacing w:val="7"/>
          <w:position w:val="2"/>
          <w:vertAlign w:val="baseline"/>
        </w:rPr>
        <w:t>执行《环境影响评价技术导则</w:t>
      </w:r>
      <w:r>
        <w:rPr>
          <w:rFonts w:ascii="Times New Roman" w:hAnsi="Times New Roman" w:eastAsia="Times New Roman"/>
          <w:color w:val="0000FF"/>
          <w:spacing w:val="6"/>
          <w:position w:val="2"/>
          <w:vertAlign w:val="baseline"/>
        </w:rPr>
        <w:t>·</w:t>
      </w:r>
      <w:r>
        <w:rPr>
          <w:color w:val="0000FF"/>
          <w:spacing w:val="7"/>
          <w:position w:val="2"/>
          <w:vertAlign w:val="baseline"/>
        </w:rPr>
        <w:t>大气环境》</w:t>
      </w:r>
      <w:r>
        <w:rPr>
          <w:color w:val="0000FF"/>
          <w:position w:val="2"/>
          <w:vertAlign w:val="baseline"/>
        </w:rPr>
        <w:t>（</w:t>
      </w:r>
      <w:r>
        <w:rPr>
          <w:rFonts w:ascii="Times New Roman" w:hAnsi="Times New Roman" w:eastAsia="Times New Roman"/>
          <w:color w:val="0000FF"/>
          <w:position w:val="2"/>
          <w:vertAlign w:val="baseline"/>
        </w:rPr>
        <w:t>HJ2.2-2018</w:t>
      </w:r>
      <w:r>
        <w:rPr>
          <w:color w:val="0000FF"/>
          <w:position w:val="2"/>
          <w:vertAlign w:val="baseline"/>
        </w:rPr>
        <w:t>）</w:t>
      </w:r>
      <w:r>
        <w:rPr>
          <w:color w:val="0000FF"/>
          <w:spacing w:val="-14"/>
          <w:position w:val="2"/>
          <w:vertAlign w:val="baseline"/>
        </w:rPr>
        <w:t>附录</w:t>
      </w:r>
      <w:r>
        <w:rPr>
          <w:rFonts w:ascii="Times New Roman" w:hAnsi="Times New Roman" w:eastAsia="Times New Roman"/>
          <w:color w:val="0000FF"/>
          <w:position w:val="2"/>
          <w:vertAlign w:val="baseline"/>
        </w:rPr>
        <w:t>D</w:t>
      </w:r>
      <w:r>
        <w:rPr>
          <w:color w:val="0000FF"/>
          <w:position w:val="2"/>
          <w:vertAlign w:val="baseline"/>
        </w:rPr>
        <w:t>表</w:t>
      </w:r>
    </w:p>
    <w:p>
      <w:pPr>
        <w:pStyle w:val="7"/>
        <w:spacing w:before="1"/>
        <w:jc w:val="both"/>
        <w:rPr>
          <w:color w:val="0000FF"/>
          <w:sz w:val="20"/>
        </w:rPr>
      </w:pPr>
      <w:r>
        <w:rPr>
          <w:rFonts w:ascii="Times New Roman" w:eastAsia="Times New Roman"/>
          <w:color w:val="0000FF"/>
        </w:rPr>
        <w:t>D.1</w:t>
      </w:r>
      <w:r>
        <w:rPr>
          <w:color w:val="0000FF"/>
        </w:rPr>
        <w:t>其他污染物空气质量浓度参考限值。其主要评价指标见</w:t>
      </w:r>
      <w:r>
        <w:rPr>
          <w:rFonts w:ascii="Times New Roman" w:eastAsia="Times New Roman"/>
          <w:color w:val="0000FF"/>
        </w:rPr>
        <w:t>2.4</w:t>
      </w:r>
      <w:r>
        <w:rPr>
          <w:rFonts w:hint="eastAsia" w:ascii="Times New Roman" w:eastAsia="宋体"/>
          <w:color w:val="0000FF"/>
          <w:lang w:val="en-US" w:eastAsia="zh-CN"/>
        </w:rPr>
        <w:t>.2</w:t>
      </w:r>
      <w:r>
        <w:rPr>
          <w:rFonts w:ascii="Times New Roman" w:eastAsia="Times New Roman"/>
          <w:color w:val="0000FF"/>
        </w:rPr>
        <w:t>-1</w:t>
      </w:r>
      <w:r>
        <w:rPr>
          <w:rFonts w:hint="eastAsia" w:ascii="Times New Roman" w:eastAsia="宋体"/>
          <w:color w:val="0000FF"/>
          <w:lang w:eastAsia="zh-CN"/>
        </w:rPr>
        <w:t>。</w:t>
      </w:r>
    </w:p>
    <w:p>
      <w:pPr>
        <w:pStyle w:val="7"/>
        <w:spacing w:before="5"/>
        <w:ind w:left="0"/>
        <w:rPr>
          <w:color w:val="0000FF"/>
          <w:sz w:val="15"/>
        </w:rPr>
      </w:pPr>
    </w:p>
    <w:p>
      <w:pPr>
        <w:pStyle w:val="7"/>
        <w:bidi w:val="0"/>
        <w:jc w:val="center"/>
      </w:pPr>
      <w:r>
        <w:t>表2.4</w:t>
      </w:r>
      <w:r>
        <w:rPr>
          <w:rFonts w:hint="eastAsia"/>
          <w:lang w:val="en-US" w:eastAsia="zh-CN"/>
        </w:rPr>
        <w:t>.2</w:t>
      </w:r>
      <w:r>
        <w:t>-1</w:t>
      </w:r>
      <w:r>
        <w:tab/>
      </w:r>
      <w:r>
        <w:t>环境空气质量标准限值</w:t>
      </w:r>
      <w:r>
        <w:tab/>
      </w:r>
      <w:r>
        <w:t>单位：mg/m3</w:t>
      </w:r>
    </w:p>
    <w:tbl>
      <w:tblPr>
        <w:tblStyle w:val="15"/>
        <w:tblW w:w="0" w:type="auto"/>
        <w:tblInd w:w="5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9"/>
        <w:gridCol w:w="1860"/>
        <w:gridCol w:w="1288"/>
        <w:gridCol w:w="3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9"/>
              <w:spacing w:before="31"/>
              <w:ind w:left="187" w:right="176"/>
              <w:rPr>
                <w:b/>
                <w:color w:val="0000FF"/>
                <w:sz w:val="21"/>
              </w:rPr>
            </w:pPr>
            <w:r>
              <w:rPr>
                <w:b/>
                <w:color w:val="0000FF"/>
                <w:sz w:val="21"/>
              </w:rPr>
              <w:t>污染物名称</w:t>
            </w:r>
          </w:p>
        </w:tc>
        <w:tc>
          <w:tcPr>
            <w:tcW w:w="1860" w:type="dxa"/>
          </w:tcPr>
          <w:p>
            <w:pPr>
              <w:pStyle w:val="19"/>
              <w:spacing w:before="31"/>
              <w:ind w:left="95" w:right="84"/>
              <w:rPr>
                <w:b/>
                <w:color w:val="0000FF"/>
                <w:sz w:val="21"/>
              </w:rPr>
            </w:pPr>
            <w:r>
              <w:rPr>
                <w:b/>
                <w:color w:val="0000FF"/>
                <w:sz w:val="21"/>
              </w:rPr>
              <w:t>取值时间</w:t>
            </w:r>
          </w:p>
        </w:tc>
        <w:tc>
          <w:tcPr>
            <w:tcW w:w="1288" w:type="dxa"/>
          </w:tcPr>
          <w:p>
            <w:pPr>
              <w:pStyle w:val="19"/>
              <w:spacing w:before="31"/>
              <w:ind w:left="203" w:right="191"/>
              <w:rPr>
                <w:b/>
                <w:color w:val="0000FF"/>
                <w:sz w:val="21"/>
              </w:rPr>
            </w:pPr>
            <w:r>
              <w:rPr>
                <w:b/>
                <w:color w:val="0000FF"/>
                <w:sz w:val="21"/>
              </w:rPr>
              <w:t>浓度限值</w:t>
            </w:r>
          </w:p>
        </w:tc>
        <w:tc>
          <w:tcPr>
            <w:tcW w:w="3701" w:type="dxa"/>
          </w:tcPr>
          <w:p>
            <w:pPr>
              <w:pStyle w:val="19"/>
              <w:spacing w:before="31"/>
              <w:ind w:left="114" w:right="104"/>
              <w:rPr>
                <w:b/>
                <w:color w:val="0000FF"/>
                <w:sz w:val="21"/>
              </w:rPr>
            </w:pPr>
            <w:r>
              <w:rPr>
                <w:b/>
                <w:color w:val="0000FF"/>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restart"/>
          </w:tcPr>
          <w:p>
            <w:pPr>
              <w:pStyle w:val="19"/>
              <w:spacing w:before="3"/>
              <w:jc w:val="left"/>
              <w:rPr>
                <w:rFonts w:ascii="Times New Roman"/>
                <w:b/>
                <w:color w:val="0000FF"/>
                <w:sz w:val="18"/>
              </w:rPr>
            </w:pPr>
          </w:p>
          <w:p>
            <w:pPr>
              <w:pStyle w:val="19"/>
              <w:ind w:left="186" w:right="176"/>
              <w:rPr>
                <w:rFonts w:ascii="Times New Roman"/>
                <w:color w:val="0000FF"/>
                <w:sz w:val="21"/>
              </w:rPr>
            </w:pPr>
            <w:r>
              <w:rPr>
                <w:rFonts w:ascii="Times New Roman"/>
                <w:color w:val="0000FF"/>
                <w:position w:val="2"/>
                <w:sz w:val="21"/>
              </w:rPr>
              <w:t>SO</w:t>
            </w:r>
            <w:r>
              <w:rPr>
                <w:rFonts w:ascii="Times New Roman"/>
                <w:color w:val="0000FF"/>
                <w:position w:val="2"/>
                <w:sz w:val="21"/>
                <w:vertAlign w:val="subscript"/>
              </w:rPr>
              <w:t>2</w:t>
            </w:r>
          </w:p>
        </w:tc>
        <w:tc>
          <w:tcPr>
            <w:tcW w:w="1860" w:type="dxa"/>
          </w:tcPr>
          <w:p>
            <w:pPr>
              <w:pStyle w:val="19"/>
              <w:spacing w:before="29"/>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9"/>
              <w:spacing w:before="43"/>
              <w:ind w:left="199" w:right="191"/>
              <w:rPr>
                <w:rFonts w:ascii="Times New Roman"/>
                <w:color w:val="0000FF"/>
                <w:sz w:val="21"/>
              </w:rPr>
            </w:pPr>
            <w:r>
              <w:rPr>
                <w:rFonts w:ascii="Times New Roman"/>
                <w:color w:val="0000FF"/>
                <w:sz w:val="21"/>
              </w:rPr>
              <w:t>0.15</w:t>
            </w:r>
          </w:p>
        </w:tc>
        <w:tc>
          <w:tcPr>
            <w:tcW w:w="3701" w:type="dxa"/>
            <w:vMerge w:val="restart"/>
          </w:tcPr>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spacing w:before="10"/>
              <w:jc w:val="left"/>
              <w:rPr>
                <w:rFonts w:ascii="Times New Roman"/>
                <w:b/>
                <w:color w:val="0000FF"/>
                <w:sz w:val="16"/>
              </w:rPr>
            </w:pPr>
          </w:p>
          <w:p>
            <w:pPr>
              <w:pStyle w:val="19"/>
              <w:spacing w:before="1" w:line="278" w:lineRule="auto"/>
              <w:ind w:left="1429" w:right="-15" w:hanging="1320"/>
              <w:jc w:val="left"/>
              <w:rPr>
                <w:color w:val="0000FF"/>
                <w:sz w:val="21"/>
              </w:rPr>
            </w:pPr>
            <w:r>
              <w:rPr>
                <w:color w:val="0000FF"/>
                <w:w w:val="95"/>
                <w:sz w:val="21"/>
              </w:rPr>
              <w:t>《环境空气质量标准</w:t>
            </w:r>
            <w:r>
              <w:rPr>
                <w:color w:val="0000FF"/>
                <w:spacing w:val="-130"/>
                <w:w w:val="95"/>
                <w:sz w:val="21"/>
              </w:rPr>
              <w:t>》</w:t>
            </w:r>
            <w:r>
              <w:rPr>
                <w:color w:val="0000FF"/>
                <w:w w:val="95"/>
                <w:sz w:val="21"/>
              </w:rPr>
              <w:t>（</w:t>
            </w:r>
            <w:r>
              <w:rPr>
                <w:rFonts w:ascii="Times New Roman" w:eastAsia="Times New Roman"/>
                <w:color w:val="0000FF"/>
                <w:w w:val="95"/>
                <w:sz w:val="21"/>
              </w:rPr>
              <w:t>GB3095-2012</w:t>
            </w:r>
            <w:r>
              <w:rPr>
                <w:color w:val="0000FF"/>
                <w:w w:val="95"/>
                <w:sz w:val="21"/>
              </w:rPr>
              <w:t>）</w:t>
            </w:r>
            <w:r>
              <w:rPr>
                <w:color w:val="0000FF"/>
                <w:sz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continue"/>
            <w:tcBorders>
              <w:top w:val="nil"/>
            </w:tcBorders>
          </w:tcPr>
          <w:p>
            <w:pPr>
              <w:rPr>
                <w:color w:val="0000FF"/>
                <w:sz w:val="2"/>
                <w:szCs w:val="2"/>
              </w:rPr>
            </w:pPr>
          </w:p>
        </w:tc>
        <w:tc>
          <w:tcPr>
            <w:tcW w:w="1860" w:type="dxa"/>
          </w:tcPr>
          <w:p>
            <w:pPr>
              <w:pStyle w:val="19"/>
              <w:spacing w:before="30"/>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9"/>
              <w:spacing w:before="44"/>
              <w:ind w:left="199" w:right="191"/>
              <w:rPr>
                <w:rFonts w:ascii="Times New Roman"/>
                <w:color w:val="0000FF"/>
                <w:sz w:val="21"/>
              </w:rPr>
            </w:pPr>
            <w:r>
              <w:rPr>
                <w:rFonts w:ascii="Times New Roman"/>
                <w:color w:val="0000FF"/>
                <w:sz w:val="21"/>
              </w:rPr>
              <w:t>0.50</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restart"/>
          </w:tcPr>
          <w:p>
            <w:pPr>
              <w:pStyle w:val="19"/>
              <w:spacing w:before="4"/>
              <w:jc w:val="left"/>
              <w:rPr>
                <w:rFonts w:ascii="Times New Roman"/>
                <w:b/>
                <w:color w:val="0000FF"/>
                <w:sz w:val="18"/>
              </w:rPr>
            </w:pPr>
          </w:p>
          <w:p>
            <w:pPr>
              <w:pStyle w:val="19"/>
              <w:spacing w:before="1"/>
              <w:ind w:left="184" w:right="176"/>
              <w:rPr>
                <w:rFonts w:ascii="Times New Roman"/>
                <w:color w:val="0000FF"/>
                <w:sz w:val="21"/>
              </w:rPr>
            </w:pPr>
            <w:r>
              <w:rPr>
                <w:rFonts w:ascii="Times New Roman"/>
                <w:color w:val="0000FF"/>
                <w:position w:val="2"/>
                <w:sz w:val="21"/>
              </w:rPr>
              <w:t>NO</w:t>
            </w:r>
            <w:r>
              <w:rPr>
                <w:rFonts w:ascii="Times New Roman"/>
                <w:color w:val="0000FF"/>
                <w:position w:val="2"/>
                <w:sz w:val="21"/>
                <w:vertAlign w:val="subscript"/>
              </w:rPr>
              <w:t>2</w:t>
            </w:r>
          </w:p>
        </w:tc>
        <w:tc>
          <w:tcPr>
            <w:tcW w:w="1860" w:type="dxa"/>
          </w:tcPr>
          <w:p>
            <w:pPr>
              <w:pStyle w:val="19"/>
              <w:spacing w:before="31"/>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9"/>
              <w:spacing w:before="44"/>
              <w:ind w:left="199" w:right="191"/>
              <w:rPr>
                <w:rFonts w:ascii="Times New Roman"/>
                <w:color w:val="0000FF"/>
                <w:sz w:val="21"/>
              </w:rPr>
            </w:pPr>
            <w:r>
              <w:rPr>
                <w:rFonts w:ascii="Times New Roman"/>
                <w:color w:val="0000FF"/>
                <w:sz w:val="21"/>
              </w:rPr>
              <w:t>0.08</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continue"/>
            <w:tcBorders>
              <w:top w:val="nil"/>
            </w:tcBorders>
          </w:tcPr>
          <w:p>
            <w:pPr>
              <w:rPr>
                <w:color w:val="0000FF"/>
                <w:sz w:val="2"/>
                <w:szCs w:val="2"/>
              </w:rPr>
            </w:pPr>
          </w:p>
        </w:tc>
        <w:tc>
          <w:tcPr>
            <w:tcW w:w="1860" w:type="dxa"/>
          </w:tcPr>
          <w:p>
            <w:pPr>
              <w:pStyle w:val="19"/>
              <w:spacing w:before="29"/>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9"/>
              <w:spacing w:before="43"/>
              <w:ind w:left="199" w:right="191"/>
              <w:rPr>
                <w:rFonts w:ascii="Times New Roman"/>
                <w:color w:val="0000FF"/>
                <w:sz w:val="21"/>
              </w:rPr>
            </w:pPr>
            <w:r>
              <w:rPr>
                <w:rFonts w:ascii="Times New Roman"/>
                <w:color w:val="0000FF"/>
                <w:sz w:val="21"/>
              </w:rPr>
              <w:t>0.20</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9"/>
              <w:spacing w:before="40"/>
              <w:ind w:left="186" w:right="176"/>
              <w:rPr>
                <w:rFonts w:ascii="Times New Roman"/>
                <w:color w:val="0000FF"/>
                <w:sz w:val="21"/>
              </w:rPr>
            </w:pPr>
            <w:r>
              <w:rPr>
                <w:rFonts w:ascii="Times New Roman"/>
                <w:color w:val="0000FF"/>
                <w:position w:val="2"/>
                <w:sz w:val="21"/>
              </w:rPr>
              <w:t>PM</w:t>
            </w:r>
            <w:r>
              <w:rPr>
                <w:rFonts w:ascii="Times New Roman"/>
                <w:color w:val="0000FF"/>
                <w:position w:val="2"/>
                <w:sz w:val="21"/>
                <w:vertAlign w:val="subscript"/>
              </w:rPr>
              <w:t>10</w:t>
            </w:r>
          </w:p>
        </w:tc>
        <w:tc>
          <w:tcPr>
            <w:tcW w:w="1860" w:type="dxa"/>
          </w:tcPr>
          <w:p>
            <w:pPr>
              <w:pStyle w:val="19"/>
              <w:spacing w:before="30"/>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9"/>
              <w:spacing w:before="44"/>
              <w:ind w:left="199" w:right="191"/>
              <w:rPr>
                <w:rFonts w:ascii="Times New Roman"/>
                <w:color w:val="0000FF"/>
                <w:sz w:val="21"/>
              </w:rPr>
            </w:pPr>
            <w:r>
              <w:rPr>
                <w:rFonts w:ascii="Times New Roman"/>
                <w:color w:val="0000FF"/>
                <w:sz w:val="21"/>
              </w:rPr>
              <w:t>0.15</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9"/>
              <w:spacing w:before="41"/>
              <w:ind w:left="186" w:right="176"/>
              <w:rPr>
                <w:rFonts w:ascii="Times New Roman"/>
                <w:color w:val="0000FF"/>
                <w:sz w:val="13"/>
              </w:rPr>
            </w:pPr>
            <w:r>
              <w:rPr>
                <w:rFonts w:ascii="Times New Roman"/>
                <w:color w:val="0000FF"/>
                <w:w w:val="105"/>
                <w:position w:val="2"/>
                <w:sz w:val="21"/>
              </w:rPr>
              <w:t>PM</w:t>
            </w:r>
            <w:r>
              <w:rPr>
                <w:rFonts w:ascii="Times New Roman"/>
                <w:color w:val="0000FF"/>
                <w:w w:val="105"/>
                <w:sz w:val="13"/>
              </w:rPr>
              <w:t>2.5</w:t>
            </w:r>
          </w:p>
        </w:tc>
        <w:tc>
          <w:tcPr>
            <w:tcW w:w="1860" w:type="dxa"/>
          </w:tcPr>
          <w:p>
            <w:pPr>
              <w:pStyle w:val="19"/>
              <w:spacing w:before="31"/>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9"/>
              <w:spacing w:before="44"/>
              <w:ind w:left="202" w:right="191"/>
              <w:rPr>
                <w:rFonts w:ascii="Times New Roman"/>
                <w:color w:val="0000FF"/>
                <w:sz w:val="21"/>
              </w:rPr>
            </w:pPr>
            <w:r>
              <w:rPr>
                <w:rFonts w:ascii="Times New Roman"/>
                <w:color w:val="0000FF"/>
                <w:sz w:val="21"/>
              </w:rPr>
              <w:t>0.075</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9"/>
              <w:spacing w:before="43"/>
              <w:ind w:left="183" w:right="176"/>
              <w:rPr>
                <w:rFonts w:ascii="Times New Roman"/>
                <w:color w:val="0000FF"/>
                <w:sz w:val="21"/>
              </w:rPr>
            </w:pPr>
            <w:r>
              <w:rPr>
                <w:rFonts w:ascii="Times New Roman"/>
                <w:color w:val="0000FF"/>
                <w:sz w:val="21"/>
              </w:rPr>
              <w:t>TSP</w:t>
            </w:r>
          </w:p>
        </w:tc>
        <w:tc>
          <w:tcPr>
            <w:tcW w:w="1860" w:type="dxa"/>
          </w:tcPr>
          <w:p>
            <w:pPr>
              <w:pStyle w:val="19"/>
              <w:spacing w:before="29"/>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9"/>
              <w:spacing w:before="43"/>
              <w:ind w:left="199" w:right="191"/>
              <w:rPr>
                <w:rFonts w:ascii="Times New Roman"/>
                <w:color w:val="0000FF"/>
                <w:sz w:val="21"/>
              </w:rPr>
            </w:pPr>
            <w:r>
              <w:rPr>
                <w:rFonts w:ascii="Times New Roman"/>
                <w:color w:val="0000FF"/>
                <w:sz w:val="21"/>
              </w:rPr>
              <w:t>0.30</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restart"/>
          </w:tcPr>
          <w:p>
            <w:pPr>
              <w:pStyle w:val="19"/>
              <w:spacing w:before="196"/>
              <w:ind w:left="185" w:right="176"/>
              <w:rPr>
                <w:rFonts w:ascii="Times New Roman"/>
                <w:color w:val="0000FF"/>
                <w:sz w:val="24"/>
              </w:rPr>
            </w:pPr>
            <w:r>
              <w:rPr>
                <w:rFonts w:ascii="Times New Roman"/>
                <w:color w:val="0000FF"/>
                <w:sz w:val="24"/>
              </w:rPr>
              <w:t>CO</w:t>
            </w:r>
          </w:p>
        </w:tc>
        <w:tc>
          <w:tcPr>
            <w:tcW w:w="1860" w:type="dxa"/>
          </w:tcPr>
          <w:p>
            <w:pPr>
              <w:pStyle w:val="19"/>
              <w:spacing w:before="30"/>
              <w:ind w:left="92" w:right="86"/>
              <w:rPr>
                <w:color w:val="0000FF"/>
                <w:sz w:val="21"/>
              </w:rPr>
            </w:pPr>
            <w:r>
              <w:rPr>
                <w:rFonts w:ascii="Times New Roman" w:eastAsia="Times New Roman"/>
                <w:color w:val="0000FF"/>
                <w:sz w:val="21"/>
              </w:rPr>
              <w:t>24</w:t>
            </w:r>
            <w:r>
              <w:rPr>
                <w:color w:val="0000FF"/>
                <w:sz w:val="21"/>
              </w:rPr>
              <w:t>小时平均</w:t>
            </w:r>
          </w:p>
        </w:tc>
        <w:tc>
          <w:tcPr>
            <w:tcW w:w="1288" w:type="dxa"/>
          </w:tcPr>
          <w:p>
            <w:pPr>
              <w:pStyle w:val="19"/>
              <w:spacing w:before="44"/>
              <w:ind w:left="8"/>
              <w:rPr>
                <w:rFonts w:ascii="Times New Roman"/>
                <w:color w:val="0000FF"/>
                <w:sz w:val="21"/>
              </w:rPr>
            </w:pPr>
            <w:r>
              <w:rPr>
                <w:rFonts w:ascii="Times New Roman"/>
                <w:color w:val="0000FF"/>
                <w:w w:val="99"/>
                <w:sz w:val="21"/>
              </w:rPr>
              <w:t>4</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continue"/>
            <w:tcBorders>
              <w:top w:val="nil"/>
            </w:tcBorders>
          </w:tcPr>
          <w:p>
            <w:pPr>
              <w:rPr>
                <w:color w:val="0000FF"/>
                <w:sz w:val="2"/>
                <w:szCs w:val="2"/>
              </w:rPr>
            </w:pPr>
          </w:p>
        </w:tc>
        <w:tc>
          <w:tcPr>
            <w:tcW w:w="1860" w:type="dxa"/>
          </w:tcPr>
          <w:p>
            <w:pPr>
              <w:pStyle w:val="19"/>
              <w:spacing w:before="31"/>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9"/>
              <w:spacing w:before="44"/>
              <w:ind w:left="199" w:right="191"/>
              <w:rPr>
                <w:rFonts w:ascii="Times New Roman"/>
                <w:color w:val="0000FF"/>
                <w:sz w:val="21"/>
              </w:rPr>
            </w:pPr>
            <w:r>
              <w:rPr>
                <w:rFonts w:ascii="Times New Roman"/>
                <w:color w:val="0000FF"/>
                <w:sz w:val="21"/>
              </w:rPr>
              <w:t>10</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restart"/>
          </w:tcPr>
          <w:p>
            <w:pPr>
              <w:pStyle w:val="19"/>
              <w:spacing w:before="194"/>
              <w:ind w:left="184" w:right="176"/>
              <w:rPr>
                <w:rFonts w:ascii="Times New Roman"/>
                <w:color w:val="0000FF"/>
                <w:sz w:val="24"/>
              </w:rPr>
            </w:pPr>
            <w:r>
              <w:rPr>
                <w:rFonts w:ascii="Times New Roman"/>
                <w:color w:val="0000FF"/>
                <w:position w:val="2"/>
                <w:sz w:val="24"/>
              </w:rPr>
              <w:t>O</w:t>
            </w:r>
            <w:r>
              <w:rPr>
                <w:rFonts w:ascii="Times New Roman"/>
                <w:color w:val="0000FF"/>
                <w:position w:val="2"/>
                <w:sz w:val="24"/>
                <w:vertAlign w:val="subscript"/>
              </w:rPr>
              <w:t>3</w:t>
            </w:r>
          </w:p>
        </w:tc>
        <w:tc>
          <w:tcPr>
            <w:tcW w:w="1860" w:type="dxa"/>
          </w:tcPr>
          <w:p>
            <w:pPr>
              <w:pStyle w:val="19"/>
              <w:spacing w:before="29"/>
              <w:ind w:left="95" w:right="86"/>
              <w:rPr>
                <w:color w:val="0000FF"/>
                <w:sz w:val="21"/>
              </w:rPr>
            </w:pPr>
            <w:r>
              <w:rPr>
                <w:color w:val="0000FF"/>
                <w:sz w:val="21"/>
              </w:rPr>
              <w:t>日最大</w:t>
            </w:r>
            <w:r>
              <w:rPr>
                <w:rFonts w:ascii="Times New Roman" w:eastAsia="Times New Roman"/>
                <w:color w:val="0000FF"/>
                <w:sz w:val="21"/>
              </w:rPr>
              <w:t>8</w:t>
            </w:r>
            <w:r>
              <w:rPr>
                <w:color w:val="0000FF"/>
                <w:sz w:val="21"/>
              </w:rPr>
              <w:t>小时评价</w:t>
            </w:r>
          </w:p>
        </w:tc>
        <w:tc>
          <w:tcPr>
            <w:tcW w:w="1288" w:type="dxa"/>
          </w:tcPr>
          <w:p>
            <w:pPr>
              <w:pStyle w:val="19"/>
              <w:spacing w:before="43"/>
              <w:ind w:left="199" w:right="191"/>
              <w:rPr>
                <w:rFonts w:ascii="Times New Roman"/>
                <w:color w:val="0000FF"/>
                <w:sz w:val="21"/>
              </w:rPr>
            </w:pPr>
            <w:r>
              <w:rPr>
                <w:rFonts w:ascii="Times New Roman"/>
                <w:color w:val="0000FF"/>
                <w:sz w:val="21"/>
              </w:rPr>
              <w:t>0.16</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vMerge w:val="continue"/>
            <w:tcBorders>
              <w:top w:val="nil"/>
            </w:tcBorders>
          </w:tcPr>
          <w:p>
            <w:pPr>
              <w:rPr>
                <w:color w:val="0000FF"/>
                <w:sz w:val="2"/>
                <w:szCs w:val="2"/>
              </w:rPr>
            </w:pPr>
          </w:p>
        </w:tc>
        <w:tc>
          <w:tcPr>
            <w:tcW w:w="1860" w:type="dxa"/>
          </w:tcPr>
          <w:p>
            <w:pPr>
              <w:pStyle w:val="19"/>
              <w:spacing w:before="30"/>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9"/>
              <w:spacing w:before="44"/>
              <w:ind w:left="199" w:right="191"/>
              <w:rPr>
                <w:rFonts w:ascii="Times New Roman"/>
                <w:color w:val="0000FF"/>
                <w:sz w:val="21"/>
              </w:rPr>
            </w:pPr>
            <w:r>
              <w:rPr>
                <w:rFonts w:ascii="Times New Roman"/>
                <w:color w:val="0000FF"/>
                <w:sz w:val="21"/>
              </w:rPr>
              <w:t>0.2</w:t>
            </w:r>
          </w:p>
        </w:tc>
        <w:tc>
          <w:tcPr>
            <w:tcW w:w="3701"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9"/>
              <w:spacing w:before="41"/>
              <w:ind w:left="186" w:right="176"/>
              <w:rPr>
                <w:rFonts w:ascii="Times New Roman"/>
                <w:color w:val="0000FF"/>
                <w:sz w:val="21"/>
              </w:rPr>
            </w:pPr>
            <w:r>
              <w:rPr>
                <w:rFonts w:ascii="Times New Roman"/>
                <w:color w:val="0000FF"/>
                <w:position w:val="2"/>
                <w:sz w:val="21"/>
              </w:rPr>
              <w:t>H</w:t>
            </w:r>
            <w:r>
              <w:rPr>
                <w:rFonts w:ascii="Times New Roman"/>
                <w:color w:val="0000FF"/>
                <w:position w:val="2"/>
                <w:sz w:val="21"/>
                <w:vertAlign w:val="subscript"/>
              </w:rPr>
              <w:t>2</w:t>
            </w:r>
            <w:r>
              <w:rPr>
                <w:rFonts w:ascii="Times New Roman"/>
                <w:color w:val="0000FF"/>
                <w:position w:val="2"/>
                <w:sz w:val="21"/>
                <w:vertAlign w:val="baseline"/>
              </w:rPr>
              <w:t>S</w:t>
            </w:r>
          </w:p>
        </w:tc>
        <w:tc>
          <w:tcPr>
            <w:tcW w:w="1860" w:type="dxa"/>
          </w:tcPr>
          <w:p>
            <w:pPr>
              <w:pStyle w:val="19"/>
              <w:spacing w:before="31"/>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9"/>
              <w:spacing w:before="44"/>
              <w:ind w:left="199" w:right="191"/>
              <w:rPr>
                <w:rFonts w:ascii="Times New Roman"/>
                <w:color w:val="0000FF"/>
                <w:sz w:val="21"/>
              </w:rPr>
            </w:pPr>
            <w:r>
              <w:rPr>
                <w:rFonts w:ascii="Times New Roman"/>
                <w:color w:val="0000FF"/>
                <w:sz w:val="21"/>
              </w:rPr>
              <w:t>0.01</w:t>
            </w:r>
          </w:p>
        </w:tc>
        <w:tc>
          <w:tcPr>
            <w:tcW w:w="3701" w:type="dxa"/>
            <w:vMerge w:val="restart"/>
          </w:tcPr>
          <w:p>
            <w:pPr>
              <w:pStyle w:val="19"/>
              <w:spacing w:before="45"/>
              <w:ind w:left="114" w:right="106"/>
              <w:rPr>
                <w:color w:val="0000FF"/>
                <w:sz w:val="21"/>
              </w:rPr>
            </w:pPr>
            <w:r>
              <w:rPr>
                <w:color w:val="0000FF"/>
                <w:sz w:val="21"/>
              </w:rPr>
              <w:t>《环境影响评价技术导则</w:t>
            </w:r>
            <w:r>
              <w:rPr>
                <w:rFonts w:ascii="Times New Roman" w:eastAsia="Times New Roman"/>
                <w:color w:val="0000FF"/>
                <w:sz w:val="21"/>
              </w:rPr>
              <w:t>-</w:t>
            </w:r>
            <w:r>
              <w:rPr>
                <w:color w:val="0000FF"/>
                <w:sz w:val="21"/>
              </w:rPr>
              <w:t>大气环境》</w:t>
            </w:r>
          </w:p>
          <w:p>
            <w:pPr>
              <w:pStyle w:val="19"/>
              <w:spacing w:before="43"/>
              <w:ind w:left="114" w:right="104"/>
              <w:rPr>
                <w:rFonts w:ascii="Times New Roman" w:eastAsia="Times New Roman"/>
                <w:color w:val="0000FF"/>
                <w:sz w:val="21"/>
              </w:rPr>
            </w:pPr>
            <w:r>
              <w:rPr>
                <w:color w:val="0000FF"/>
                <w:sz w:val="21"/>
              </w:rPr>
              <w:t>（</w:t>
            </w:r>
            <w:r>
              <w:rPr>
                <w:rFonts w:ascii="Times New Roman" w:eastAsia="Times New Roman"/>
                <w:color w:val="0000FF"/>
                <w:sz w:val="21"/>
              </w:rPr>
              <w:t>HJ2.2-2018</w:t>
            </w:r>
            <w:r>
              <w:rPr>
                <w:color w:val="0000FF"/>
                <w:sz w:val="21"/>
              </w:rPr>
              <w:t>）附录</w:t>
            </w:r>
            <w:r>
              <w:rPr>
                <w:rFonts w:ascii="Times New Roman" w:eastAsia="Times New Roman"/>
                <w:color w:val="0000FF"/>
                <w:sz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69" w:type="dxa"/>
          </w:tcPr>
          <w:p>
            <w:pPr>
              <w:pStyle w:val="19"/>
              <w:spacing w:before="40"/>
              <w:ind w:left="184" w:right="176"/>
              <w:rPr>
                <w:rFonts w:ascii="Times New Roman"/>
                <w:color w:val="0000FF"/>
                <w:sz w:val="21"/>
              </w:rPr>
            </w:pPr>
            <w:r>
              <w:rPr>
                <w:rFonts w:ascii="Times New Roman"/>
                <w:color w:val="0000FF"/>
                <w:position w:val="2"/>
                <w:sz w:val="21"/>
              </w:rPr>
              <w:t>NH</w:t>
            </w:r>
            <w:r>
              <w:rPr>
                <w:rFonts w:ascii="Times New Roman"/>
                <w:color w:val="0000FF"/>
                <w:position w:val="2"/>
                <w:sz w:val="21"/>
                <w:vertAlign w:val="subscript"/>
              </w:rPr>
              <w:t>3</w:t>
            </w:r>
          </w:p>
        </w:tc>
        <w:tc>
          <w:tcPr>
            <w:tcW w:w="1860" w:type="dxa"/>
          </w:tcPr>
          <w:p>
            <w:pPr>
              <w:pStyle w:val="19"/>
              <w:spacing w:before="29"/>
              <w:ind w:left="92" w:right="86"/>
              <w:rPr>
                <w:color w:val="0000FF"/>
                <w:sz w:val="21"/>
              </w:rPr>
            </w:pPr>
            <w:r>
              <w:rPr>
                <w:rFonts w:ascii="Times New Roman" w:eastAsia="Times New Roman"/>
                <w:color w:val="0000FF"/>
                <w:sz w:val="21"/>
              </w:rPr>
              <w:t>1</w:t>
            </w:r>
            <w:r>
              <w:rPr>
                <w:color w:val="0000FF"/>
                <w:sz w:val="21"/>
              </w:rPr>
              <w:t>小时平均</w:t>
            </w:r>
          </w:p>
        </w:tc>
        <w:tc>
          <w:tcPr>
            <w:tcW w:w="1288" w:type="dxa"/>
          </w:tcPr>
          <w:p>
            <w:pPr>
              <w:pStyle w:val="19"/>
              <w:spacing w:before="43"/>
              <w:ind w:left="199" w:right="191"/>
              <w:rPr>
                <w:rFonts w:ascii="Times New Roman"/>
                <w:color w:val="0000FF"/>
                <w:sz w:val="21"/>
              </w:rPr>
            </w:pPr>
            <w:r>
              <w:rPr>
                <w:rFonts w:ascii="Times New Roman"/>
                <w:color w:val="0000FF"/>
                <w:sz w:val="21"/>
              </w:rPr>
              <w:t>0.20</w:t>
            </w:r>
          </w:p>
        </w:tc>
        <w:tc>
          <w:tcPr>
            <w:tcW w:w="3701" w:type="dxa"/>
            <w:vMerge w:val="continue"/>
            <w:tcBorders>
              <w:top w:val="nil"/>
            </w:tcBorders>
          </w:tcPr>
          <w:p>
            <w:pPr>
              <w:rPr>
                <w:color w:val="0000FF"/>
                <w:sz w:val="2"/>
                <w:szCs w:val="2"/>
              </w:rPr>
            </w:pPr>
          </w:p>
        </w:tc>
      </w:tr>
    </w:tbl>
    <w:p>
      <w:pPr>
        <w:pStyle w:val="7"/>
        <w:spacing w:before="7"/>
        <w:ind w:left="0"/>
        <w:rPr>
          <w:rFonts w:ascii="Times New Roman"/>
          <w:b/>
          <w:color w:val="0000FF"/>
          <w:sz w:val="20"/>
        </w:rPr>
      </w:pPr>
    </w:p>
    <w:p>
      <w:pPr>
        <w:pStyle w:val="18"/>
        <w:numPr>
          <w:ilvl w:val="4"/>
          <w:numId w:val="12"/>
        </w:numPr>
        <w:tabs>
          <w:tab w:val="left" w:pos="1621"/>
        </w:tabs>
        <w:spacing w:before="1" w:after="0" w:line="240" w:lineRule="auto"/>
        <w:ind w:left="1621" w:right="0" w:hanging="601"/>
        <w:jc w:val="left"/>
        <w:rPr>
          <w:color w:val="0000FF"/>
          <w:sz w:val="24"/>
        </w:rPr>
      </w:pPr>
      <w:r>
        <w:rPr>
          <w:color w:val="0000FF"/>
          <w:sz w:val="24"/>
        </w:rPr>
        <w:t>地下水环境质量标准</w:t>
      </w:r>
    </w:p>
    <w:p>
      <w:pPr>
        <w:pStyle w:val="7"/>
        <w:spacing w:before="160" w:line="364" w:lineRule="auto"/>
        <w:ind w:right="452" w:firstLine="480"/>
        <w:rPr>
          <w:color w:val="0000FF"/>
        </w:rPr>
      </w:pPr>
      <w:r>
        <w:rPr>
          <w:color w:val="0000FF"/>
        </w:rPr>
        <w:t>项目区地下水执行《地下水质量标准》（</w:t>
      </w:r>
      <w:r>
        <w:rPr>
          <w:rFonts w:ascii="Times New Roman" w:hAnsi="Times New Roman" w:eastAsia="Times New Roman"/>
          <w:color w:val="0000FF"/>
        </w:rPr>
        <w:t>GB/T14848-2017</w:t>
      </w:r>
      <w:r>
        <w:rPr>
          <w:color w:val="0000FF"/>
        </w:rPr>
        <w:t>）中的Ⅲ类标准，具体标准限值见表</w:t>
      </w:r>
      <w:r>
        <w:rPr>
          <w:rFonts w:ascii="Times New Roman" w:hAnsi="Times New Roman" w:eastAsia="Times New Roman"/>
          <w:color w:val="0000FF"/>
        </w:rPr>
        <w:t>2.4</w:t>
      </w:r>
      <w:r>
        <w:rPr>
          <w:rFonts w:hint="eastAsia" w:ascii="Times New Roman" w:hAnsi="Times New Roman" w:eastAsia="宋体"/>
          <w:color w:val="0000FF"/>
          <w:lang w:val="en-US" w:eastAsia="zh-CN"/>
        </w:rPr>
        <w:t>.2</w:t>
      </w:r>
      <w:r>
        <w:rPr>
          <w:rFonts w:ascii="Times New Roman" w:hAnsi="Times New Roman" w:eastAsia="Times New Roman"/>
          <w:color w:val="0000FF"/>
        </w:rPr>
        <w:t>-2</w:t>
      </w:r>
      <w:r>
        <w:rPr>
          <w:color w:val="0000FF"/>
        </w:rPr>
        <w:t>。</w:t>
      </w:r>
    </w:p>
    <w:p>
      <w:pPr>
        <w:pStyle w:val="7"/>
        <w:bidi w:val="0"/>
        <w:jc w:val="center"/>
        <w:rPr>
          <w:rFonts w:ascii="Times New Roman" w:eastAsia="Times New Roman"/>
          <w:color w:val="0000FF"/>
        </w:rPr>
      </w:pPr>
      <w:r>
        <w:rPr>
          <w:color w:val="0000FF"/>
        </w:rPr>
        <w:t>表</w:t>
      </w:r>
      <w:r>
        <w:rPr>
          <w:rFonts w:ascii="Times New Roman" w:eastAsia="Times New Roman"/>
          <w:color w:val="0000FF"/>
        </w:rPr>
        <w:t>2.4</w:t>
      </w:r>
      <w:r>
        <w:rPr>
          <w:rFonts w:hint="eastAsia" w:ascii="Times New Roman" w:eastAsia="宋体"/>
          <w:color w:val="0000FF"/>
          <w:lang w:val="en-US" w:eastAsia="zh-CN"/>
        </w:rPr>
        <w:t>.2</w:t>
      </w:r>
      <w:r>
        <w:rPr>
          <w:rFonts w:ascii="Times New Roman" w:eastAsia="Times New Roman"/>
          <w:color w:val="0000FF"/>
        </w:rPr>
        <w:t>-2</w:t>
      </w:r>
      <w:r>
        <w:rPr>
          <w:rFonts w:ascii="Times New Roman" w:eastAsia="Times New Roman"/>
          <w:color w:val="0000FF"/>
        </w:rPr>
        <w:tab/>
      </w:r>
      <w:r>
        <w:rPr>
          <w:color w:val="0000FF"/>
        </w:rPr>
        <w:t>地下水质量标准</w:t>
      </w:r>
      <w:r>
        <w:rPr>
          <w:color w:val="0000FF"/>
        </w:rPr>
        <w:tab/>
      </w:r>
      <w:r>
        <w:rPr>
          <w:color w:val="0000FF"/>
        </w:rPr>
        <w:t>单位：</w:t>
      </w:r>
      <w:r>
        <w:rPr>
          <w:rFonts w:ascii="Times New Roman" w:eastAsia="Times New Roman"/>
          <w:color w:val="0000FF"/>
        </w:rPr>
        <w:t>mg/L</w:t>
      </w:r>
    </w:p>
    <w:tbl>
      <w:tblPr>
        <w:tblStyle w:val="15"/>
        <w:tblW w:w="0" w:type="auto"/>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9"/>
        <w:gridCol w:w="1530"/>
        <w:gridCol w:w="2280"/>
        <w:gridCol w:w="24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tcBorders>
              <w:tl2br w:val="nil"/>
              <w:tr2bl w:val="nil"/>
            </w:tcBorders>
          </w:tcPr>
          <w:p>
            <w:pPr>
              <w:pStyle w:val="19"/>
              <w:spacing w:before="29"/>
              <w:ind w:left="617"/>
              <w:jc w:val="left"/>
              <w:rPr>
                <w:b/>
                <w:color w:val="0000FF"/>
                <w:sz w:val="21"/>
              </w:rPr>
            </w:pPr>
            <w:r>
              <w:rPr>
                <w:b/>
                <w:color w:val="0000FF"/>
                <w:sz w:val="21"/>
              </w:rPr>
              <w:t>标准名称</w:t>
            </w:r>
          </w:p>
        </w:tc>
        <w:tc>
          <w:tcPr>
            <w:tcW w:w="1530" w:type="dxa"/>
            <w:tcBorders>
              <w:tl2br w:val="nil"/>
              <w:tr2bl w:val="nil"/>
            </w:tcBorders>
          </w:tcPr>
          <w:p>
            <w:pPr>
              <w:pStyle w:val="19"/>
              <w:spacing w:before="29"/>
              <w:ind w:left="533" w:right="524"/>
              <w:rPr>
                <w:b/>
                <w:color w:val="0000FF"/>
                <w:sz w:val="21"/>
              </w:rPr>
            </w:pPr>
            <w:r>
              <w:rPr>
                <w:b/>
                <w:color w:val="0000FF"/>
                <w:sz w:val="21"/>
              </w:rPr>
              <w:t>级别</w:t>
            </w:r>
          </w:p>
        </w:tc>
        <w:tc>
          <w:tcPr>
            <w:tcW w:w="2280" w:type="dxa"/>
            <w:tcBorders>
              <w:tl2br w:val="nil"/>
              <w:tr2bl w:val="nil"/>
            </w:tcBorders>
          </w:tcPr>
          <w:p>
            <w:pPr>
              <w:pStyle w:val="19"/>
              <w:spacing w:before="29"/>
              <w:ind w:left="489" w:right="479"/>
              <w:rPr>
                <w:b/>
                <w:color w:val="0000FF"/>
                <w:sz w:val="21"/>
              </w:rPr>
            </w:pPr>
            <w:r>
              <w:rPr>
                <w:b/>
                <w:color w:val="0000FF"/>
                <w:sz w:val="21"/>
              </w:rPr>
              <w:t>评价因子</w:t>
            </w:r>
          </w:p>
        </w:tc>
        <w:tc>
          <w:tcPr>
            <w:tcW w:w="2452" w:type="dxa"/>
            <w:tcBorders>
              <w:tl2br w:val="nil"/>
              <w:tr2bl w:val="nil"/>
            </w:tcBorders>
          </w:tcPr>
          <w:p>
            <w:pPr>
              <w:pStyle w:val="19"/>
              <w:spacing w:before="29"/>
              <w:ind w:left="784" w:right="773"/>
              <w:rPr>
                <w:b/>
                <w:color w:val="0000FF"/>
                <w:sz w:val="21"/>
              </w:rPr>
            </w:pPr>
            <w:r>
              <w:rPr>
                <w:b/>
                <w:color w:val="0000FF"/>
                <w:sz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restart"/>
            <w:tcBorders>
              <w:tl2br w:val="nil"/>
              <w:tr2bl w:val="nil"/>
            </w:tcBorders>
          </w:tcPr>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spacing w:before="6"/>
              <w:jc w:val="left"/>
              <w:rPr>
                <w:rFonts w:ascii="Times New Roman"/>
                <w:b/>
                <w:color w:val="0000FF"/>
                <w:sz w:val="25"/>
              </w:rPr>
            </w:pPr>
          </w:p>
          <w:p>
            <w:pPr>
              <w:pStyle w:val="19"/>
              <w:ind w:left="106"/>
              <w:jc w:val="left"/>
              <w:rPr>
                <w:color w:val="0000FF"/>
                <w:sz w:val="21"/>
              </w:rPr>
            </w:pPr>
            <w:r>
              <w:rPr>
                <w:color w:val="0000FF"/>
                <w:w w:val="95"/>
                <w:sz w:val="21"/>
              </w:rPr>
              <w:t>《地下水质量标准》</w:t>
            </w:r>
          </w:p>
          <w:p>
            <w:pPr>
              <w:pStyle w:val="19"/>
              <w:spacing w:before="43"/>
              <w:ind w:left="108"/>
              <w:jc w:val="left"/>
              <w:rPr>
                <w:color w:val="0000FF"/>
                <w:sz w:val="21"/>
              </w:rPr>
            </w:pPr>
            <w:r>
              <w:rPr>
                <w:color w:val="0000FF"/>
                <w:sz w:val="21"/>
              </w:rPr>
              <w:t>（</w:t>
            </w:r>
            <w:r>
              <w:rPr>
                <w:rFonts w:ascii="Times New Roman" w:eastAsia="Times New Roman"/>
                <w:color w:val="0000FF"/>
                <w:sz w:val="21"/>
              </w:rPr>
              <w:t>GB/T14848-2017</w:t>
            </w:r>
            <w:r>
              <w:rPr>
                <w:color w:val="0000FF"/>
                <w:sz w:val="21"/>
              </w:rPr>
              <w:t>）</w:t>
            </w:r>
          </w:p>
        </w:tc>
        <w:tc>
          <w:tcPr>
            <w:tcW w:w="1530" w:type="dxa"/>
            <w:vMerge w:val="restart"/>
            <w:tcBorders>
              <w:tl2br w:val="nil"/>
              <w:tr2bl w:val="nil"/>
            </w:tcBorders>
          </w:tcPr>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jc w:val="left"/>
              <w:rPr>
                <w:rFonts w:ascii="Times New Roman"/>
                <w:b/>
                <w:color w:val="0000FF"/>
                <w:sz w:val="20"/>
              </w:rPr>
            </w:pPr>
          </w:p>
          <w:p>
            <w:pPr>
              <w:pStyle w:val="19"/>
              <w:spacing w:before="1"/>
              <w:jc w:val="left"/>
              <w:rPr>
                <w:rFonts w:ascii="Times New Roman"/>
                <w:b/>
                <w:color w:val="0000FF"/>
                <w:sz w:val="19"/>
              </w:rPr>
            </w:pPr>
          </w:p>
          <w:p>
            <w:pPr>
              <w:pStyle w:val="19"/>
              <w:ind w:left="531" w:right="524"/>
              <w:rPr>
                <w:color w:val="0000FF"/>
                <w:sz w:val="21"/>
              </w:rPr>
            </w:pPr>
            <w:r>
              <w:rPr>
                <w:color w:val="0000FF"/>
                <w:sz w:val="21"/>
              </w:rPr>
              <w:t>Ⅲ类</w:t>
            </w:r>
          </w:p>
        </w:tc>
        <w:tc>
          <w:tcPr>
            <w:tcW w:w="2280" w:type="dxa"/>
            <w:tcBorders>
              <w:tl2br w:val="nil"/>
              <w:tr2bl w:val="nil"/>
            </w:tcBorders>
          </w:tcPr>
          <w:p>
            <w:pPr>
              <w:pStyle w:val="19"/>
              <w:spacing w:before="30"/>
              <w:ind w:left="489" w:right="481"/>
              <w:rPr>
                <w:color w:val="0000FF"/>
                <w:sz w:val="21"/>
              </w:rPr>
            </w:pPr>
            <w:r>
              <w:rPr>
                <w:rFonts w:ascii="Times New Roman" w:eastAsia="Times New Roman"/>
                <w:color w:val="0000FF"/>
                <w:sz w:val="21"/>
              </w:rPr>
              <w:t>pH</w:t>
            </w:r>
            <w:r>
              <w:rPr>
                <w:color w:val="0000FF"/>
                <w:sz w:val="21"/>
              </w:rPr>
              <w:t>值</w:t>
            </w:r>
          </w:p>
        </w:tc>
        <w:tc>
          <w:tcPr>
            <w:tcW w:w="2452" w:type="dxa"/>
            <w:tcBorders>
              <w:tl2br w:val="nil"/>
              <w:tr2bl w:val="nil"/>
            </w:tcBorders>
          </w:tcPr>
          <w:p>
            <w:pPr>
              <w:pStyle w:val="19"/>
              <w:spacing w:before="30"/>
              <w:ind w:left="783" w:right="773"/>
              <w:rPr>
                <w:rFonts w:ascii="Times New Roman" w:eastAsia="Times New Roman"/>
                <w:color w:val="0000FF"/>
                <w:sz w:val="21"/>
              </w:rPr>
            </w:pPr>
            <w:r>
              <w:rPr>
                <w:rFonts w:ascii="Times New Roman" w:eastAsia="Times New Roman"/>
                <w:color w:val="0000FF"/>
                <w:sz w:val="21"/>
              </w:rPr>
              <w:t>6.5</w:t>
            </w:r>
            <w:r>
              <w:rPr>
                <w:color w:val="0000FF"/>
                <w:sz w:val="21"/>
              </w:rPr>
              <w:t>～</w:t>
            </w:r>
            <w:r>
              <w:rPr>
                <w:rFonts w:ascii="Times New Roman" w:eastAsia="Times New Roman"/>
                <w:color w:val="0000FF"/>
                <w:sz w:val="21"/>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31"/>
              <w:ind w:left="489" w:right="481"/>
              <w:rPr>
                <w:color w:val="0000FF"/>
                <w:sz w:val="21"/>
              </w:rPr>
            </w:pPr>
            <w:r>
              <w:rPr>
                <w:color w:val="0000FF"/>
                <w:sz w:val="21"/>
              </w:rPr>
              <w:t>总硬度</w:t>
            </w:r>
          </w:p>
        </w:tc>
        <w:tc>
          <w:tcPr>
            <w:tcW w:w="2452" w:type="dxa"/>
            <w:tcBorders>
              <w:tl2br w:val="nil"/>
              <w:tr2bl w:val="nil"/>
            </w:tcBorders>
          </w:tcPr>
          <w:p>
            <w:pPr>
              <w:pStyle w:val="19"/>
              <w:spacing w:before="31"/>
              <w:ind w:left="781" w:right="773"/>
              <w:rPr>
                <w:rFonts w:ascii="Times New Roman" w:hAnsi="Times New Roman"/>
                <w:color w:val="0000FF"/>
                <w:sz w:val="21"/>
              </w:rPr>
            </w:pPr>
            <w:r>
              <w:rPr>
                <w:color w:val="0000FF"/>
                <w:sz w:val="21"/>
              </w:rPr>
              <w:t>≤</w:t>
            </w:r>
            <w:r>
              <w:rPr>
                <w:rFonts w:ascii="Times New Roman" w:hAnsi="Times New Roman"/>
                <w:color w:val="0000FF"/>
                <w:sz w:val="21"/>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29"/>
              <w:ind w:left="489" w:right="481"/>
              <w:rPr>
                <w:color w:val="0000FF"/>
                <w:sz w:val="21"/>
              </w:rPr>
            </w:pPr>
            <w:r>
              <w:rPr>
                <w:color w:val="0000FF"/>
                <w:sz w:val="21"/>
              </w:rPr>
              <w:t>高锰酸盐指数</w:t>
            </w:r>
          </w:p>
        </w:tc>
        <w:tc>
          <w:tcPr>
            <w:tcW w:w="2452" w:type="dxa"/>
            <w:tcBorders>
              <w:tl2br w:val="nil"/>
              <w:tr2bl w:val="nil"/>
            </w:tcBorders>
          </w:tcPr>
          <w:p>
            <w:pPr>
              <w:pStyle w:val="19"/>
              <w:spacing w:before="29"/>
              <w:ind w:left="783" w:right="773"/>
              <w:rPr>
                <w:rFonts w:ascii="Times New Roman" w:hAnsi="Times New Roman"/>
                <w:color w:val="0000FF"/>
                <w:sz w:val="21"/>
              </w:rPr>
            </w:pPr>
            <w:r>
              <w:rPr>
                <w:color w:val="0000FF"/>
                <w:sz w:val="21"/>
              </w:rPr>
              <w:t>≤</w:t>
            </w:r>
            <w:r>
              <w:rPr>
                <w:rFonts w:ascii="Times New Roman" w:hAnsi="Times New Roman"/>
                <w:color w:val="0000FF"/>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30"/>
              <w:ind w:left="489" w:right="481"/>
              <w:rPr>
                <w:color w:val="0000FF"/>
                <w:sz w:val="21"/>
              </w:rPr>
            </w:pPr>
            <w:r>
              <w:rPr>
                <w:color w:val="0000FF"/>
                <w:sz w:val="21"/>
              </w:rPr>
              <w:t>硫酸盐</w:t>
            </w:r>
          </w:p>
        </w:tc>
        <w:tc>
          <w:tcPr>
            <w:tcW w:w="2452" w:type="dxa"/>
            <w:tcBorders>
              <w:tl2br w:val="nil"/>
              <w:tr2bl w:val="nil"/>
            </w:tcBorders>
          </w:tcPr>
          <w:p>
            <w:pPr>
              <w:pStyle w:val="19"/>
              <w:spacing w:before="30"/>
              <w:ind w:left="781" w:right="773"/>
              <w:rPr>
                <w:rFonts w:ascii="Times New Roman" w:hAnsi="Times New Roman"/>
                <w:color w:val="0000FF"/>
                <w:sz w:val="21"/>
              </w:rPr>
            </w:pPr>
            <w:r>
              <w:rPr>
                <w:color w:val="0000FF"/>
                <w:sz w:val="21"/>
              </w:rPr>
              <w:t>≤</w:t>
            </w:r>
            <w:r>
              <w:rPr>
                <w:rFonts w:ascii="Times New Roman" w:hAnsi="Times New Roman"/>
                <w:color w:val="0000FF"/>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31"/>
              <w:ind w:left="489" w:right="481"/>
              <w:rPr>
                <w:color w:val="0000FF"/>
                <w:sz w:val="21"/>
              </w:rPr>
            </w:pPr>
            <w:r>
              <w:rPr>
                <w:color w:val="0000FF"/>
                <w:sz w:val="21"/>
              </w:rPr>
              <w:t>氯化物</w:t>
            </w:r>
          </w:p>
        </w:tc>
        <w:tc>
          <w:tcPr>
            <w:tcW w:w="2452" w:type="dxa"/>
            <w:tcBorders>
              <w:tl2br w:val="nil"/>
              <w:tr2bl w:val="nil"/>
            </w:tcBorders>
          </w:tcPr>
          <w:p>
            <w:pPr>
              <w:pStyle w:val="19"/>
              <w:spacing w:before="31"/>
              <w:ind w:left="781" w:right="773"/>
              <w:rPr>
                <w:rFonts w:ascii="Times New Roman" w:hAnsi="Times New Roman"/>
                <w:color w:val="0000FF"/>
                <w:sz w:val="21"/>
              </w:rPr>
            </w:pPr>
            <w:r>
              <w:rPr>
                <w:color w:val="0000FF"/>
                <w:sz w:val="21"/>
              </w:rPr>
              <w:t>≤</w:t>
            </w:r>
            <w:r>
              <w:rPr>
                <w:rFonts w:ascii="Times New Roman" w:hAnsi="Times New Roman"/>
                <w:color w:val="0000FF"/>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29"/>
              <w:ind w:left="489" w:right="481"/>
              <w:rPr>
                <w:color w:val="0000FF"/>
                <w:sz w:val="21"/>
              </w:rPr>
            </w:pPr>
            <w:r>
              <w:rPr>
                <w:color w:val="0000FF"/>
                <w:sz w:val="21"/>
              </w:rPr>
              <w:t>氟化物</w:t>
            </w:r>
          </w:p>
        </w:tc>
        <w:tc>
          <w:tcPr>
            <w:tcW w:w="2452" w:type="dxa"/>
            <w:tcBorders>
              <w:tl2br w:val="nil"/>
              <w:tr2bl w:val="nil"/>
            </w:tcBorders>
          </w:tcPr>
          <w:p>
            <w:pPr>
              <w:pStyle w:val="19"/>
              <w:spacing w:before="29"/>
              <w:ind w:left="781" w:right="773"/>
              <w:rPr>
                <w:rFonts w:ascii="Times New Roman" w:hAnsi="Times New Roman"/>
                <w:color w:val="0000FF"/>
                <w:sz w:val="21"/>
              </w:rPr>
            </w:pPr>
            <w:r>
              <w:rPr>
                <w:color w:val="0000FF"/>
                <w:sz w:val="21"/>
              </w:rPr>
              <w:t>≤</w:t>
            </w:r>
            <w:r>
              <w:rPr>
                <w:rFonts w:ascii="Times New Roman" w:hAnsi="Times New Roman"/>
                <w:color w:val="0000FF"/>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30"/>
              <w:ind w:left="489" w:right="481"/>
              <w:rPr>
                <w:color w:val="0000FF"/>
                <w:sz w:val="21"/>
              </w:rPr>
            </w:pPr>
            <w:r>
              <w:rPr>
                <w:color w:val="0000FF"/>
                <w:sz w:val="21"/>
              </w:rPr>
              <w:t>氨氮</w:t>
            </w:r>
          </w:p>
        </w:tc>
        <w:tc>
          <w:tcPr>
            <w:tcW w:w="2452" w:type="dxa"/>
            <w:tcBorders>
              <w:tl2br w:val="nil"/>
              <w:tr2bl w:val="nil"/>
            </w:tcBorders>
          </w:tcPr>
          <w:p>
            <w:pPr>
              <w:pStyle w:val="19"/>
              <w:spacing w:before="30"/>
              <w:ind w:left="783" w:right="773"/>
              <w:rPr>
                <w:rFonts w:ascii="Times New Roman" w:hAnsi="Times New Roman"/>
                <w:color w:val="0000FF"/>
                <w:sz w:val="21"/>
              </w:rPr>
            </w:pPr>
            <w:r>
              <w:rPr>
                <w:color w:val="0000FF"/>
                <w:sz w:val="21"/>
              </w:rPr>
              <w:t>≤</w:t>
            </w:r>
            <w:r>
              <w:rPr>
                <w:rFonts w:ascii="Times New Roman" w:hAnsi="Times New Roman"/>
                <w:color w:val="0000FF"/>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31"/>
              <w:ind w:left="489" w:right="481"/>
              <w:rPr>
                <w:color w:val="0000FF"/>
                <w:sz w:val="21"/>
              </w:rPr>
            </w:pPr>
            <w:r>
              <w:rPr>
                <w:color w:val="0000FF"/>
                <w:sz w:val="21"/>
              </w:rPr>
              <w:t>挥发酚</w:t>
            </w:r>
          </w:p>
        </w:tc>
        <w:tc>
          <w:tcPr>
            <w:tcW w:w="2452" w:type="dxa"/>
            <w:tcBorders>
              <w:tl2br w:val="nil"/>
              <w:tr2bl w:val="nil"/>
            </w:tcBorders>
          </w:tcPr>
          <w:p>
            <w:pPr>
              <w:pStyle w:val="19"/>
              <w:spacing w:before="31"/>
              <w:ind w:left="783" w:right="773"/>
              <w:rPr>
                <w:rFonts w:ascii="Times New Roman" w:hAnsi="Times New Roman"/>
                <w:color w:val="0000FF"/>
                <w:sz w:val="21"/>
              </w:rPr>
            </w:pPr>
            <w:r>
              <w:rPr>
                <w:color w:val="0000FF"/>
                <w:sz w:val="21"/>
              </w:rPr>
              <w:t>≤</w:t>
            </w:r>
            <w:r>
              <w:rPr>
                <w:rFonts w:ascii="Times New Roman" w:hAnsi="Times New Roman"/>
                <w:color w:val="0000FF"/>
                <w:sz w:val="21"/>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29"/>
              <w:ind w:left="489" w:right="481"/>
              <w:rPr>
                <w:color w:val="0000FF"/>
                <w:sz w:val="21"/>
              </w:rPr>
            </w:pPr>
            <w:r>
              <w:rPr>
                <w:color w:val="0000FF"/>
                <w:sz w:val="21"/>
              </w:rPr>
              <w:t>氰化物</w:t>
            </w:r>
          </w:p>
        </w:tc>
        <w:tc>
          <w:tcPr>
            <w:tcW w:w="2452" w:type="dxa"/>
            <w:tcBorders>
              <w:tl2br w:val="nil"/>
              <w:tr2bl w:val="nil"/>
            </w:tcBorders>
          </w:tcPr>
          <w:p>
            <w:pPr>
              <w:pStyle w:val="19"/>
              <w:spacing w:before="29"/>
              <w:ind w:left="783" w:right="773"/>
              <w:rPr>
                <w:rFonts w:ascii="Times New Roman" w:hAnsi="Times New Roman"/>
                <w:color w:val="0000FF"/>
                <w:sz w:val="21"/>
              </w:rPr>
            </w:pPr>
            <w:r>
              <w:rPr>
                <w:color w:val="0000FF"/>
                <w:sz w:val="21"/>
              </w:rPr>
              <w:t>≤</w:t>
            </w:r>
            <w:r>
              <w:rPr>
                <w:rFonts w:ascii="Times New Roman" w:hAnsi="Times New Roman"/>
                <w:color w:val="0000FF"/>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44"/>
              <w:ind w:left="489" w:right="478"/>
              <w:rPr>
                <w:rFonts w:ascii="Times New Roman"/>
                <w:color w:val="0000FF"/>
                <w:sz w:val="13"/>
              </w:rPr>
            </w:pPr>
            <w:r>
              <w:rPr>
                <w:rFonts w:ascii="Times New Roman"/>
                <w:color w:val="0000FF"/>
                <w:position w:val="-6"/>
                <w:sz w:val="21"/>
              </w:rPr>
              <w:t>Cr</w:t>
            </w:r>
            <w:r>
              <w:rPr>
                <w:rFonts w:ascii="Times New Roman"/>
                <w:color w:val="0000FF"/>
                <w:sz w:val="13"/>
              </w:rPr>
              <w:t>6+</w:t>
            </w:r>
          </w:p>
        </w:tc>
        <w:tc>
          <w:tcPr>
            <w:tcW w:w="2452" w:type="dxa"/>
            <w:tcBorders>
              <w:tl2br w:val="nil"/>
              <w:tr2bl w:val="nil"/>
            </w:tcBorders>
          </w:tcPr>
          <w:p>
            <w:pPr>
              <w:pStyle w:val="19"/>
              <w:spacing w:before="30"/>
              <w:ind w:left="783" w:right="773"/>
              <w:rPr>
                <w:rFonts w:ascii="Times New Roman" w:hAnsi="Times New Roman"/>
                <w:color w:val="0000FF"/>
                <w:sz w:val="21"/>
              </w:rPr>
            </w:pPr>
            <w:r>
              <w:rPr>
                <w:color w:val="0000FF"/>
                <w:sz w:val="21"/>
              </w:rPr>
              <w:t>≤</w:t>
            </w:r>
            <w:r>
              <w:rPr>
                <w:rFonts w:ascii="Times New Roman" w:hAnsi="Times New Roman"/>
                <w:color w:val="0000FF"/>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31"/>
              <w:ind w:left="6"/>
              <w:rPr>
                <w:color w:val="0000FF"/>
                <w:sz w:val="21"/>
              </w:rPr>
            </w:pPr>
            <w:r>
              <w:rPr>
                <w:color w:val="0000FF"/>
                <w:w w:val="99"/>
                <w:sz w:val="21"/>
              </w:rPr>
              <w:t>汞</w:t>
            </w:r>
          </w:p>
        </w:tc>
        <w:tc>
          <w:tcPr>
            <w:tcW w:w="2452" w:type="dxa"/>
            <w:tcBorders>
              <w:tl2br w:val="nil"/>
              <w:tr2bl w:val="nil"/>
            </w:tcBorders>
          </w:tcPr>
          <w:p>
            <w:pPr>
              <w:pStyle w:val="19"/>
              <w:spacing w:before="31"/>
              <w:ind w:left="783" w:right="773"/>
              <w:rPr>
                <w:rFonts w:ascii="Times New Roman" w:hAnsi="Times New Roman"/>
                <w:color w:val="0000FF"/>
                <w:sz w:val="21"/>
              </w:rPr>
            </w:pPr>
            <w:r>
              <w:rPr>
                <w:color w:val="0000FF"/>
                <w:sz w:val="21"/>
              </w:rPr>
              <w:t>≤</w:t>
            </w:r>
            <w:r>
              <w:rPr>
                <w:rFonts w:ascii="Times New Roman" w:hAnsi="Times New Roman"/>
                <w:color w:val="0000FF"/>
                <w:sz w:val="21"/>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29"/>
              <w:ind w:left="6"/>
              <w:rPr>
                <w:color w:val="0000FF"/>
                <w:sz w:val="21"/>
              </w:rPr>
            </w:pPr>
            <w:r>
              <w:rPr>
                <w:color w:val="0000FF"/>
                <w:w w:val="99"/>
                <w:sz w:val="21"/>
              </w:rPr>
              <w:t>砷</w:t>
            </w:r>
          </w:p>
        </w:tc>
        <w:tc>
          <w:tcPr>
            <w:tcW w:w="2452" w:type="dxa"/>
            <w:tcBorders>
              <w:tl2br w:val="nil"/>
              <w:tr2bl w:val="nil"/>
            </w:tcBorders>
          </w:tcPr>
          <w:p>
            <w:pPr>
              <w:pStyle w:val="19"/>
              <w:spacing w:before="29"/>
              <w:ind w:left="783" w:right="773"/>
              <w:rPr>
                <w:rFonts w:ascii="Times New Roman" w:hAnsi="Times New Roman"/>
                <w:color w:val="0000FF"/>
                <w:sz w:val="21"/>
              </w:rPr>
            </w:pPr>
            <w:r>
              <w:rPr>
                <w:color w:val="0000FF"/>
                <w:sz w:val="21"/>
              </w:rPr>
              <w:t>≤</w:t>
            </w:r>
            <w:r>
              <w:rPr>
                <w:rFonts w:ascii="Times New Roman" w:hAnsi="Times New Roman"/>
                <w:color w:val="0000FF"/>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30"/>
              <w:ind w:left="489" w:right="481"/>
              <w:rPr>
                <w:color w:val="0000FF"/>
                <w:sz w:val="21"/>
              </w:rPr>
            </w:pPr>
            <w:r>
              <w:rPr>
                <w:color w:val="0000FF"/>
                <w:sz w:val="21"/>
              </w:rPr>
              <w:t>溶解性总固体</w:t>
            </w:r>
          </w:p>
        </w:tc>
        <w:tc>
          <w:tcPr>
            <w:tcW w:w="2452" w:type="dxa"/>
            <w:tcBorders>
              <w:tl2br w:val="nil"/>
              <w:tr2bl w:val="nil"/>
            </w:tcBorders>
          </w:tcPr>
          <w:p>
            <w:pPr>
              <w:pStyle w:val="19"/>
              <w:spacing w:before="30"/>
              <w:ind w:left="783" w:right="773"/>
              <w:rPr>
                <w:rFonts w:ascii="Times New Roman" w:hAnsi="Times New Roman"/>
                <w:color w:val="0000FF"/>
                <w:sz w:val="21"/>
              </w:rPr>
            </w:pPr>
            <w:r>
              <w:rPr>
                <w:color w:val="0000FF"/>
                <w:sz w:val="21"/>
              </w:rPr>
              <w:t>≤</w:t>
            </w:r>
            <w:r>
              <w:rPr>
                <w:rFonts w:ascii="Times New Roman" w:hAnsi="Times New Roman"/>
                <w:color w:val="0000FF"/>
                <w:sz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31"/>
              <w:ind w:left="489" w:right="481"/>
              <w:rPr>
                <w:color w:val="0000FF"/>
                <w:sz w:val="21"/>
              </w:rPr>
            </w:pPr>
            <w:r>
              <w:rPr>
                <w:color w:val="0000FF"/>
                <w:sz w:val="21"/>
              </w:rPr>
              <w:t>硝酸盐</w:t>
            </w:r>
          </w:p>
        </w:tc>
        <w:tc>
          <w:tcPr>
            <w:tcW w:w="2452" w:type="dxa"/>
            <w:tcBorders>
              <w:tl2br w:val="nil"/>
              <w:tr2bl w:val="nil"/>
            </w:tcBorders>
          </w:tcPr>
          <w:p>
            <w:pPr>
              <w:pStyle w:val="19"/>
              <w:spacing w:before="31"/>
              <w:ind w:left="783" w:right="773"/>
              <w:rPr>
                <w:rFonts w:ascii="Times New Roman" w:hAnsi="Times New Roman"/>
                <w:color w:val="0000FF"/>
                <w:sz w:val="21"/>
              </w:rPr>
            </w:pPr>
            <w:r>
              <w:rPr>
                <w:color w:val="0000FF"/>
                <w:sz w:val="21"/>
              </w:rPr>
              <w:t>≤</w:t>
            </w:r>
            <w:r>
              <w:rPr>
                <w:rFonts w:ascii="Times New Roman" w:hAnsi="Times New Roman"/>
                <w:color w:val="0000FF"/>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29"/>
              <w:ind w:left="487" w:right="481"/>
              <w:rPr>
                <w:color w:val="0000FF"/>
                <w:sz w:val="21"/>
              </w:rPr>
            </w:pPr>
            <w:r>
              <w:rPr>
                <w:color w:val="0000FF"/>
                <w:sz w:val="21"/>
              </w:rPr>
              <w:t>亚硝酸盐</w:t>
            </w:r>
          </w:p>
        </w:tc>
        <w:tc>
          <w:tcPr>
            <w:tcW w:w="2452" w:type="dxa"/>
            <w:tcBorders>
              <w:tl2br w:val="nil"/>
              <w:tr2bl w:val="nil"/>
            </w:tcBorders>
          </w:tcPr>
          <w:p>
            <w:pPr>
              <w:pStyle w:val="19"/>
              <w:spacing w:before="29"/>
              <w:ind w:left="783" w:right="773"/>
              <w:rPr>
                <w:rFonts w:ascii="Times New Roman" w:hAnsi="Times New Roman"/>
                <w:color w:val="0000FF"/>
                <w:sz w:val="21"/>
              </w:rPr>
            </w:pPr>
            <w:r>
              <w:rPr>
                <w:color w:val="0000FF"/>
                <w:sz w:val="21"/>
              </w:rPr>
              <w:t>≤</w:t>
            </w:r>
            <w:r>
              <w:rPr>
                <w:rFonts w:ascii="Times New Roman" w:hAnsi="Times New Roman"/>
                <w:color w:val="0000FF"/>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30"/>
              <w:ind w:left="6"/>
              <w:rPr>
                <w:color w:val="0000FF"/>
                <w:sz w:val="21"/>
              </w:rPr>
            </w:pPr>
            <w:r>
              <w:rPr>
                <w:color w:val="0000FF"/>
                <w:w w:val="99"/>
                <w:sz w:val="21"/>
              </w:rPr>
              <w:t>镉</w:t>
            </w:r>
          </w:p>
        </w:tc>
        <w:tc>
          <w:tcPr>
            <w:tcW w:w="2452" w:type="dxa"/>
            <w:tcBorders>
              <w:tl2br w:val="nil"/>
              <w:tr2bl w:val="nil"/>
            </w:tcBorders>
          </w:tcPr>
          <w:p>
            <w:pPr>
              <w:pStyle w:val="19"/>
              <w:spacing w:before="30"/>
              <w:ind w:left="783" w:right="773"/>
              <w:rPr>
                <w:rFonts w:ascii="Times New Roman" w:hAnsi="Times New Roman"/>
                <w:color w:val="0000FF"/>
                <w:sz w:val="21"/>
              </w:rPr>
            </w:pPr>
            <w:r>
              <w:rPr>
                <w:color w:val="0000FF"/>
                <w:sz w:val="21"/>
              </w:rPr>
              <w:t>≤</w:t>
            </w:r>
            <w:r>
              <w:rPr>
                <w:rFonts w:ascii="Times New Roman" w:hAnsi="Times New Roman"/>
                <w:color w:val="0000FF"/>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079" w:type="dxa"/>
            <w:vMerge w:val="continue"/>
            <w:tcBorders>
              <w:tl2br w:val="nil"/>
              <w:tr2bl w:val="nil"/>
            </w:tcBorders>
          </w:tcPr>
          <w:p>
            <w:pPr>
              <w:rPr>
                <w:color w:val="0000FF"/>
                <w:sz w:val="2"/>
                <w:szCs w:val="2"/>
              </w:rPr>
            </w:pPr>
          </w:p>
        </w:tc>
        <w:tc>
          <w:tcPr>
            <w:tcW w:w="1530" w:type="dxa"/>
            <w:vMerge w:val="continue"/>
            <w:tcBorders>
              <w:tl2br w:val="nil"/>
              <w:tr2bl w:val="nil"/>
            </w:tcBorders>
          </w:tcPr>
          <w:p>
            <w:pPr>
              <w:rPr>
                <w:color w:val="0000FF"/>
                <w:sz w:val="2"/>
                <w:szCs w:val="2"/>
              </w:rPr>
            </w:pPr>
          </w:p>
        </w:tc>
        <w:tc>
          <w:tcPr>
            <w:tcW w:w="2280" w:type="dxa"/>
            <w:tcBorders>
              <w:tl2br w:val="nil"/>
              <w:tr2bl w:val="nil"/>
            </w:tcBorders>
          </w:tcPr>
          <w:p>
            <w:pPr>
              <w:pStyle w:val="19"/>
              <w:spacing w:before="31"/>
              <w:ind w:left="6"/>
              <w:rPr>
                <w:color w:val="0000FF"/>
                <w:sz w:val="21"/>
              </w:rPr>
            </w:pPr>
            <w:r>
              <w:rPr>
                <w:color w:val="0000FF"/>
                <w:w w:val="99"/>
                <w:sz w:val="21"/>
              </w:rPr>
              <w:t>铅</w:t>
            </w:r>
          </w:p>
        </w:tc>
        <w:tc>
          <w:tcPr>
            <w:tcW w:w="2452" w:type="dxa"/>
            <w:tcBorders>
              <w:tl2br w:val="nil"/>
              <w:tr2bl w:val="nil"/>
            </w:tcBorders>
          </w:tcPr>
          <w:p>
            <w:pPr>
              <w:pStyle w:val="19"/>
              <w:spacing w:before="31"/>
              <w:ind w:left="783" w:right="773"/>
              <w:rPr>
                <w:rFonts w:ascii="Times New Roman" w:hAnsi="Times New Roman"/>
                <w:color w:val="0000FF"/>
                <w:sz w:val="21"/>
              </w:rPr>
            </w:pPr>
            <w:r>
              <w:rPr>
                <w:color w:val="0000FF"/>
                <w:sz w:val="21"/>
              </w:rPr>
              <w:t>≤</w:t>
            </w:r>
            <w:r>
              <w:rPr>
                <w:rFonts w:ascii="Times New Roman" w:hAnsi="Times New Roman"/>
                <w:color w:val="0000FF"/>
                <w:sz w:val="21"/>
              </w:rPr>
              <w:t>0.01</w:t>
            </w:r>
          </w:p>
        </w:tc>
      </w:tr>
    </w:tbl>
    <w:p>
      <w:pPr>
        <w:pStyle w:val="7"/>
        <w:spacing w:before="5"/>
        <w:ind w:left="0"/>
        <w:rPr>
          <w:rFonts w:ascii="Times New Roman"/>
          <w:b/>
          <w:color w:val="0000FF"/>
          <w:sz w:val="5"/>
        </w:rPr>
      </w:pPr>
    </w:p>
    <w:tbl>
      <w:tblPr>
        <w:tblStyle w:val="15"/>
        <w:tblW w:w="0" w:type="auto"/>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9"/>
        <w:gridCol w:w="1530"/>
        <w:gridCol w:w="2280"/>
        <w:gridCol w:w="24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restart"/>
          </w:tcPr>
          <w:p>
            <w:pPr>
              <w:pStyle w:val="19"/>
              <w:jc w:val="left"/>
              <w:rPr>
                <w:rFonts w:ascii="Times New Roman"/>
                <w:color w:val="0000FF"/>
                <w:sz w:val="22"/>
              </w:rPr>
            </w:pPr>
          </w:p>
        </w:tc>
        <w:tc>
          <w:tcPr>
            <w:tcW w:w="1530" w:type="dxa"/>
            <w:vMerge w:val="restart"/>
          </w:tcPr>
          <w:p>
            <w:pPr>
              <w:pStyle w:val="19"/>
              <w:jc w:val="left"/>
              <w:rPr>
                <w:rFonts w:ascii="Times New Roman"/>
                <w:color w:val="0000FF"/>
                <w:sz w:val="22"/>
              </w:rPr>
            </w:pPr>
          </w:p>
        </w:tc>
        <w:tc>
          <w:tcPr>
            <w:tcW w:w="2280" w:type="dxa"/>
          </w:tcPr>
          <w:p>
            <w:pPr>
              <w:pStyle w:val="19"/>
              <w:spacing w:before="31"/>
              <w:ind w:left="6"/>
              <w:rPr>
                <w:color w:val="0000FF"/>
                <w:sz w:val="21"/>
              </w:rPr>
            </w:pPr>
            <w:r>
              <w:rPr>
                <w:color w:val="0000FF"/>
                <w:w w:val="99"/>
                <w:sz w:val="21"/>
              </w:rPr>
              <w:t>锰</w:t>
            </w:r>
          </w:p>
        </w:tc>
        <w:tc>
          <w:tcPr>
            <w:tcW w:w="2452" w:type="dxa"/>
          </w:tcPr>
          <w:p>
            <w:pPr>
              <w:pStyle w:val="19"/>
              <w:spacing w:before="31"/>
              <w:ind w:left="937"/>
              <w:jc w:val="left"/>
              <w:rPr>
                <w:rFonts w:ascii="Times New Roman" w:hAnsi="Times New Roman"/>
                <w:color w:val="0000FF"/>
                <w:sz w:val="21"/>
              </w:rPr>
            </w:pPr>
            <w:r>
              <w:rPr>
                <w:color w:val="0000FF"/>
                <w:sz w:val="21"/>
              </w:rPr>
              <w:t>≤</w:t>
            </w:r>
            <w:r>
              <w:rPr>
                <w:rFonts w:ascii="Times New Roman" w:hAnsi="Times New Roman"/>
                <w:color w:val="0000FF"/>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79" w:type="dxa"/>
            <w:vMerge w:val="continue"/>
            <w:tcBorders>
              <w:top w:val="nil"/>
            </w:tcBorders>
          </w:tcPr>
          <w:p>
            <w:pPr>
              <w:rPr>
                <w:color w:val="0000FF"/>
                <w:sz w:val="2"/>
                <w:szCs w:val="2"/>
              </w:rPr>
            </w:pPr>
          </w:p>
        </w:tc>
        <w:tc>
          <w:tcPr>
            <w:tcW w:w="1530" w:type="dxa"/>
            <w:vMerge w:val="continue"/>
            <w:tcBorders>
              <w:top w:val="nil"/>
            </w:tcBorders>
          </w:tcPr>
          <w:p>
            <w:pPr>
              <w:rPr>
                <w:color w:val="0000FF"/>
                <w:sz w:val="2"/>
                <w:szCs w:val="2"/>
              </w:rPr>
            </w:pPr>
          </w:p>
        </w:tc>
        <w:tc>
          <w:tcPr>
            <w:tcW w:w="2280" w:type="dxa"/>
          </w:tcPr>
          <w:p>
            <w:pPr>
              <w:pStyle w:val="19"/>
              <w:spacing w:before="29"/>
              <w:ind w:left="487" w:right="481"/>
              <w:rPr>
                <w:color w:val="0000FF"/>
                <w:sz w:val="21"/>
              </w:rPr>
            </w:pPr>
            <w:r>
              <w:rPr>
                <w:color w:val="0000FF"/>
                <w:sz w:val="21"/>
              </w:rPr>
              <w:t>总大肠菌群</w:t>
            </w:r>
          </w:p>
        </w:tc>
        <w:tc>
          <w:tcPr>
            <w:tcW w:w="2452" w:type="dxa"/>
          </w:tcPr>
          <w:p>
            <w:pPr>
              <w:pStyle w:val="19"/>
              <w:spacing w:before="29"/>
              <w:ind w:left="990"/>
              <w:jc w:val="left"/>
              <w:rPr>
                <w:rFonts w:ascii="Times New Roman" w:hAnsi="Times New Roman"/>
                <w:color w:val="0000FF"/>
                <w:sz w:val="21"/>
              </w:rPr>
            </w:pPr>
            <w:r>
              <w:rPr>
                <w:color w:val="0000FF"/>
                <w:sz w:val="21"/>
              </w:rPr>
              <w:t>≤</w:t>
            </w:r>
            <w:r>
              <w:rPr>
                <w:rFonts w:ascii="Times New Roman" w:hAnsi="Times New Roman"/>
                <w:color w:val="0000FF"/>
                <w:sz w:val="21"/>
              </w:rPr>
              <w:t>3.0</w:t>
            </w:r>
          </w:p>
        </w:tc>
      </w:tr>
    </w:tbl>
    <w:p>
      <w:pPr>
        <w:pStyle w:val="7"/>
        <w:ind w:left="0"/>
        <w:rPr>
          <w:rFonts w:ascii="Times New Roman"/>
          <w:b/>
          <w:color w:val="0000FF"/>
          <w:sz w:val="14"/>
        </w:rPr>
      </w:pPr>
    </w:p>
    <w:p>
      <w:pPr>
        <w:pStyle w:val="18"/>
        <w:numPr>
          <w:ilvl w:val="4"/>
          <w:numId w:val="12"/>
        </w:numPr>
        <w:tabs>
          <w:tab w:val="left" w:pos="1621"/>
        </w:tabs>
        <w:spacing w:before="77" w:after="0" w:line="240" w:lineRule="auto"/>
        <w:ind w:left="1621" w:right="0" w:hanging="601"/>
        <w:jc w:val="left"/>
        <w:rPr>
          <w:color w:val="0000FF"/>
          <w:sz w:val="24"/>
        </w:rPr>
      </w:pPr>
      <w:r>
        <w:rPr>
          <w:color w:val="0000FF"/>
          <w:sz w:val="24"/>
        </w:rPr>
        <w:t>声环境质量标准</w:t>
      </w:r>
    </w:p>
    <w:p>
      <w:pPr>
        <w:pStyle w:val="7"/>
        <w:spacing w:before="160" w:line="364" w:lineRule="auto"/>
        <w:ind w:right="457" w:firstLine="480"/>
        <w:rPr>
          <w:color w:val="0000FF"/>
        </w:rPr>
      </w:pPr>
      <w:r>
        <w:rPr>
          <w:color w:val="0000FF"/>
          <w:spacing w:val="-8"/>
        </w:rPr>
        <w:t>项目所在区声环境执行《声环境质量标准》</w:t>
      </w:r>
      <w:r>
        <w:rPr>
          <w:color w:val="0000FF"/>
          <w:spacing w:val="-4"/>
        </w:rPr>
        <w:t>（</w:t>
      </w:r>
      <w:r>
        <w:rPr>
          <w:rFonts w:ascii="Times New Roman" w:eastAsia="Times New Roman"/>
          <w:color w:val="0000FF"/>
          <w:spacing w:val="-4"/>
        </w:rPr>
        <w:t>GB3096-2008</w:t>
      </w:r>
      <w:r>
        <w:rPr>
          <w:color w:val="0000FF"/>
          <w:spacing w:val="-4"/>
        </w:rPr>
        <w:t>）</w:t>
      </w:r>
      <w:r>
        <w:rPr>
          <w:color w:val="0000FF"/>
          <w:spacing w:val="-19"/>
        </w:rPr>
        <w:t>中的</w:t>
      </w:r>
      <w:r>
        <w:rPr>
          <w:rFonts w:ascii="Times New Roman" w:eastAsia="Times New Roman"/>
          <w:color w:val="0000FF"/>
        </w:rPr>
        <w:t>2</w:t>
      </w:r>
      <w:r>
        <w:rPr>
          <w:color w:val="0000FF"/>
          <w:spacing w:val="-4"/>
        </w:rPr>
        <w:t>类标准，</w:t>
      </w:r>
      <w:r>
        <w:rPr>
          <w:color w:val="0000FF"/>
          <w:spacing w:val="-7"/>
        </w:rPr>
        <w:t>具体标准限值见表</w:t>
      </w:r>
      <w:r>
        <w:rPr>
          <w:rFonts w:ascii="Times New Roman" w:eastAsia="Times New Roman"/>
          <w:color w:val="0000FF"/>
        </w:rPr>
        <w:t>2.4-3</w:t>
      </w:r>
      <w:r>
        <w:rPr>
          <w:color w:val="0000FF"/>
        </w:rPr>
        <w:t>。</w:t>
      </w:r>
    </w:p>
    <w:p>
      <w:pPr>
        <w:pStyle w:val="7"/>
        <w:bidi w:val="0"/>
        <w:jc w:val="center"/>
        <w:rPr>
          <w:color w:val="0000FF"/>
        </w:rPr>
      </w:pPr>
      <w:r>
        <w:rPr>
          <w:color w:val="0000FF"/>
        </w:rPr>
        <w:t>表</w:t>
      </w:r>
      <w:r>
        <w:rPr>
          <w:rFonts w:ascii="Times New Roman" w:eastAsia="Times New Roman"/>
          <w:color w:val="0000FF"/>
        </w:rPr>
        <w:t>2.4-3</w:t>
      </w:r>
      <w:r>
        <w:rPr>
          <w:rFonts w:ascii="Times New Roman" w:eastAsia="Times New Roman"/>
          <w:color w:val="0000FF"/>
        </w:rPr>
        <w:tab/>
      </w:r>
      <w:r>
        <w:rPr>
          <w:color w:val="0000FF"/>
        </w:rPr>
        <w:t>声环境质量标准</w:t>
      </w:r>
      <w:r>
        <w:rPr>
          <w:color w:val="0000FF"/>
        </w:rPr>
        <w:tab/>
      </w:r>
      <w:r>
        <w:rPr>
          <w:color w:val="0000FF"/>
        </w:rPr>
        <w:t>单位：</w:t>
      </w:r>
      <w:r>
        <w:rPr>
          <w:rFonts w:ascii="Times New Roman" w:eastAsia="Times New Roman"/>
          <w:color w:val="0000FF"/>
        </w:rPr>
        <w:t>dB</w:t>
      </w:r>
      <w:r>
        <w:rPr>
          <w:color w:val="0000FF"/>
        </w:rPr>
        <w:t>（</w:t>
      </w:r>
      <w:r>
        <w:rPr>
          <w:rFonts w:ascii="Times New Roman" w:eastAsia="Times New Roman"/>
          <w:color w:val="0000FF"/>
        </w:rPr>
        <w:t>A</w:t>
      </w:r>
      <w:r>
        <w:rPr>
          <w:color w:val="0000FF"/>
        </w:rPr>
        <w:t>）</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04"/>
        <w:gridCol w:w="2084"/>
        <w:gridCol w:w="1295"/>
        <w:gridCol w:w="1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804" w:type="dxa"/>
            <w:vMerge w:val="restart"/>
          </w:tcPr>
          <w:p>
            <w:pPr>
              <w:pStyle w:val="19"/>
              <w:spacing w:before="7"/>
              <w:jc w:val="left"/>
              <w:rPr>
                <w:b/>
                <w:color w:val="0000FF"/>
                <w:sz w:val="15"/>
              </w:rPr>
            </w:pPr>
          </w:p>
          <w:p>
            <w:pPr>
              <w:pStyle w:val="19"/>
              <w:spacing w:before="1"/>
              <w:ind w:left="1461" w:right="1449"/>
              <w:rPr>
                <w:b/>
                <w:color w:val="0000FF"/>
                <w:sz w:val="21"/>
              </w:rPr>
            </w:pPr>
            <w:r>
              <w:rPr>
                <w:b/>
                <w:color w:val="0000FF"/>
                <w:sz w:val="21"/>
              </w:rPr>
              <w:t>标准名称</w:t>
            </w:r>
          </w:p>
        </w:tc>
        <w:tc>
          <w:tcPr>
            <w:tcW w:w="2084" w:type="dxa"/>
            <w:vMerge w:val="restart"/>
          </w:tcPr>
          <w:p>
            <w:pPr>
              <w:pStyle w:val="19"/>
              <w:spacing w:before="7"/>
              <w:jc w:val="left"/>
              <w:rPr>
                <w:b/>
                <w:color w:val="0000FF"/>
                <w:sz w:val="15"/>
              </w:rPr>
            </w:pPr>
          </w:p>
          <w:p>
            <w:pPr>
              <w:pStyle w:val="19"/>
              <w:spacing w:before="1"/>
              <w:ind w:left="202"/>
              <w:jc w:val="left"/>
              <w:rPr>
                <w:b/>
                <w:color w:val="0000FF"/>
                <w:sz w:val="21"/>
              </w:rPr>
            </w:pPr>
            <w:r>
              <w:rPr>
                <w:b/>
                <w:color w:val="0000FF"/>
                <w:sz w:val="21"/>
              </w:rPr>
              <w:t>声环境功能区类别</w:t>
            </w:r>
          </w:p>
        </w:tc>
        <w:tc>
          <w:tcPr>
            <w:tcW w:w="2631" w:type="dxa"/>
            <w:gridSpan w:val="2"/>
          </w:tcPr>
          <w:p>
            <w:pPr>
              <w:pStyle w:val="19"/>
              <w:spacing w:before="29"/>
              <w:ind w:left="1083" w:right="1076"/>
              <w:rPr>
                <w:b/>
                <w:color w:val="0000FF"/>
                <w:sz w:val="21"/>
              </w:rPr>
            </w:pPr>
            <w:r>
              <w:rPr>
                <w:b/>
                <w:color w:val="0000FF"/>
                <w:sz w:val="21"/>
              </w:rPr>
              <w:t>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804" w:type="dxa"/>
            <w:vMerge w:val="continue"/>
            <w:tcBorders>
              <w:top w:val="nil"/>
            </w:tcBorders>
          </w:tcPr>
          <w:p>
            <w:pPr>
              <w:rPr>
                <w:color w:val="0000FF"/>
                <w:sz w:val="2"/>
                <w:szCs w:val="2"/>
              </w:rPr>
            </w:pPr>
          </w:p>
        </w:tc>
        <w:tc>
          <w:tcPr>
            <w:tcW w:w="2084" w:type="dxa"/>
            <w:vMerge w:val="continue"/>
            <w:tcBorders>
              <w:top w:val="nil"/>
            </w:tcBorders>
          </w:tcPr>
          <w:p>
            <w:pPr>
              <w:rPr>
                <w:color w:val="0000FF"/>
                <w:sz w:val="2"/>
                <w:szCs w:val="2"/>
              </w:rPr>
            </w:pPr>
          </w:p>
        </w:tc>
        <w:tc>
          <w:tcPr>
            <w:tcW w:w="1295" w:type="dxa"/>
          </w:tcPr>
          <w:p>
            <w:pPr>
              <w:pStyle w:val="19"/>
              <w:spacing w:before="28"/>
              <w:ind w:left="416" w:right="407"/>
              <w:rPr>
                <w:b/>
                <w:color w:val="0000FF"/>
                <w:sz w:val="21"/>
              </w:rPr>
            </w:pPr>
            <w:r>
              <w:rPr>
                <w:b/>
                <w:color w:val="0000FF"/>
                <w:sz w:val="21"/>
              </w:rPr>
              <w:t>昼间</w:t>
            </w:r>
          </w:p>
        </w:tc>
        <w:tc>
          <w:tcPr>
            <w:tcW w:w="1336" w:type="dxa"/>
          </w:tcPr>
          <w:p>
            <w:pPr>
              <w:pStyle w:val="19"/>
              <w:spacing w:before="30"/>
              <w:ind w:left="331" w:right="323"/>
              <w:rPr>
                <w:b/>
                <w:color w:val="0000FF"/>
                <w:sz w:val="21"/>
              </w:rPr>
            </w:pPr>
            <w:r>
              <w:rPr>
                <w:b/>
                <w:color w:val="0000FF"/>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804" w:type="dxa"/>
          </w:tcPr>
          <w:p>
            <w:pPr>
              <w:pStyle w:val="19"/>
              <w:spacing w:before="31"/>
              <w:ind w:left="147"/>
              <w:jc w:val="left"/>
              <w:rPr>
                <w:color w:val="0000FF"/>
                <w:sz w:val="21"/>
              </w:rPr>
            </w:pPr>
            <w:r>
              <w:rPr>
                <w:color w:val="0000FF"/>
                <w:sz w:val="21"/>
              </w:rPr>
              <w:t>《声环境质量标准》（</w:t>
            </w:r>
            <w:r>
              <w:rPr>
                <w:rFonts w:ascii="Times New Roman" w:eastAsia="Times New Roman"/>
                <w:color w:val="0000FF"/>
                <w:sz w:val="21"/>
              </w:rPr>
              <w:t>GB3096-2008</w:t>
            </w:r>
            <w:r>
              <w:rPr>
                <w:color w:val="0000FF"/>
                <w:sz w:val="21"/>
              </w:rPr>
              <w:t>）</w:t>
            </w:r>
          </w:p>
        </w:tc>
        <w:tc>
          <w:tcPr>
            <w:tcW w:w="2084" w:type="dxa"/>
          </w:tcPr>
          <w:p>
            <w:pPr>
              <w:pStyle w:val="19"/>
              <w:spacing w:before="31"/>
              <w:ind w:left="836" w:right="830"/>
              <w:rPr>
                <w:color w:val="0000FF"/>
                <w:sz w:val="21"/>
              </w:rPr>
            </w:pPr>
            <w:r>
              <w:rPr>
                <w:rFonts w:ascii="Times New Roman" w:eastAsia="Times New Roman"/>
                <w:color w:val="0000FF"/>
                <w:sz w:val="21"/>
              </w:rPr>
              <w:t>2</w:t>
            </w:r>
            <w:r>
              <w:rPr>
                <w:color w:val="0000FF"/>
                <w:sz w:val="21"/>
              </w:rPr>
              <w:t>类</w:t>
            </w:r>
          </w:p>
        </w:tc>
        <w:tc>
          <w:tcPr>
            <w:tcW w:w="1295" w:type="dxa"/>
          </w:tcPr>
          <w:p>
            <w:pPr>
              <w:pStyle w:val="19"/>
              <w:spacing w:before="45"/>
              <w:ind w:left="416" w:right="406"/>
              <w:rPr>
                <w:rFonts w:ascii="Times New Roman"/>
                <w:color w:val="0000FF"/>
                <w:sz w:val="21"/>
              </w:rPr>
            </w:pPr>
            <w:r>
              <w:rPr>
                <w:rFonts w:ascii="Times New Roman"/>
                <w:color w:val="0000FF"/>
                <w:sz w:val="21"/>
              </w:rPr>
              <w:t>60</w:t>
            </w:r>
          </w:p>
        </w:tc>
        <w:tc>
          <w:tcPr>
            <w:tcW w:w="1336" w:type="dxa"/>
          </w:tcPr>
          <w:p>
            <w:pPr>
              <w:pStyle w:val="19"/>
              <w:spacing w:before="45"/>
              <w:ind w:left="332" w:right="322"/>
              <w:rPr>
                <w:rFonts w:ascii="Times New Roman"/>
                <w:color w:val="0000FF"/>
                <w:sz w:val="21"/>
              </w:rPr>
            </w:pPr>
            <w:r>
              <w:rPr>
                <w:rFonts w:ascii="Times New Roman"/>
                <w:color w:val="0000FF"/>
                <w:sz w:val="21"/>
              </w:rPr>
              <w:t>50</w:t>
            </w:r>
          </w:p>
        </w:tc>
      </w:tr>
    </w:tbl>
    <w:p>
      <w:pPr>
        <w:pStyle w:val="7"/>
        <w:spacing w:before="6"/>
        <w:ind w:left="0"/>
        <w:rPr>
          <w:b/>
          <w:color w:val="0000FF"/>
          <w:sz w:val="18"/>
        </w:rPr>
      </w:pPr>
    </w:p>
    <w:p>
      <w:pPr>
        <w:pStyle w:val="18"/>
        <w:numPr>
          <w:ilvl w:val="4"/>
          <w:numId w:val="12"/>
        </w:numPr>
        <w:tabs>
          <w:tab w:val="left" w:pos="1621"/>
        </w:tabs>
        <w:spacing w:before="0" w:after="0" w:line="240" w:lineRule="auto"/>
        <w:ind w:left="1621" w:right="0" w:hanging="601"/>
        <w:jc w:val="left"/>
        <w:rPr>
          <w:color w:val="0000FF"/>
          <w:sz w:val="24"/>
        </w:rPr>
      </w:pPr>
      <w:r>
        <w:rPr>
          <w:color w:val="0000FF"/>
          <w:sz w:val="24"/>
        </w:rPr>
        <w:t>土壤环境质量标准</w:t>
      </w:r>
    </w:p>
    <w:p>
      <w:pPr>
        <w:pStyle w:val="7"/>
        <w:spacing w:before="161" w:line="364" w:lineRule="auto"/>
        <w:ind w:right="577" w:firstLine="480"/>
        <w:jc w:val="both"/>
        <w:rPr>
          <w:color w:val="0000FF"/>
        </w:rPr>
      </w:pPr>
      <w:r>
        <w:rPr>
          <w:color w:val="0000FF"/>
          <w:spacing w:val="-20"/>
        </w:rPr>
        <w:t>根据</w:t>
      </w:r>
      <w:r>
        <w:rPr>
          <w:rFonts w:ascii="Times New Roman" w:hAnsi="Times New Roman" w:eastAsia="Times New Roman"/>
          <w:color w:val="0000FF"/>
        </w:rPr>
        <w:t>2019</w:t>
      </w:r>
      <w:r>
        <w:rPr>
          <w:color w:val="0000FF"/>
          <w:spacing w:val="-30"/>
        </w:rPr>
        <w:t>年</w:t>
      </w:r>
      <w:r>
        <w:rPr>
          <w:rFonts w:ascii="Times New Roman" w:hAnsi="Times New Roman" w:eastAsia="Times New Roman"/>
          <w:color w:val="0000FF"/>
        </w:rPr>
        <w:t>4</w:t>
      </w:r>
      <w:r>
        <w:rPr>
          <w:color w:val="0000FF"/>
          <w:spacing w:val="-30"/>
        </w:rPr>
        <w:t>月</w:t>
      </w:r>
      <w:r>
        <w:rPr>
          <w:rFonts w:ascii="Times New Roman" w:hAnsi="Times New Roman" w:eastAsia="Times New Roman"/>
          <w:color w:val="0000FF"/>
        </w:rPr>
        <w:t>22</w:t>
      </w:r>
      <w:r>
        <w:rPr>
          <w:color w:val="0000FF"/>
          <w:spacing w:val="-10"/>
        </w:rPr>
        <w:t>日的生态环境部部长信箱“关于林地和未利用地土壤如</w:t>
      </w:r>
      <w:r>
        <w:rPr>
          <w:color w:val="0000FF"/>
          <w:spacing w:val="-1"/>
        </w:rPr>
        <w:t>何选用评价标准问题的回复”，《土壤环境质量农用地土壤污染风险管控标准</w:t>
      </w:r>
    </w:p>
    <w:p>
      <w:pPr>
        <w:pStyle w:val="7"/>
        <w:spacing w:before="1" w:line="364" w:lineRule="auto"/>
        <w:ind w:right="570"/>
        <w:jc w:val="both"/>
        <w:rPr>
          <w:color w:val="0000FF"/>
        </w:rPr>
      </w:pPr>
      <w:r>
        <w:rPr>
          <w:color w:val="0000FF"/>
        </w:rPr>
        <w:t>（</w:t>
      </w:r>
      <w:r>
        <w:rPr>
          <w:color w:val="0000FF"/>
          <w:spacing w:val="2"/>
        </w:rPr>
        <w:t>试行</w:t>
      </w:r>
      <w:r>
        <w:rPr>
          <w:color w:val="0000FF"/>
          <w:spacing w:val="4"/>
        </w:rPr>
        <w:t>）</w:t>
      </w:r>
      <w:r>
        <w:rPr>
          <w:color w:val="0000FF"/>
        </w:rPr>
        <w:t>》（</w:t>
      </w:r>
      <w:r>
        <w:rPr>
          <w:rFonts w:ascii="Times New Roman" w:hAnsi="Times New Roman" w:eastAsia="Times New Roman"/>
          <w:color w:val="0000FF"/>
        </w:rPr>
        <w:t>GB15618-2018</w:t>
      </w:r>
      <w:r>
        <w:rPr>
          <w:color w:val="0000FF"/>
        </w:rPr>
        <w:t>）保护目标主要是食用农产品质量安全，因此，适</w:t>
      </w:r>
      <w:r>
        <w:rPr>
          <w:color w:val="0000FF"/>
          <w:spacing w:val="-8"/>
        </w:rPr>
        <w:t>用范围主要是耕地，以及园地、牧草地。《中华人民共和国土壤污染防治法》第</w:t>
      </w:r>
      <w:r>
        <w:rPr>
          <w:color w:val="0000FF"/>
          <w:spacing w:val="-14"/>
        </w:rPr>
        <w:t>三十一条第四款规定，“对未利用地应当予以保护，不得污染和破坏”。林地和</w:t>
      </w:r>
      <w:r>
        <w:rPr>
          <w:color w:val="0000FF"/>
          <w:spacing w:val="-17"/>
        </w:rPr>
        <w:t>未利用地土壤如何选用评价标准，应当依据其保护目标确定。比如，为保障食用</w:t>
      </w:r>
      <w:r>
        <w:rPr>
          <w:color w:val="0000FF"/>
          <w:spacing w:val="-10"/>
        </w:rPr>
        <w:t>林产品安全，可适用《食用林产品产地环境通用要求》</w:t>
      </w:r>
      <w:r>
        <w:rPr>
          <w:color w:val="0000FF"/>
          <w:spacing w:val="-5"/>
        </w:rPr>
        <w:t>（</w:t>
      </w:r>
      <w:r>
        <w:rPr>
          <w:rFonts w:ascii="Times New Roman" w:hAnsi="Times New Roman" w:eastAsia="Times New Roman"/>
          <w:color w:val="0000FF"/>
          <w:spacing w:val="-5"/>
        </w:rPr>
        <w:t>LY/T</w:t>
      </w:r>
      <w:r>
        <w:rPr>
          <w:rFonts w:ascii="Times New Roman" w:hAnsi="Times New Roman" w:eastAsia="Times New Roman"/>
          <w:color w:val="0000FF"/>
          <w:spacing w:val="-6"/>
        </w:rPr>
        <w:t xml:space="preserve"> </w:t>
      </w:r>
      <w:r>
        <w:rPr>
          <w:rFonts w:ascii="Times New Roman" w:hAnsi="Times New Roman" w:eastAsia="Times New Roman"/>
          <w:color w:val="0000FF"/>
        </w:rPr>
        <w:t>1678-2014</w:t>
      </w:r>
      <w:r>
        <w:rPr>
          <w:color w:val="0000FF"/>
        </w:rPr>
        <w:t>）；</w:t>
      </w:r>
      <w:r>
        <w:rPr>
          <w:color w:val="0000FF"/>
          <w:spacing w:val="-13"/>
        </w:rPr>
        <w:t>未</w:t>
      </w:r>
      <w:r>
        <w:rPr>
          <w:color w:val="0000FF"/>
        </w:rPr>
        <w:t>利用地可以按照未来拟利用方式及保护目标选择相应评价标准。</w:t>
      </w:r>
    </w:p>
    <w:p>
      <w:pPr>
        <w:pStyle w:val="7"/>
        <w:spacing w:before="4" w:line="364" w:lineRule="auto"/>
        <w:ind w:right="575" w:firstLine="480"/>
        <w:jc w:val="both"/>
        <w:rPr>
          <w:color w:val="0000FF"/>
        </w:rPr>
      </w:pPr>
      <w:r>
        <w:rPr>
          <w:color w:val="0000FF"/>
          <w:spacing w:val="-7"/>
        </w:rPr>
        <w:t>本项目为畜禽规模化养殖项目，占地属设施农用地，不适用于《土壤环境质</w:t>
      </w:r>
      <w:r>
        <w:rPr>
          <w:color w:val="0000FF"/>
          <w:spacing w:val="-3"/>
        </w:rPr>
        <w:t>量农用地土壤污染风险管控标准</w:t>
      </w:r>
      <w:r>
        <w:rPr>
          <w:color w:val="0000FF"/>
        </w:rPr>
        <w:t>（试行</w:t>
      </w:r>
      <w:r>
        <w:rPr>
          <w:color w:val="0000FF"/>
          <w:spacing w:val="-5"/>
        </w:rPr>
        <w:t>）</w:t>
      </w:r>
      <w:r>
        <w:rPr>
          <w:color w:val="0000FF"/>
          <w:spacing w:val="-8"/>
        </w:rPr>
        <w:t>》</w:t>
      </w:r>
      <w:r>
        <w:rPr>
          <w:color w:val="0000FF"/>
        </w:rPr>
        <w:t>（</w:t>
      </w:r>
      <w:r>
        <w:rPr>
          <w:rFonts w:ascii="Times New Roman" w:eastAsia="Times New Roman"/>
          <w:color w:val="0000FF"/>
        </w:rPr>
        <w:t>GB15618-2018</w:t>
      </w:r>
      <w:r>
        <w:rPr>
          <w:color w:val="0000FF"/>
        </w:rPr>
        <w:t>）</w:t>
      </w:r>
      <w:r>
        <w:rPr>
          <w:color w:val="0000FF"/>
          <w:spacing w:val="-5"/>
        </w:rPr>
        <w:t>标准，同时，根</w:t>
      </w:r>
      <w:r>
        <w:rPr>
          <w:color w:val="0000FF"/>
          <w:spacing w:val="-8"/>
        </w:rPr>
        <w:t>据建设用地分类标准，设施农用地不属于建设用地，也不适用于《土壤环境质量</w:t>
      </w:r>
      <w:r>
        <w:rPr>
          <w:color w:val="0000FF"/>
        </w:rPr>
        <w:t>建设用地土壤污染风险管控标准（试行）》（</w:t>
      </w:r>
      <w:r>
        <w:rPr>
          <w:rFonts w:ascii="Times New Roman" w:eastAsia="Times New Roman"/>
          <w:color w:val="0000FF"/>
        </w:rPr>
        <w:t>GB36600-2018</w:t>
      </w:r>
      <w:r>
        <w:rPr>
          <w:color w:val="0000FF"/>
        </w:rPr>
        <w:t>）。</w:t>
      </w:r>
    </w:p>
    <w:p>
      <w:pPr>
        <w:pStyle w:val="7"/>
        <w:spacing w:before="2" w:line="364" w:lineRule="auto"/>
        <w:ind w:right="452" w:firstLine="480"/>
        <w:jc w:val="both"/>
        <w:rPr>
          <w:color w:val="0000FF"/>
        </w:rPr>
      </w:pPr>
      <w:r>
        <w:rPr>
          <w:color w:val="0000FF"/>
          <w:spacing w:val="-16"/>
        </w:rPr>
        <w:t>因此，本项目的土壤质量执行《畜禽养殖产地环境评价规范》</w:t>
      </w:r>
      <w:r>
        <w:rPr>
          <w:color w:val="0000FF"/>
          <w:spacing w:val="-2"/>
        </w:rPr>
        <w:t>（</w:t>
      </w:r>
      <w:r>
        <w:rPr>
          <w:rFonts w:ascii="Times New Roman" w:eastAsia="Times New Roman"/>
          <w:color w:val="0000FF"/>
          <w:spacing w:val="-2"/>
        </w:rPr>
        <w:t>HJ568-2010</w:t>
      </w:r>
      <w:r>
        <w:rPr>
          <w:color w:val="0000FF"/>
          <w:spacing w:val="-2"/>
        </w:rPr>
        <w:t>）</w:t>
      </w:r>
      <w:r>
        <w:rPr>
          <w:color w:val="0000FF"/>
          <w:spacing w:val="-16"/>
        </w:rPr>
        <w:t>中的表</w:t>
      </w:r>
      <w:r>
        <w:rPr>
          <w:rFonts w:ascii="Times New Roman" w:eastAsia="Times New Roman"/>
          <w:color w:val="0000FF"/>
        </w:rPr>
        <w:t>4</w:t>
      </w:r>
      <w:r>
        <w:rPr>
          <w:color w:val="0000FF"/>
          <w:spacing w:val="-3"/>
        </w:rPr>
        <w:t>养殖场土壤环境质量评价指标限值，详见表</w:t>
      </w:r>
      <w:r>
        <w:rPr>
          <w:rFonts w:ascii="Times New Roman" w:eastAsia="Times New Roman"/>
          <w:color w:val="0000FF"/>
        </w:rPr>
        <w:t>2.4-4</w:t>
      </w:r>
      <w:r>
        <w:rPr>
          <w:color w:val="0000FF"/>
        </w:rPr>
        <w:t>。</w:t>
      </w:r>
    </w:p>
    <w:p>
      <w:pPr>
        <w:pStyle w:val="7"/>
        <w:bidi w:val="0"/>
        <w:jc w:val="center"/>
      </w:pPr>
      <w:r>
        <w:t>表</w:t>
      </w:r>
      <w:r>
        <w:rPr>
          <w:rFonts w:ascii="Times New Roman" w:eastAsia="Times New Roman"/>
        </w:rPr>
        <w:t>2.4-4</w:t>
      </w:r>
      <w:r>
        <w:rPr>
          <w:rFonts w:ascii="Times New Roman" w:eastAsia="Times New Roman"/>
        </w:rPr>
        <w:tab/>
      </w:r>
      <w:r>
        <w:t>养殖场土壤环境质量标准</w:t>
      </w:r>
    </w:p>
    <w:tbl>
      <w:tblPr>
        <w:tblStyle w:val="15"/>
        <w:tblW w:w="0" w:type="auto"/>
        <w:tblInd w:w="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4"/>
        <w:gridCol w:w="2586"/>
        <w:gridCol w:w="2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144" w:type="dxa"/>
          </w:tcPr>
          <w:p>
            <w:pPr>
              <w:pStyle w:val="19"/>
              <w:spacing w:before="34"/>
              <w:ind w:left="79" w:right="67"/>
              <w:rPr>
                <w:b/>
                <w:color w:val="0000FF"/>
                <w:sz w:val="21"/>
              </w:rPr>
            </w:pPr>
            <w:r>
              <w:rPr>
                <w:b/>
                <w:color w:val="0000FF"/>
                <w:sz w:val="21"/>
              </w:rPr>
              <w:t>标准名称</w:t>
            </w:r>
          </w:p>
        </w:tc>
        <w:tc>
          <w:tcPr>
            <w:tcW w:w="2586" w:type="dxa"/>
          </w:tcPr>
          <w:p>
            <w:pPr>
              <w:pStyle w:val="19"/>
              <w:spacing w:before="34"/>
              <w:ind w:left="853" w:right="839"/>
              <w:rPr>
                <w:b/>
                <w:color w:val="0000FF"/>
                <w:sz w:val="21"/>
              </w:rPr>
            </w:pPr>
            <w:r>
              <w:rPr>
                <w:b/>
                <w:color w:val="0000FF"/>
                <w:sz w:val="21"/>
              </w:rPr>
              <w:t>评价因子</w:t>
            </w:r>
          </w:p>
        </w:tc>
        <w:tc>
          <w:tcPr>
            <w:tcW w:w="2787" w:type="dxa"/>
          </w:tcPr>
          <w:p>
            <w:pPr>
              <w:pStyle w:val="19"/>
              <w:spacing w:before="34"/>
              <w:ind w:left="462" w:right="450"/>
              <w:rPr>
                <w:b/>
                <w:color w:val="0000FF"/>
                <w:sz w:val="21"/>
              </w:rPr>
            </w:pPr>
            <w:r>
              <w:rPr>
                <w:b/>
                <w:color w:val="0000FF"/>
                <w:sz w:val="21"/>
              </w:rPr>
              <w:t>标准限值（</w:t>
            </w:r>
            <w:r>
              <w:rPr>
                <w:rFonts w:ascii="Times New Roman" w:eastAsia="Times New Roman"/>
                <w:b/>
                <w:color w:val="0000FF"/>
                <w:sz w:val="21"/>
              </w:rPr>
              <w:t>mg/kg</w:t>
            </w:r>
            <w:r>
              <w:rPr>
                <w:b/>
                <w:color w:val="0000FF"/>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144" w:type="dxa"/>
            <w:vMerge w:val="restart"/>
          </w:tcPr>
          <w:p>
            <w:pPr>
              <w:pStyle w:val="19"/>
              <w:jc w:val="left"/>
              <w:rPr>
                <w:b/>
                <w:color w:val="0000FF"/>
                <w:sz w:val="20"/>
              </w:rPr>
            </w:pPr>
          </w:p>
          <w:p>
            <w:pPr>
              <w:pStyle w:val="19"/>
              <w:jc w:val="left"/>
              <w:rPr>
                <w:b/>
                <w:color w:val="0000FF"/>
                <w:sz w:val="20"/>
              </w:rPr>
            </w:pPr>
          </w:p>
          <w:p>
            <w:pPr>
              <w:pStyle w:val="19"/>
              <w:spacing w:before="11"/>
              <w:jc w:val="left"/>
              <w:rPr>
                <w:b/>
                <w:color w:val="0000FF"/>
                <w:sz w:val="18"/>
              </w:rPr>
            </w:pPr>
          </w:p>
          <w:p>
            <w:pPr>
              <w:pStyle w:val="19"/>
              <w:ind w:left="87" w:right="67"/>
              <w:rPr>
                <w:color w:val="0000FF"/>
                <w:sz w:val="21"/>
              </w:rPr>
            </w:pPr>
            <w:r>
              <w:rPr>
                <w:color w:val="0000FF"/>
                <w:sz w:val="21"/>
              </w:rPr>
              <w:t>《畜禽养殖产地环境评价规范》</w:t>
            </w:r>
          </w:p>
          <w:p>
            <w:pPr>
              <w:pStyle w:val="19"/>
              <w:spacing w:before="43"/>
              <w:ind w:left="75" w:right="67"/>
              <w:rPr>
                <w:color w:val="0000FF"/>
                <w:sz w:val="21"/>
              </w:rPr>
            </w:pPr>
            <w:r>
              <w:rPr>
                <w:color w:val="0000FF"/>
                <w:sz w:val="21"/>
              </w:rPr>
              <w:t>（</w:t>
            </w:r>
            <w:r>
              <w:rPr>
                <w:rFonts w:ascii="Times New Roman" w:eastAsia="Times New Roman"/>
                <w:color w:val="0000FF"/>
                <w:sz w:val="21"/>
              </w:rPr>
              <w:t>HJ568-2010</w:t>
            </w:r>
            <w:r>
              <w:rPr>
                <w:color w:val="0000FF"/>
                <w:sz w:val="21"/>
              </w:rPr>
              <w:t>）</w:t>
            </w:r>
          </w:p>
        </w:tc>
        <w:tc>
          <w:tcPr>
            <w:tcW w:w="2586" w:type="dxa"/>
          </w:tcPr>
          <w:p>
            <w:pPr>
              <w:pStyle w:val="19"/>
              <w:spacing w:before="34"/>
              <w:ind w:left="9"/>
              <w:rPr>
                <w:color w:val="0000FF"/>
                <w:sz w:val="21"/>
              </w:rPr>
            </w:pPr>
            <w:r>
              <w:rPr>
                <w:color w:val="0000FF"/>
                <w:w w:val="99"/>
                <w:sz w:val="21"/>
              </w:rPr>
              <w:t>镉</w:t>
            </w:r>
          </w:p>
        </w:tc>
        <w:tc>
          <w:tcPr>
            <w:tcW w:w="2787" w:type="dxa"/>
          </w:tcPr>
          <w:p>
            <w:pPr>
              <w:pStyle w:val="19"/>
              <w:spacing w:before="48"/>
              <w:ind w:left="458" w:right="450"/>
              <w:rPr>
                <w:rFonts w:ascii="Times New Roman"/>
                <w:color w:val="0000FF"/>
                <w:sz w:val="21"/>
              </w:rPr>
            </w:pPr>
            <w:r>
              <w:rPr>
                <w:rFonts w:ascii="Times New Roman"/>
                <w:color w:val="0000FF"/>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144" w:type="dxa"/>
            <w:vMerge w:val="continue"/>
            <w:tcBorders>
              <w:top w:val="nil"/>
            </w:tcBorders>
          </w:tcPr>
          <w:p>
            <w:pPr>
              <w:rPr>
                <w:color w:val="0000FF"/>
                <w:sz w:val="2"/>
                <w:szCs w:val="2"/>
              </w:rPr>
            </w:pPr>
          </w:p>
        </w:tc>
        <w:tc>
          <w:tcPr>
            <w:tcW w:w="2586" w:type="dxa"/>
          </w:tcPr>
          <w:p>
            <w:pPr>
              <w:pStyle w:val="19"/>
              <w:spacing w:before="34"/>
              <w:ind w:left="9"/>
              <w:rPr>
                <w:color w:val="0000FF"/>
                <w:sz w:val="21"/>
              </w:rPr>
            </w:pPr>
            <w:r>
              <w:rPr>
                <w:color w:val="0000FF"/>
                <w:w w:val="99"/>
                <w:sz w:val="21"/>
              </w:rPr>
              <w:t>汞</w:t>
            </w:r>
          </w:p>
        </w:tc>
        <w:tc>
          <w:tcPr>
            <w:tcW w:w="2787" w:type="dxa"/>
          </w:tcPr>
          <w:p>
            <w:pPr>
              <w:pStyle w:val="19"/>
              <w:spacing w:before="48"/>
              <w:ind w:left="458" w:right="450"/>
              <w:rPr>
                <w:rFonts w:ascii="Times New Roman"/>
                <w:color w:val="0000FF"/>
                <w:sz w:val="21"/>
              </w:rPr>
            </w:pPr>
            <w:r>
              <w:rPr>
                <w:rFonts w:ascii="Times New Roman"/>
                <w:color w:val="0000FF"/>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144" w:type="dxa"/>
            <w:vMerge w:val="continue"/>
            <w:tcBorders>
              <w:top w:val="nil"/>
            </w:tcBorders>
          </w:tcPr>
          <w:p>
            <w:pPr>
              <w:rPr>
                <w:color w:val="0000FF"/>
                <w:sz w:val="2"/>
                <w:szCs w:val="2"/>
              </w:rPr>
            </w:pPr>
          </w:p>
        </w:tc>
        <w:tc>
          <w:tcPr>
            <w:tcW w:w="2586" w:type="dxa"/>
          </w:tcPr>
          <w:p>
            <w:pPr>
              <w:pStyle w:val="19"/>
              <w:spacing w:before="35"/>
              <w:ind w:left="9"/>
              <w:rPr>
                <w:color w:val="0000FF"/>
                <w:sz w:val="21"/>
              </w:rPr>
            </w:pPr>
            <w:r>
              <w:rPr>
                <w:color w:val="0000FF"/>
                <w:w w:val="99"/>
                <w:sz w:val="21"/>
              </w:rPr>
              <w:t>砷</w:t>
            </w:r>
          </w:p>
        </w:tc>
        <w:tc>
          <w:tcPr>
            <w:tcW w:w="2787" w:type="dxa"/>
          </w:tcPr>
          <w:p>
            <w:pPr>
              <w:pStyle w:val="19"/>
              <w:spacing w:before="49"/>
              <w:ind w:left="458" w:right="450"/>
              <w:rPr>
                <w:rFonts w:ascii="Times New Roman"/>
                <w:color w:val="0000FF"/>
                <w:sz w:val="21"/>
              </w:rPr>
            </w:pPr>
            <w:r>
              <w:rPr>
                <w:rFonts w:ascii="Times New Roman"/>
                <w:color w:val="0000FF"/>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144" w:type="dxa"/>
            <w:vMerge w:val="continue"/>
            <w:tcBorders>
              <w:top w:val="nil"/>
            </w:tcBorders>
          </w:tcPr>
          <w:p>
            <w:pPr>
              <w:rPr>
                <w:color w:val="0000FF"/>
                <w:sz w:val="2"/>
                <w:szCs w:val="2"/>
              </w:rPr>
            </w:pPr>
          </w:p>
        </w:tc>
        <w:tc>
          <w:tcPr>
            <w:tcW w:w="2586" w:type="dxa"/>
          </w:tcPr>
          <w:p>
            <w:pPr>
              <w:pStyle w:val="19"/>
              <w:spacing w:before="35"/>
              <w:ind w:left="9"/>
              <w:rPr>
                <w:color w:val="0000FF"/>
                <w:sz w:val="21"/>
              </w:rPr>
            </w:pPr>
            <w:r>
              <w:rPr>
                <w:color w:val="0000FF"/>
                <w:w w:val="99"/>
                <w:sz w:val="21"/>
              </w:rPr>
              <w:t>铅</w:t>
            </w:r>
          </w:p>
        </w:tc>
        <w:tc>
          <w:tcPr>
            <w:tcW w:w="2787" w:type="dxa"/>
          </w:tcPr>
          <w:p>
            <w:pPr>
              <w:pStyle w:val="19"/>
              <w:spacing w:before="49"/>
              <w:ind w:left="458" w:right="450"/>
              <w:rPr>
                <w:rFonts w:ascii="Times New Roman"/>
                <w:color w:val="0000FF"/>
                <w:sz w:val="21"/>
              </w:rPr>
            </w:pPr>
            <w:r>
              <w:rPr>
                <w:rFonts w:ascii="Times New Roman"/>
                <w:color w:val="0000FF"/>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144" w:type="dxa"/>
            <w:vMerge w:val="continue"/>
            <w:tcBorders>
              <w:top w:val="nil"/>
            </w:tcBorders>
          </w:tcPr>
          <w:p>
            <w:pPr>
              <w:rPr>
                <w:color w:val="0000FF"/>
                <w:sz w:val="2"/>
                <w:szCs w:val="2"/>
              </w:rPr>
            </w:pPr>
          </w:p>
        </w:tc>
        <w:tc>
          <w:tcPr>
            <w:tcW w:w="2586" w:type="dxa"/>
          </w:tcPr>
          <w:p>
            <w:pPr>
              <w:pStyle w:val="19"/>
              <w:spacing w:before="36"/>
              <w:ind w:left="9"/>
              <w:rPr>
                <w:color w:val="0000FF"/>
                <w:sz w:val="21"/>
              </w:rPr>
            </w:pPr>
            <w:r>
              <w:rPr>
                <w:color w:val="0000FF"/>
                <w:w w:val="99"/>
                <w:sz w:val="21"/>
              </w:rPr>
              <w:t>铬</w:t>
            </w:r>
          </w:p>
        </w:tc>
        <w:tc>
          <w:tcPr>
            <w:tcW w:w="2787" w:type="dxa"/>
          </w:tcPr>
          <w:p>
            <w:pPr>
              <w:pStyle w:val="19"/>
              <w:spacing w:before="50"/>
              <w:ind w:left="458" w:right="450"/>
              <w:rPr>
                <w:rFonts w:ascii="Times New Roman"/>
                <w:color w:val="0000FF"/>
                <w:sz w:val="21"/>
              </w:rPr>
            </w:pPr>
            <w:r>
              <w:rPr>
                <w:rFonts w:ascii="Times New Roman"/>
                <w:color w:val="0000FF"/>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144" w:type="dxa"/>
            <w:vMerge w:val="continue"/>
            <w:tcBorders>
              <w:top w:val="nil"/>
            </w:tcBorders>
          </w:tcPr>
          <w:p>
            <w:pPr>
              <w:rPr>
                <w:color w:val="0000FF"/>
                <w:sz w:val="2"/>
                <w:szCs w:val="2"/>
              </w:rPr>
            </w:pPr>
          </w:p>
        </w:tc>
        <w:tc>
          <w:tcPr>
            <w:tcW w:w="2586" w:type="dxa"/>
          </w:tcPr>
          <w:p>
            <w:pPr>
              <w:pStyle w:val="19"/>
              <w:spacing w:before="34"/>
              <w:ind w:left="9"/>
              <w:rPr>
                <w:color w:val="0000FF"/>
                <w:sz w:val="21"/>
              </w:rPr>
            </w:pPr>
            <w:r>
              <w:rPr>
                <w:color w:val="0000FF"/>
                <w:w w:val="99"/>
                <w:sz w:val="21"/>
              </w:rPr>
              <w:t>铜</w:t>
            </w:r>
          </w:p>
        </w:tc>
        <w:tc>
          <w:tcPr>
            <w:tcW w:w="2787" w:type="dxa"/>
          </w:tcPr>
          <w:p>
            <w:pPr>
              <w:pStyle w:val="19"/>
              <w:spacing w:before="48"/>
              <w:ind w:left="458" w:right="450"/>
              <w:rPr>
                <w:rFonts w:ascii="Times New Roman"/>
                <w:color w:val="0000FF"/>
                <w:sz w:val="21"/>
              </w:rPr>
            </w:pPr>
            <w:r>
              <w:rPr>
                <w:rFonts w:ascii="Times New Roman"/>
                <w:color w:val="0000FF"/>
                <w:sz w:val="21"/>
              </w:rPr>
              <w:t>400</w:t>
            </w:r>
          </w:p>
        </w:tc>
      </w:tr>
    </w:tbl>
    <w:p>
      <w:pPr>
        <w:pStyle w:val="7"/>
        <w:spacing w:before="6"/>
        <w:ind w:left="0"/>
        <w:rPr>
          <w:b/>
          <w:sz w:val="4"/>
        </w:rPr>
      </w:pPr>
    </w:p>
    <w:p>
      <w:pPr>
        <w:pStyle w:val="7"/>
        <w:ind w:left="424"/>
        <w:rPr>
          <w:sz w:val="20"/>
        </w:rPr>
      </w:pPr>
      <w:r>
        <w:rPr>
          <w:sz w:val="20"/>
        </w:rPr>
        <w:pict>
          <v:group id="_x0000_s1042" o:spid="_x0000_s1042" o:spt="203" style="height:35.5pt;width:426.35pt;" coordsize="8527,710">
            <o:lock v:ext="edit"/>
            <v:line id="_x0000_s1043" o:spid="_x0000_s1043" o:spt="20" style="position:absolute;left:0;top:5;height:0;width:8527;" stroked="t" coordsize="21600,21600">
              <v:path arrowok="t"/>
              <v:fill focussize="0,0"/>
              <v:stroke weight="0.48pt" color="#000000"/>
              <v:imagedata o:title=""/>
              <o:lock v:ext="edit"/>
            </v:line>
            <v:line id="_x0000_s1044" o:spid="_x0000_s1044" o:spt="20" style="position:absolute;left:0;top:705;height:0;width:8527;" stroked="t" coordsize="21600,21600">
              <v:path arrowok="t"/>
              <v:fill focussize="0,0"/>
              <v:stroke weight="0.48pt" color="#000000"/>
              <v:imagedata o:title=""/>
              <o:lock v:ext="edit"/>
            </v:line>
            <v:line id="_x0000_s1045" o:spid="_x0000_s1045" o:spt="20" style="position:absolute;left:5;top:0;height:710;width:0;" stroked="t" coordsize="21600,21600">
              <v:path arrowok="t"/>
              <v:fill focussize="0,0"/>
              <v:stroke weight="0.48pt" color="#000000"/>
              <v:imagedata o:title=""/>
              <o:lock v:ext="edit"/>
            </v:line>
            <v:line id="_x0000_s1046" o:spid="_x0000_s1046" o:spt="20" style="position:absolute;left:3144;top:355;height:0;width:5383;" stroked="t" coordsize="21600,21600">
              <v:path arrowok="t"/>
              <v:fill focussize="0,0"/>
              <v:stroke weight="0.48pt" color="#000000"/>
              <v:imagedata o:title=""/>
              <o:lock v:ext="edit"/>
            </v:line>
            <v:line id="_x0000_s1047" o:spid="_x0000_s1047" o:spt="20" style="position:absolute;left:3149;top:0;height:700;width:0;" stroked="t" coordsize="21600,21600">
              <v:path arrowok="t"/>
              <v:fill focussize="0,0"/>
              <v:stroke weight="0.48pt" color="#000000"/>
              <v:imagedata o:title=""/>
              <o:lock v:ext="edit"/>
            </v:line>
            <v:line id="_x0000_s1048" o:spid="_x0000_s1048" o:spt="20" style="position:absolute;left:5735;top:0;height:700;width:0;" stroked="t" coordsize="21600,21600">
              <v:path arrowok="t"/>
              <v:fill focussize="0,0"/>
              <v:stroke weight="0.48pt" color="#000000"/>
              <v:imagedata o:title=""/>
              <o:lock v:ext="edit"/>
            </v:line>
            <v:line id="_x0000_s1049" o:spid="_x0000_s1049" o:spt="20" style="position:absolute;left:8522;top:10;height:700;width:0;" stroked="t" coordsize="21600,21600">
              <v:path arrowok="t"/>
              <v:fill focussize="0,0"/>
              <v:stroke weight="0.48pt" color="#000000"/>
              <v:imagedata o:title=""/>
              <o:lock v:ext="edit"/>
            </v:line>
            <v:shape id="_x0000_s1050" o:spid="_x0000_s1050" o:spt="202" type="#_x0000_t202" style="position:absolute;left:5734;top:354;height:350;width:2787;" filled="f" stroked="t" coordsize="21600,21600">
              <v:path/>
              <v:fill on="f" focussize="0,0"/>
              <v:stroke weight="0.48pt" color="#000000"/>
              <v:imagedata o:title=""/>
              <o:lock v:ext="edit"/>
              <v:textbox inset="0mm,0mm,0mm,0mm">
                <w:txbxContent>
                  <w:p>
                    <w:pPr>
                      <w:spacing w:before="50"/>
                      <w:ind w:left="1211" w:right="1211" w:firstLine="0"/>
                      <w:jc w:val="center"/>
                      <w:rPr>
                        <w:rFonts w:ascii="Times New Roman"/>
                        <w:sz w:val="21"/>
                      </w:rPr>
                    </w:pPr>
                    <w:r>
                      <w:rPr>
                        <w:rFonts w:ascii="Times New Roman"/>
                        <w:sz w:val="21"/>
                      </w:rPr>
                      <w:t>500</w:t>
                    </w:r>
                  </w:p>
                </w:txbxContent>
              </v:textbox>
            </v:shape>
            <v:shape id="_x0000_s1051" o:spid="_x0000_s1051" o:spt="202" type="#_x0000_t202" style="position:absolute;left:3148;top:354;height:350;width:2586;" filled="f" stroked="t" coordsize="21600,21600">
              <v:path/>
              <v:fill on="f" focussize="0,0"/>
              <v:stroke weight="0.48pt" color="#000000"/>
              <v:imagedata o:title=""/>
              <o:lock v:ext="edit"/>
              <v:textbox inset="0mm,0mm,0mm,0mm">
                <w:txbxContent>
                  <w:p>
                    <w:pPr>
                      <w:spacing w:before="36"/>
                      <w:ind w:left="0" w:right="0" w:firstLine="0"/>
                      <w:jc w:val="center"/>
                      <w:rPr>
                        <w:sz w:val="21"/>
                      </w:rPr>
                    </w:pPr>
                    <w:r>
                      <w:rPr>
                        <w:w w:val="99"/>
                        <w:sz w:val="21"/>
                      </w:rPr>
                      <w:t>锌</w:t>
                    </w:r>
                  </w:p>
                </w:txbxContent>
              </v:textbox>
            </v:shape>
            <v:shape id="_x0000_s1052" o:spid="_x0000_s1052" o:spt="202" type="#_x0000_t202" style="position:absolute;left:5734;top:4;height:350;width:2787;" filled="f" stroked="t" coordsize="21600,21600">
              <v:path/>
              <v:fill on="f" focussize="0,0"/>
              <v:stroke weight="0.48pt" color="#000000"/>
              <v:imagedata o:title=""/>
              <o:lock v:ext="edit"/>
              <v:textbox inset="0mm,0mm,0mm,0mm">
                <w:txbxContent>
                  <w:p>
                    <w:pPr>
                      <w:spacing w:before="49"/>
                      <w:ind w:left="1211" w:right="1211" w:firstLine="0"/>
                      <w:jc w:val="center"/>
                      <w:rPr>
                        <w:rFonts w:ascii="Times New Roman"/>
                        <w:sz w:val="21"/>
                      </w:rPr>
                    </w:pPr>
                    <w:r>
                      <w:rPr>
                        <w:rFonts w:ascii="Times New Roman"/>
                        <w:sz w:val="21"/>
                      </w:rPr>
                      <w:t>200</w:t>
                    </w:r>
                  </w:p>
                </w:txbxContent>
              </v:textbox>
            </v:shape>
            <v:shape id="_x0000_s1053" o:spid="_x0000_s1053" o:spt="202" type="#_x0000_t202" style="position:absolute;left:3148;top:4;height:350;width:2586;" filled="f" stroked="t" coordsize="21600,21600">
              <v:path/>
              <v:fill on="f" focussize="0,0"/>
              <v:stroke weight="0.48pt" color="#000000"/>
              <v:imagedata o:title=""/>
              <o:lock v:ext="edit"/>
              <v:textbox inset="0mm,0mm,0mm,0mm">
                <w:txbxContent>
                  <w:p>
                    <w:pPr>
                      <w:spacing w:before="35"/>
                      <w:ind w:left="0" w:right="0" w:firstLine="0"/>
                      <w:jc w:val="center"/>
                      <w:rPr>
                        <w:sz w:val="21"/>
                      </w:rPr>
                    </w:pPr>
                    <w:r>
                      <w:rPr>
                        <w:w w:val="99"/>
                        <w:sz w:val="21"/>
                      </w:rPr>
                      <w:t>镍</w:t>
                    </w:r>
                  </w:p>
                </w:txbxContent>
              </v:textbox>
            </v:shape>
            <w10:wrap type="none"/>
            <w10:anchorlock/>
          </v:group>
        </w:pict>
      </w:r>
    </w:p>
    <w:p>
      <w:pPr>
        <w:pStyle w:val="7"/>
        <w:spacing w:before="12"/>
        <w:ind w:left="0"/>
        <w:rPr>
          <w:b/>
          <w:sz w:val="10"/>
        </w:rPr>
      </w:pPr>
    </w:p>
    <w:p>
      <w:pPr>
        <w:pStyle w:val="18"/>
        <w:numPr>
          <w:ilvl w:val="3"/>
          <w:numId w:val="12"/>
        </w:numPr>
        <w:tabs>
          <w:tab w:val="left" w:pos="1320"/>
        </w:tabs>
        <w:spacing w:before="74" w:after="0" w:line="240" w:lineRule="auto"/>
        <w:ind w:left="1320" w:right="0" w:hanging="780"/>
        <w:jc w:val="left"/>
        <w:rPr>
          <w:sz w:val="24"/>
        </w:rPr>
      </w:pPr>
      <w:bookmarkStart w:id="71" w:name="2.4.2.2 污染物排放标准"/>
      <w:bookmarkEnd w:id="71"/>
      <w:bookmarkStart w:id="72" w:name="2.4.2.2 污染物排放标准"/>
      <w:bookmarkEnd w:id="72"/>
      <w:r>
        <w:rPr>
          <w:sz w:val="24"/>
        </w:rPr>
        <w:t>污染物排放标准</w:t>
      </w:r>
    </w:p>
    <w:p>
      <w:pPr>
        <w:pStyle w:val="18"/>
        <w:numPr>
          <w:ilvl w:val="0"/>
          <w:numId w:val="13"/>
        </w:numPr>
        <w:tabs>
          <w:tab w:val="left" w:pos="1621"/>
        </w:tabs>
        <w:spacing w:before="167" w:after="0" w:line="240" w:lineRule="auto"/>
        <w:ind w:left="1621" w:right="0" w:hanging="601"/>
        <w:jc w:val="left"/>
        <w:rPr>
          <w:color w:val="0000FF"/>
          <w:sz w:val="24"/>
        </w:rPr>
      </w:pPr>
      <w:r>
        <w:rPr>
          <w:color w:val="0000FF"/>
          <w:sz w:val="24"/>
        </w:rPr>
        <w:t>大气污染物排放标准</w:t>
      </w:r>
    </w:p>
    <w:p>
      <w:pPr>
        <w:pStyle w:val="7"/>
        <w:spacing w:before="161"/>
        <w:ind w:left="1020"/>
        <w:rPr>
          <w:color w:val="0000FF"/>
        </w:rPr>
      </w:pPr>
      <w:r>
        <w:rPr>
          <w:color w:val="0000FF"/>
        </w:rPr>
        <w:t>①施工期</w:t>
      </w:r>
    </w:p>
    <w:p>
      <w:pPr>
        <w:pStyle w:val="7"/>
        <w:spacing w:before="160"/>
        <w:ind w:left="1020"/>
        <w:rPr>
          <w:color w:val="0000FF"/>
        </w:rPr>
      </w:pPr>
      <w:r>
        <w:rPr>
          <w:color w:val="0000FF"/>
        </w:rPr>
        <w:t>施工期大气污染物主要为扬尘，执行《大气污染物综合排放标准》</w:t>
      </w:r>
    </w:p>
    <w:p>
      <w:pPr>
        <w:pStyle w:val="7"/>
        <w:spacing w:before="161"/>
        <w:rPr>
          <w:color w:val="0000FF"/>
        </w:rPr>
      </w:pPr>
      <w:r>
        <w:rPr>
          <w:color w:val="0000FF"/>
        </w:rPr>
        <w:t>（</w:t>
      </w:r>
      <w:r>
        <w:rPr>
          <w:rFonts w:ascii="Times New Roman" w:eastAsia="Times New Roman"/>
          <w:color w:val="0000FF"/>
        </w:rPr>
        <w:t>GB16297-1996</w:t>
      </w:r>
      <w:r>
        <w:rPr>
          <w:color w:val="0000FF"/>
        </w:rPr>
        <w:t>）表</w:t>
      </w:r>
      <w:r>
        <w:rPr>
          <w:rFonts w:ascii="Times New Roman" w:eastAsia="Times New Roman"/>
          <w:color w:val="0000FF"/>
        </w:rPr>
        <w:t>2</w:t>
      </w:r>
      <w:r>
        <w:rPr>
          <w:color w:val="0000FF"/>
        </w:rPr>
        <w:t>无组织排放浓度限值，见表</w:t>
      </w:r>
      <w:r>
        <w:rPr>
          <w:rFonts w:ascii="Times New Roman" w:eastAsia="Times New Roman"/>
          <w:color w:val="0000FF"/>
        </w:rPr>
        <w:t>2.4-5</w:t>
      </w:r>
      <w:r>
        <w:rPr>
          <w:color w:val="0000FF"/>
        </w:rPr>
        <w:t>。</w:t>
      </w:r>
    </w:p>
    <w:p>
      <w:pPr>
        <w:pStyle w:val="7"/>
        <w:spacing w:before="9"/>
        <w:ind w:left="0"/>
        <w:rPr>
          <w:color w:val="0000FF"/>
          <w:sz w:val="18"/>
        </w:rPr>
      </w:pPr>
    </w:p>
    <w:p>
      <w:pPr>
        <w:pStyle w:val="7"/>
        <w:bidi w:val="0"/>
        <w:jc w:val="center"/>
        <w:rPr>
          <w:color w:val="0000FF"/>
        </w:rPr>
      </w:pPr>
      <w:r>
        <w:rPr>
          <w:color w:val="0000FF"/>
        </w:rPr>
        <w:t>表</w:t>
      </w:r>
      <w:r>
        <w:rPr>
          <w:rFonts w:ascii="Times New Roman" w:eastAsia="Times New Roman"/>
          <w:color w:val="0000FF"/>
        </w:rPr>
        <w:t>2.4-5</w:t>
      </w:r>
      <w:r>
        <w:rPr>
          <w:rFonts w:ascii="Times New Roman" w:eastAsia="Times New Roman"/>
          <w:color w:val="0000FF"/>
        </w:rPr>
        <w:tab/>
      </w:r>
      <w:r>
        <w:rPr>
          <w:color w:val="0000FF"/>
        </w:rPr>
        <w:t>大气污染物综合排放标准</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8"/>
        <w:gridCol w:w="2590"/>
        <w:gridCol w:w="2175"/>
        <w:gridCol w:w="2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8" w:type="dxa"/>
          </w:tcPr>
          <w:p>
            <w:pPr>
              <w:pStyle w:val="19"/>
              <w:spacing w:before="29"/>
              <w:ind w:left="233"/>
              <w:jc w:val="left"/>
              <w:rPr>
                <w:b/>
                <w:color w:val="0000FF"/>
                <w:sz w:val="21"/>
              </w:rPr>
            </w:pPr>
            <w:r>
              <w:rPr>
                <w:b/>
                <w:color w:val="0000FF"/>
                <w:sz w:val="21"/>
              </w:rPr>
              <w:t>控制项目</w:t>
            </w:r>
          </w:p>
        </w:tc>
        <w:tc>
          <w:tcPr>
            <w:tcW w:w="4765" w:type="dxa"/>
            <w:gridSpan w:val="2"/>
          </w:tcPr>
          <w:p>
            <w:pPr>
              <w:pStyle w:val="19"/>
              <w:spacing w:before="29"/>
              <w:ind w:left="2046" w:right="2035"/>
              <w:rPr>
                <w:b/>
                <w:color w:val="0000FF"/>
                <w:sz w:val="21"/>
              </w:rPr>
            </w:pPr>
            <w:r>
              <w:rPr>
                <w:b/>
                <w:color w:val="0000FF"/>
                <w:sz w:val="21"/>
              </w:rPr>
              <w:t>标准值</w:t>
            </w:r>
          </w:p>
        </w:tc>
        <w:tc>
          <w:tcPr>
            <w:tcW w:w="2446" w:type="dxa"/>
          </w:tcPr>
          <w:p>
            <w:pPr>
              <w:pStyle w:val="19"/>
              <w:spacing w:before="29"/>
              <w:ind w:left="801"/>
              <w:jc w:val="left"/>
              <w:rPr>
                <w:b/>
                <w:color w:val="0000FF"/>
                <w:sz w:val="21"/>
              </w:rPr>
            </w:pPr>
            <w:r>
              <w:rPr>
                <w:b/>
                <w:color w:val="0000FF"/>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8" w:type="dxa"/>
            <w:vMerge w:val="restart"/>
          </w:tcPr>
          <w:p>
            <w:pPr>
              <w:pStyle w:val="19"/>
              <w:spacing w:before="99" w:line="213" w:lineRule="auto"/>
              <w:ind w:left="128" w:right="118" w:firstLine="211"/>
              <w:jc w:val="left"/>
              <w:rPr>
                <w:color w:val="0000FF"/>
                <w:sz w:val="21"/>
              </w:rPr>
            </w:pPr>
            <w:r>
              <w:rPr>
                <w:color w:val="0000FF"/>
                <w:sz w:val="21"/>
              </w:rPr>
              <w:t>颗粒物</w:t>
            </w:r>
            <w:r>
              <w:rPr>
                <w:color w:val="0000FF"/>
                <w:spacing w:val="-3"/>
                <w:sz w:val="21"/>
              </w:rPr>
              <w:t>无组织排放</w:t>
            </w:r>
          </w:p>
        </w:tc>
        <w:tc>
          <w:tcPr>
            <w:tcW w:w="2590" w:type="dxa"/>
          </w:tcPr>
          <w:p>
            <w:pPr>
              <w:pStyle w:val="19"/>
              <w:spacing w:before="28"/>
              <w:ind w:left="117" w:right="110"/>
              <w:rPr>
                <w:color w:val="0000FF"/>
                <w:sz w:val="21"/>
              </w:rPr>
            </w:pPr>
            <w:r>
              <w:rPr>
                <w:color w:val="0000FF"/>
                <w:sz w:val="21"/>
              </w:rPr>
              <w:t>最高允许排放浓度</w:t>
            </w:r>
          </w:p>
        </w:tc>
        <w:tc>
          <w:tcPr>
            <w:tcW w:w="2175" w:type="dxa"/>
          </w:tcPr>
          <w:p>
            <w:pPr>
              <w:pStyle w:val="19"/>
              <w:spacing w:before="42"/>
              <w:ind w:left="631" w:right="622"/>
              <w:rPr>
                <w:rFonts w:ascii="Times New Roman"/>
                <w:color w:val="0000FF"/>
                <w:sz w:val="13"/>
              </w:rPr>
            </w:pPr>
            <w:r>
              <w:rPr>
                <w:rFonts w:ascii="Times New Roman"/>
                <w:color w:val="0000FF"/>
                <w:sz w:val="21"/>
              </w:rPr>
              <w:t>120mg/m</w:t>
            </w:r>
            <w:r>
              <w:rPr>
                <w:rFonts w:ascii="Times New Roman"/>
                <w:color w:val="0000FF"/>
                <w:position w:val="7"/>
                <w:sz w:val="13"/>
              </w:rPr>
              <w:t>3</w:t>
            </w:r>
          </w:p>
        </w:tc>
        <w:tc>
          <w:tcPr>
            <w:tcW w:w="2446" w:type="dxa"/>
            <w:vMerge w:val="restart"/>
          </w:tcPr>
          <w:p>
            <w:pPr>
              <w:pStyle w:val="19"/>
              <w:spacing w:before="99" w:line="213" w:lineRule="auto"/>
              <w:ind w:left="108" w:right="-15" w:firstLine="64"/>
              <w:jc w:val="left"/>
              <w:rPr>
                <w:color w:val="0000FF"/>
                <w:sz w:val="21"/>
              </w:rPr>
            </w:pPr>
            <w:r>
              <w:rPr>
                <w:color w:val="0000FF"/>
                <w:sz w:val="21"/>
              </w:rPr>
              <w:t>《大气污染物综合排放</w:t>
            </w:r>
            <w:r>
              <w:rPr>
                <w:color w:val="0000FF"/>
                <w:spacing w:val="-7"/>
                <w:sz w:val="21"/>
              </w:rPr>
              <w:t>标准》</w:t>
            </w:r>
            <w:r>
              <w:rPr>
                <w:color w:val="0000FF"/>
                <w:sz w:val="21"/>
              </w:rPr>
              <w:t>（</w:t>
            </w:r>
            <w:r>
              <w:rPr>
                <w:rFonts w:ascii="Times New Roman" w:eastAsia="Times New Roman"/>
                <w:color w:val="0000FF"/>
                <w:sz w:val="21"/>
              </w:rPr>
              <w:t>GB16297-1996</w:t>
            </w:r>
            <w:r>
              <w:rPr>
                <w:color w:val="0000FF"/>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8" w:type="dxa"/>
            <w:vMerge w:val="continue"/>
            <w:tcBorders>
              <w:top w:val="nil"/>
            </w:tcBorders>
          </w:tcPr>
          <w:p>
            <w:pPr>
              <w:rPr>
                <w:color w:val="0000FF"/>
                <w:sz w:val="2"/>
                <w:szCs w:val="2"/>
              </w:rPr>
            </w:pPr>
          </w:p>
        </w:tc>
        <w:tc>
          <w:tcPr>
            <w:tcW w:w="2590" w:type="dxa"/>
          </w:tcPr>
          <w:p>
            <w:pPr>
              <w:pStyle w:val="19"/>
              <w:spacing w:before="29"/>
              <w:ind w:left="119" w:right="110"/>
              <w:rPr>
                <w:color w:val="0000FF"/>
                <w:sz w:val="21"/>
              </w:rPr>
            </w:pPr>
            <w:r>
              <w:rPr>
                <w:color w:val="0000FF"/>
                <w:sz w:val="21"/>
              </w:rPr>
              <w:t>无组织排放监控浓度限值</w:t>
            </w:r>
          </w:p>
        </w:tc>
        <w:tc>
          <w:tcPr>
            <w:tcW w:w="2175" w:type="dxa"/>
          </w:tcPr>
          <w:p>
            <w:pPr>
              <w:pStyle w:val="19"/>
              <w:spacing w:before="42"/>
              <w:ind w:left="631" w:right="622"/>
              <w:rPr>
                <w:rFonts w:ascii="Times New Roman"/>
                <w:color w:val="0000FF"/>
                <w:sz w:val="13"/>
              </w:rPr>
            </w:pPr>
            <w:r>
              <w:rPr>
                <w:rFonts w:ascii="Times New Roman"/>
                <w:color w:val="0000FF"/>
                <w:sz w:val="21"/>
              </w:rPr>
              <w:t>1.0mg/m</w:t>
            </w:r>
            <w:r>
              <w:rPr>
                <w:rFonts w:ascii="Times New Roman"/>
                <w:color w:val="0000FF"/>
                <w:position w:val="7"/>
                <w:sz w:val="13"/>
              </w:rPr>
              <w:t>3</w:t>
            </w:r>
          </w:p>
        </w:tc>
        <w:tc>
          <w:tcPr>
            <w:tcW w:w="2446" w:type="dxa"/>
            <w:vMerge w:val="continue"/>
            <w:tcBorders>
              <w:top w:val="nil"/>
            </w:tcBorders>
          </w:tcPr>
          <w:p>
            <w:pPr>
              <w:rPr>
                <w:color w:val="0000FF"/>
                <w:sz w:val="2"/>
                <w:szCs w:val="2"/>
              </w:rPr>
            </w:pPr>
          </w:p>
        </w:tc>
      </w:tr>
    </w:tbl>
    <w:p>
      <w:pPr>
        <w:pStyle w:val="7"/>
        <w:spacing w:before="6"/>
        <w:ind w:left="0"/>
        <w:rPr>
          <w:b/>
          <w:color w:val="0000FF"/>
          <w:sz w:val="18"/>
        </w:rPr>
      </w:pPr>
    </w:p>
    <w:p>
      <w:pPr>
        <w:pStyle w:val="7"/>
        <w:ind w:left="1020"/>
        <w:rPr>
          <w:color w:val="0000FF"/>
        </w:rPr>
      </w:pPr>
      <w:r>
        <w:rPr>
          <w:color w:val="0000FF"/>
        </w:rPr>
        <w:t>②运营期</w:t>
      </w:r>
    </w:p>
    <w:p>
      <w:pPr>
        <w:pStyle w:val="7"/>
        <w:spacing w:before="161" w:line="362" w:lineRule="auto"/>
        <w:ind w:right="569" w:firstLine="480"/>
        <w:rPr>
          <w:rFonts w:ascii="Times New Roman" w:eastAsia="Times New Roman"/>
          <w:color w:val="0000FF"/>
        </w:rPr>
      </w:pPr>
      <w:r>
        <w:rPr>
          <w:color w:val="0000FF"/>
          <w:spacing w:val="-5"/>
        </w:rPr>
        <w:t>本项目运营期产生的无组织恶臭污染物排放执行《畜禽养殖业污染物排放标</w:t>
      </w:r>
      <w:r>
        <w:rPr>
          <w:color w:val="0000FF"/>
          <w:spacing w:val="-50"/>
          <w:position w:val="2"/>
        </w:rPr>
        <w:t>准》</w:t>
      </w:r>
      <w:r>
        <w:rPr>
          <w:color w:val="0000FF"/>
          <w:spacing w:val="-4"/>
          <w:position w:val="2"/>
        </w:rPr>
        <w:t>（</w:t>
      </w:r>
      <w:r>
        <w:rPr>
          <w:rFonts w:ascii="Times New Roman" w:eastAsia="Times New Roman"/>
          <w:color w:val="0000FF"/>
          <w:spacing w:val="-4"/>
          <w:position w:val="2"/>
        </w:rPr>
        <w:t>GB18596-2001</w:t>
      </w:r>
      <w:r>
        <w:rPr>
          <w:color w:val="0000FF"/>
          <w:spacing w:val="-4"/>
          <w:position w:val="2"/>
        </w:rPr>
        <w:t>）</w:t>
      </w:r>
      <w:r>
        <w:rPr>
          <w:color w:val="0000FF"/>
          <w:spacing w:val="-17"/>
          <w:position w:val="2"/>
        </w:rPr>
        <w:t>中表</w:t>
      </w:r>
      <w:r>
        <w:rPr>
          <w:rFonts w:ascii="Times New Roman" w:eastAsia="Times New Roman"/>
          <w:color w:val="0000FF"/>
          <w:position w:val="2"/>
        </w:rPr>
        <w:t>7</w:t>
      </w:r>
      <w:r>
        <w:rPr>
          <w:color w:val="0000FF"/>
          <w:spacing w:val="-1"/>
          <w:position w:val="2"/>
        </w:rPr>
        <w:t>集约化畜禽养殖业恶臭污染物排放标准；</w:t>
      </w:r>
      <w:r>
        <w:rPr>
          <w:rFonts w:ascii="Times New Roman" w:eastAsia="Times New Roman"/>
          <w:color w:val="0000FF"/>
          <w:spacing w:val="-13"/>
          <w:position w:val="2"/>
        </w:rPr>
        <w:t>H</w:t>
      </w:r>
      <w:r>
        <w:rPr>
          <w:rFonts w:ascii="Times New Roman" w:eastAsia="Times New Roman"/>
          <w:color w:val="0000FF"/>
          <w:spacing w:val="-13"/>
          <w:position w:val="2"/>
          <w:vertAlign w:val="subscript"/>
        </w:rPr>
        <w:t>2</w:t>
      </w:r>
      <w:r>
        <w:rPr>
          <w:rFonts w:ascii="Times New Roman" w:eastAsia="Times New Roman"/>
          <w:color w:val="0000FF"/>
          <w:spacing w:val="-13"/>
          <w:position w:val="2"/>
          <w:vertAlign w:val="baseline"/>
        </w:rPr>
        <w:t>S</w:t>
      </w:r>
      <w:r>
        <w:rPr>
          <w:color w:val="0000FF"/>
          <w:spacing w:val="-48"/>
          <w:position w:val="2"/>
          <w:vertAlign w:val="baseline"/>
        </w:rPr>
        <w:t>、</w:t>
      </w:r>
      <w:r>
        <w:rPr>
          <w:rFonts w:ascii="Times New Roman" w:eastAsia="Times New Roman"/>
          <w:color w:val="0000FF"/>
          <w:spacing w:val="-6"/>
          <w:position w:val="2"/>
          <w:vertAlign w:val="baseline"/>
        </w:rPr>
        <w:t>NH</w:t>
      </w:r>
      <w:r>
        <w:rPr>
          <w:rFonts w:ascii="Times New Roman" w:eastAsia="Times New Roman"/>
          <w:color w:val="0000FF"/>
          <w:spacing w:val="-6"/>
          <w:position w:val="2"/>
          <w:vertAlign w:val="subscript"/>
        </w:rPr>
        <w:t>3</w:t>
      </w:r>
    </w:p>
    <w:p>
      <w:pPr>
        <w:pStyle w:val="7"/>
        <w:spacing w:before="3" w:line="364" w:lineRule="auto"/>
        <w:ind w:right="457"/>
        <w:rPr>
          <w:color w:val="0000FF"/>
        </w:rPr>
      </w:pPr>
      <w:r>
        <w:rPr>
          <w:color w:val="0000FF"/>
        </w:rPr>
        <w:t>厂界排放浓度执行《恶臭污染物排放标准》（</w:t>
      </w:r>
      <w:r>
        <w:rPr>
          <w:rFonts w:ascii="Times New Roman" w:eastAsia="Times New Roman"/>
          <w:color w:val="0000FF"/>
        </w:rPr>
        <w:t>GB14554-1993</w:t>
      </w:r>
      <w:r>
        <w:rPr>
          <w:color w:val="0000FF"/>
        </w:rPr>
        <w:t>）</w:t>
      </w:r>
      <w:r>
        <w:rPr>
          <w:color w:val="0000FF"/>
          <w:spacing w:val="-16"/>
        </w:rPr>
        <w:t>中表</w:t>
      </w:r>
      <w:r>
        <w:rPr>
          <w:rFonts w:ascii="Times New Roman" w:eastAsia="Times New Roman"/>
          <w:color w:val="0000FF"/>
        </w:rPr>
        <w:t>1</w:t>
      </w:r>
      <w:r>
        <w:rPr>
          <w:color w:val="0000FF"/>
        </w:rPr>
        <w:t>恶臭污染</w:t>
      </w:r>
      <w:r>
        <w:rPr>
          <w:color w:val="0000FF"/>
          <w:spacing w:val="-8"/>
        </w:rPr>
        <w:t>物厂界标准二级标准。本项目运营期产生的大气污染物排放标准值详见表</w:t>
      </w:r>
      <w:r>
        <w:rPr>
          <w:rFonts w:ascii="Times New Roman" w:eastAsia="Times New Roman"/>
          <w:color w:val="0000FF"/>
        </w:rPr>
        <w:t>2.4-6</w:t>
      </w:r>
      <w:r>
        <w:rPr>
          <w:color w:val="0000FF"/>
          <w:spacing w:val="-16"/>
        </w:rPr>
        <w:t>。</w:t>
      </w:r>
    </w:p>
    <w:p>
      <w:pPr>
        <w:pStyle w:val="7"/>
        <w:bidi w:val="0"/>
        <w:jc w:val="center"/>
        <w:rPr>
          <w:color w:val="0000FF"/>
        </w:rPr>
      </w:pPr>
      <w:r>
        <w:rPr>
          <w:color w:val="0000FF"/>
        </w:rPr>
        <w:t>表</w:t>
      </w:r>
      <w:r>
        <w:rPr>
          <w:rFonts w:ascii="Times New Roman" w:eastAsia="Times New Roman"/>
          <w:color w:val="0000FF"/>
        </w:rPr>
        <w:t>2.4-6</w:t>
      </w:r>
      <w:r>
        <w:rPr>
          <w:rFonts w:ascii="Times New Roman" w:eastAsia="Times New Roman"/>
          <w:color w:val="0000FF"/>
        </w:rPr>
        <w:tab/>
      </w:r>
      <w:r>
        <w:rPr>
          <w:color w:val="0000FF"/>
        </w:rPr>
        <w:t>大气污染物排放标准一览表</w:t>
      </w:r>
    </w:p>
    <w:tbl>
      <w:tblPr>
        <w:tblStyle w:val="15"/>
        <w:tblW w:w="0" w:type="auto"/>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3"/>
        <w:gridCol w:w="1605"/>
        <w:gridCol w:w="56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03" w:type="dxa"/>
          </w:tcPr>
          <w:p>
            <w:pPr>
              <w:pStyle w:val="19"/>
              <w:spacing w:before="34"/>
              <w:ind w:left="108" w:right="100"/>
              <w:rPr>
                <w:b/>
                <w:color w:val="0000FF"/>
                <w:sz w:val="21"/>
              </w:rPr>
            </w:pPr>
            <w:r>
              <w:rPr>
                <w:b/>
                <w:color w:val="0000FF"/>
                <w:sz w:val="21"/>
              </w:rPr>
              <w:t>污染因子</w:t>
            </w:r>
          </w:p>
        </w:tc>
        <w:tc>
          <w:tcPr>
            <w:tcW w:w="1605" w:type="dxa"/>
          </w:tcPr>
          <w:p>
            <w:pPr>
              <w:pStyle w:val="19"/>
              <w:spacing w:before="34"/>
              <w:ind w:left="151" w:right="144"/>
              <w:rPr>
                <w:b/>
                <w:color w:val="0000FF"/>
                <w:sz w:val="21"/>
              </w:rPr>
            </w:pPr>
            <w:r>
              <w:rPr>
                <w:b/>
                <w:color w:val="0000FF"/>
                <w:sz w:val="21"/>
              </w:rPr>
              <w:t>标准值</w:t>
            </w:r>
          </w:p>
        </w:tc>
        <w:tc>
          <w:tcPr>
            <w:tcW w:w="5632" w:type="dxa"/>
          </w:tcPr>
          <w:p>
            <w:pPr>
              <w:pStyle w:val="19"/>
              <w:spacing w:before="34"/>
              <w:ind w:left="2376" w:right="2362"/>
              <w:rPr>
                <w:b/>
                <w:color w:val="0000FF"/>
                <w:sz w:val="21"/>
              </w:rPr>
            </w:pPr>
            <w:r>
              <w:rPr>
                <w:b/>
                <w:color w:val="0000FF"/>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3" w:type="dxa"/>
          </w:tcPr>
          <w:p>
            <w:pPr>
              <w:pStyle w:val="19"/>
              <w:spacing w:before="104"/>
              <w:ind w:left="103" w:right="100"/>
              <w:rPr>
                <w:color w:val="0000FF"/>
                <w:sz w:val="21"/>
              </w:rPr>
            </w:pPr>
            <w:r>
              <w:rPr>
                <w:color w:val="0000FF"/>
                <w:sz w:val="21"/>
              </w:rPr>
              <w:t>臭气浓度</w:t>
            </w:r>
          </w:p>
        </w:tc>
        <w:tc>
          <w:tcPr>
            <w:tcW w:w="1605" w:type="dxa"/>
          </w:tcPr>
          <w:p>
            <w:pPr>
              <w:pStyle w:val="19"/>
              <w:spacing w:before="104"/>
              <w:ind w:left="151" w:right="144"/>
              <w:rPr>
                <w:color w:val="0000FF"/>
                <w:sz w:val="21"/>
              </w:rPr>
            </w:pPr>
            <w:r>
              <w:rPr>
                <w:rFonts w:ascii="Times New Roman" w:eastAsia="Times New Roman"/>
                <w:color w:val="0000FF"/>
                <w:sz w:val="21"/>
              </w:rPr>
              <w:t>70</w:t>
            </w:r>
            <w:r>
              <w:rPr>
                <w:color w:val="0000FF"/>
                <w:sz w:val="21"/>
              </w:rPr>
              <w:t>（无量纲）</w:t>
            </w:r>
          </w:p>
        </w:tc>
        <w:tc>
          <w:tcPr>
            <w:tcW w:w="5632" w:type="dxa"/>
          </w:tcPr>
          <w:p>
            <w:pPr>
              <w:pStyle w:val="19"/>
              <w:spacing w:line="236" w:lineRule="exact"/>
              <w:ind w:left="3" w:right="-15"/>
              <w:jc w:val="left"/>
              <w:rPr>
                <w:color w:val="0000FF"/>
                <w:sz w:val="21"/>
              </w:rPr>
            </w:pPr>
            <w:r>
              <w:rPr>
                <w:color w:val="0000FF"/>
                <w:spacing w:val="-6"/>
                <w:w w:val="95"/>
                <w:sz w:val="21"/>
              </w:rPr>
              <w:t>《畜禽养殖业污染物排放标准》</w:t>
            </w:r>
            <w:r>
              <w:rPr>
                <w:color w:val="0000FF"/>
                <w:w w:val="95"/>
                <w:sz w:val="21"/>
              </w:rPr>
              <w:t>（</w:t>
            </w:r>
            <w:r>
              <w:rPr>
                <w:rFonts w:ascii="Times New Roman" w:eastAsia="Times New Roman"/>
                <w:color w:val="0000FF"/>
                <w:w w:val="95"/>
                <w:sz w:val="21"/>
              </w:rPr>
              <w:t>GB18596-2001</w:t>
            </w:r>
            <w:r>
              <w:rPr>
                <w:color w:val="0000FF"/>
                <w:w w:val="95"/>
                <w:sz w:val="21"/>
              </w:rPr>
              <w:t>）中集约化畜</w:t>
            </w:r>
          </w:p>
          <w:p>
            <w:pPr>
              <w:pStyle w:val="19"/>
              <w:spacing w:line="224" w:lineRule="exact"/>
              <w:ind w:left="3"/>
              <w:jc w:val="left"/>
              <w:rPr>
                <w:color w:val="0000FF"/>
                <w:sz w:val="21"/>
              </w:rPr>
            </w:pPr>
            <w:r>
              <w:rPr>
                <w:color w:val="0000FF"/>
                <w:sz w:val="21"/>
              </w:rPr>
              <w:t>禽养殖业恶臭污染物排放标准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03" w:type="dxa"/>
          </w:tcPr>
          <w:p>
            <w:pPr>
              <w:pStyle w:val="19"/>
              <w:spacing w:before="34"/>
              <w:ind w:left="106" w:right="100"/>
              <w:rPr>
                <w:color w:val="0000FF"/>
                <w:sz w:val="21"/>
              </w:rPr>
            </w:pPr>
            <w:r>
              <w:rPr>
                <w:color w:val="0000FF"/>
                <w:sz w:val="21"/>
              </w:rPr>
              <w:t>硫化氢</w:t>
            </w:r>
          </w:p>
        </w:tc>
        <w:tc>
          <w:tcPr>
            <w:tcW w:w="1605" w:type="dxa"/>
          </w:tcPr>
          <w:p>
            <w:pPr>
              <w:pStyle w:val="19"/>
              <w:spacing w:before="48"/>
              <w:ind w:left="151" w:right="142"/>
              <w:rPr>
                <w:rFonts w:ascii="Times New Roman"/>
                <w:color w:val="0000FF"/>
                <w:sz w:val="13"/>
              </w:rPr>
            </w:pPr>
            <w:r>
              <w:rPr>
                <w:rFonts w:ascii="Times New Roman"/>
                <w:color w:val="0000FF"/>
                <w:sz w:val="21"/>
              </w:rPr>
              <w:t>0.06mg/m</w:t>
            </w:r>
            <w:r>
              <w:rPr>
                <w:rFonts w:ascii="Times New Roman"/>
                <w:color w:val="0000FF"/>
                <w:position w:val="7"/>
                <w:sz w:val="13"/>
              </w:rPr>
              <w:t>3</w:t>
            </w:r>
          </w:p>
        </w:tc>
        <w:tc>
          <w:tcPr>
            <w:tcW w:w="5632" w:type="dxa"/>
            <w:vMerge w:val="restart"/>
          </w:tcPr>
          <w:p>
            <w:pPr>
              <w:pStyle w:val="19"/>
              <w:spacing w:before="112" w:line="208" w:lineRule="auto"/>
              <w:ind w:left="3" w:right="-15"/>
              <w:jc w:val="left"/>
              <w:rPr>
                <w:color w:val="0000FF"/>
                <w:sz w:val="21"/>
              </w:rPr>
            </w:pPr>
            <w:r>
              <w:rPr>
                <w:rFonts w:ascii="Times New Roman" w:eastAsia="Times New Roman"/>
                <w:color w:val="0000FF"/>
                <w:position w:val="2"/>
                <w:sz w:val="21"/>
              </w:rPr>
              <w:t>H</w:t>
            </w:r>
            <w:r>
              <w:rPr>
                <w:rFonts w:ascii="Times New Roman" w:eastAsia="Times New Roman"/>
                <w:color w:val="0000FF"/>
                <w:position w:val="2"/>
                <w:sz w:val="21"/>
                <w:vertAlign w:val="subscript"/>
              </w:rPr>
              <w:t>2</w:t>
            </w:r>
            <w:r>
              <w:rPr>
                <w:rFonts w:ascii="Times New Roman" w:eastAsia="Times New Roman"/>
                <w:color w:val="0000FF"/>
                <w:position w:val="2"/>
                <w:sz w:val="21"/>
                <w:vertAlign w:val="baseline"/>
              </w:rPr>
              <w:t>S</w:t>
            </w:r>
            <w:r>
              <w:rPr>
                <w:color w:val="0000FF"/>
                <w:spacing w:val="-94"/>
                <w:position w:val="2"/>
                <w:sz w:val="21"/>
                <w:vertAlign w:val="baseline"/>
              </w:rPr>
              <w:t>、</w:t>
            </w:r>
            <w:r>
              <w:rPr>
                <w:rFonts w:ascii="Times New Roman" w:eastAsia="Times New Roman"/>
                <w:color w:val="0000FF"/>
                <w:position w:val="2"/>
                <w:sz w:val="21"/>
                <w:vertAlign w:val="baseline"/>
              </w:rPr>
              <w:t>NH</w:t>
            </w:r>
            <w:r>
              <w:rPr>
                <w:rFonts w:ascii="Times New Roman" w:eastAsia="Times New Roman"/>
                <w:color w:val="0000FF"/>
                <w:position w:val="2"/>
                <w:sz w:val="21"/>
                <w:vertAlign w:val="subscript"/>
              </w:rPr>
              <w:t>3</w:t>
            </w:r>
            <w:r>
              <w:rPr>
                <w:color w:val="0000FF"/>
                <w:spacing w:val="-10"/>
                <w:position w:val="2"/>
                <w:sz w:val="21"/>
                <w:vertAlign w:val="baseline"/>
              </w:rPr>
              <w:t>厂界排放浓度执行《恶臭污染物排放标准</w:t>
            </w:r>
            <w:r>
              <w:rPr>
                <w:color w:val="0000FF"/>
                <w:spacing w:val="-190"/>
                <w:position w:val="2"/>
                <w:sz w:val="21"/>
                <w:vertAlign w:val="baseline"/>
              </w:rPr>
              <w:t>》</w:t>
            </w:r>
            <w:r>
              <w:rPr>
                <w:color w:val="0000FF"/>
                <w:position w:val="2"/>
                <w:sz w:val="21"/>
                <w:vertAlign w:val="baseline"/>
              </w:rPr>
              <w:t>（</w:t>
            </w:r>
            <w:r>
              <w:rPr>
                <w:rFonts w:ascii="Times New Roman" w:eastAsia="Times New Roman"/>
                <w:color w:val="0000FF"/>
                <w:position w:val="2"/>
                <w:sz w:val="21"/>
                <w:vertAlign w:val="baseline"/>
              </w:rPr>
              <w:t>GB14554-</w:t>
            </w:r>
            <w:r>
              <w:rPr>
                <w:rFonts w:ascii="Times New Roman" w:eastAsia="Times New Roman"/>
                <w:color w:val="0000FF"/>
                <w:sz w:val="21"/>
                <w:vertAlign w:val="baseline"/>
              </w:rPr>
              <w:t>1993</w:t>
            </w:r>
            <w:r>
              <w:rPr>
                <w:color w:val="0000FF"/>
                <w:sz w:val="21"/>
                <w:vertAlign w:val="baseline"/>
              </w:rPr>
              <w:t>）表</w:t>
            </w:r>
            <w:r>
              <w:rPr>
                <w:rFonts w:ascii="Times New Roman" w:eastAsia="Times New Roman"/>
                <w:color w:val="0000FF"/>
                <w:sz w:val="21"/>
                <w:vertAlign w:val="baseline"/>
              </w:rPr>
              <w:t>1</w:t>
            </w:r>
            <w:r>
              <w:rPr>
                <w:color w:val="0000FF"/>
                <w:sz w:val="21"/>
                <w:vertAlign w:val="baseline"/>
              </w:rPr>
              <w:t>恶臭污染物厂界标准二级标准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03" w:type="dxa"/>
          </w:tcPr>
          <w:p>
            <w:pPr>
              <w:pStyle w:val="19"/>
              <w:spacing w:before="32"/>
              <w:ind w:left="8"/>
              <w:rPr>
                <w:color w:val="0000FF"/>
                <w:sz w:val="21"/>
              </w:rPr>
            </w:pPr>
            <w:r>
              <w:rPr>
                <w:color w:val="0000FF"/>
                <w:w w:val="99"/>
                <w:sz w:val="21"/>
              </w:rPr>
              <w:t>氨</w:t>
            </w:r>
          </w:p>
        </w:tc>
        <w:tc>
          <w:tcPr>
            <w:tcW w:w="1605" w:type="dxa"/>
          </w:tcPr>
          <w:p>
            <w:pPr>
              <w:pStyle w:val="19"/>
              <w:spacing w:before="48"/>
              <w:ind w:left="151" w:right="140"/>
              <w:rPr>
                <w:rFonts w:ascii="Times New Roman"/>
                <w:color w:val="0000FF"/>
                <w:sz w:val="13"/>
              </w:rPr>
            </w:pPr>
            <w:r>
              <w:rPr>
                <w:rFonts w:ascii="Times New Roman"/>
                <w:color w:val="0000FF"/>
                <w:sz w:val="21"/>
              </w:rPr>
              <w:t>1.5mg/m</w:t>
            </w:r>
            <w:r>
              <w:rPr>
                <w:rFonts w:ascii="Times New Roman"/>
                <w:color w:val="0000FF"/>
                <w:position w:val="7"/>
                <w:sz w:val="13"/>
              </w:rPr>
              <w:t>3</w:t>
            </w:r>
          </w:p>
        </w:tc>
        <w:tc>
          <w:tcPr>
            <w:tcW w:w="5632" w:type="dxa"/>
            <w:vMerge w:val="continue"/>
            <w:tcBorders>
              <w:top w:val="nil"/>
            </w:tcBorders>
          </w:tcPr>
          <w:p>
            <w:pPr>
              <w:rPr>
                <w:color w:val="0000FF"/>
                <w:sz w:val="2"/>
                <w:szCs w:val="2"/>
              </w:rPr>
            </w:pPr>
          </w:p>
        </w:tc>
      </w:tr>
    </w:tbl>
    <w:p>
      <w:pPr>
        <w:pStyle w:val="7"/>
        <w:spacing w:before="4"/>
        <w:ind w:left="0"/>
        <w:rPr>
          <w:b/>
          <w:color w:val="0000FF"/>
          <w:sz w:val="18"/>
        </w:rPr>
      </w:pPr>
    </w:p>
    <w:p>
      <w:pPr>
        <w:pStyle w:val="18"/>
        <w:numPr>
          <w:ilvl w:val="0"/>
          <w:numId w:val="13"/>
        </w:numPr>
        <w:tabs>
          <w:tab w:val="left" w:pos="1621"/>
        </w:tabs>
        <w:spacing w:before="0" w:after="0" w:line="240" w:lineRule="auto"/>
        <w:ind w:left="1621" w:right="0" w:hanging="601"/>
        <w:jc w:val="left"/>
        <w:rPr>
          <w:color w:val="0000FF"/>
          <w:sz w:val="24"/>
        </w:rPr>
      </w:pPr>
      <w:r>
        <w:rPr>
          <w:color w:val="0000FF"/>
          <w:sz w:val="24"/>
        </w:rPr>
        <w:t>废水排放标准</w:t>
      </w:r>
    </w:p>
    <w:p>
      <w:pPr>
        <w:pStyle w:val="7"/>
        <w:spacing w:before="161"/>
        <w:ind w:left="1020"/>
        <w:rPr>
          <w:color w:val="0000FF"/>
        </w:rPr>
      </w:pPr>
      <w:r>
        <w:rPr>
          <w:color w:val="0000FF"/>
        </w:rPr>
        <w:t>①施工期</w:t>
      </w:r>
    </w:p>
    <w:p>
      <w:pPr>
        <w:pStyle w:val="7"/>
        <w:spacing w:before="160"/>
        <w:ind w:left="1020"/>
        <w:rPr>
          <w:color w:val="0000FF"/>
        </w:rPr>
      </w:pPr>
      <w:r>
        <w:rPr>
          <w:color w:val="0000FF"/>
        </w:rPr>
        <w:t>本项目施工期无废水排放</w:t>
      </w:r>
    </w:p>
    <w:p>
      <w:pPr>
        <w:pStyle w:val="7"/>
        <w:spacing w:before="161"/>
        <w:ind w:left="1020"/>
        <w:rPr>
          <w:color w:val="0000FF"/>
        </w:rPr>
      </w:pPr>
      <w:r>
        <w:rPr>
          <w:color w:val="0000FF"/>
        </w:rPr>
        <w:t>②运营期</w:t>
      </w:r>
    </w:p>
    <w:p>
      <w:pPr>
        <w:pStyle w:val="7"/>
        <w:spacing w:before="143" w:line="364" w:lineRule="auto"/>
        <w:ind w:right="577"/>
        <w:jc w:val="both"/>
        <w:rPr>
          <w:color w:val="0000FF"/>
        </w:rPr>
      </w:pPr>
      <w:r>
        <w:rPr>
          <w:color w:val="0000FF"/>
          <w:spacing w:val="-8"/>
        </w:rPr>
        <w:t>根据养殖场内地形，基地场地排水采用无组织排水，地表雨水均排入周围绿化带。本项目废水主要包括养殖废水（羊尿、羊舍冲洗废水）和职工生活污水。按照《国务院办公厅关于加快推进畜禽养殖废弃物资源化利用的意见》中要求：</w:t>
      </w:r>
      <w:r>
        <w:rPr>
          <w:color w:val="0000FF"/>
          <w:spacing w:val="-12"/>
        </w:rPr>
        <w:t>“鼓励沼液和经无害化处理的畜禽养殖废水作为肥料科学还田利用”。养殖场每</w:t>
      </w:r>
      <w:r>
        <w:rPr>
          <w:color w:val="0000FF"/>
          <w:spacing w:val="-17"/>
        </w:rPr>
        <w:t>栋羊舍地面为混凝土地面，上端覆盖</w:t>
      </w:r>
      <w:r>
        <w:rPr>
          <w:rFonts w:ascii="Times New Roman" w:hAnsi="Times New Roman" w:eastAsia="Times New Roman"/>
          <w:color w:val="0000FF"/>
        </w:rPr>
        <w:t>35cm</w:t>
      </w:r>
      <w:r>
        <w:rPr>
          <w:color w:val="0000FF"/>
          <w:spacing w:val="-10"/>
        </w:rPr>
        <w:t>厚垫料，铺设垫床一般采用废气杂草</w:t>
      </w:r>
      <w:r>
        <w:rPr>
          <w:rFonts w:hint="eastAsia"/>
          <w:color w:val="0000FF"/>
          <w:spacing w:val="-10"/>
          <w:lang w:eastAsia="zh-CN"/>
        </w:rPr>
        <w:t>、</w:t>
      </w:r>
      <w:r>
        <w:rPr>
          <w:color w:val="0000FF"/>
          <w:spacing w:val="-9"/>
        </w:rPr>
        <w:t>农作物秸秆粉、锯末等农业材料，羊排泄的尿液被垫料吸收、蒸发，项目定期对</w:t>
      </w:r>
      <w:r>
        <w:rPr>
          <w:color w:val="0000FF"/>
          <w:spacing w:val="-7"/>
        </w:rPr>
        <w:t>垫料层和粪便进行清理更换，不需要对畜舍进行冲洗，无冲栏废水产生。垫料层</w:t>
      </w:r>
      <w:r>
        <w:rPr>
          <w:color w:val="0000FF"/>
          <w:spacing w:val="-9"/>
        </w:rPr>
        <w:t>与羊粪、粪渣一起进入堆肥厂堆肥发酵，废水实现综合利用，不外排。因此，本</w:t>
      </w:r>
      <w:r>
        <w:rPr>
          <w:color w:val="0000FF"/>
        </w:rPr>
        <w:t>项目养殖废水不执行《畜禽养殖业污染物排放标准》（</w:t>
      </w:r>
      <w:r>
        <w:rPr>
          <w:rFonts w:ascii="Times New Roman" w:eastAsia="Times New Roman"/>
          <w:color w:val="0000FF"/>
        </w:rPr>
        <w:t>GB18596-2001</w:t>
      </w:r>
      <w:r>
        <w:rPr>
          <w:color w:val="0000FF"/>
        </w:rPr>
        <w:t>）；本项</w:t>
      </w:r>
      <w:r>
        <w:rPr>
          <w:color w:val="0000FF"/>
          <w:spacing w:val="-7"/>
        </w:rPr>
        <w:t>目设置员工宿舍和</w:t>
      </w:r>
      <w:r>
        <w:rPr>
          <w:rFonts w:hint="eastAsia"/>
          <w:color w:val="0000FF"/>
          <w:spacing w:val="-7"/>
          <w:lang w:val="en-US" w:eastAsia="zh-CN"/>
        </w:rPr>
        <w:t>附属用房</w:t>
      </w:r>
      <w:r>
        <w:rPr>
          <w:color w:val="0000FF"/>
          <w:spacing w:val="-7"/>
        </w:rPr>
        <w:t>，</w:t>
      </w:r>
      <w:r>
        <w:rPr>
          <w:rFonts w:hint="eastAsia"/>
          <w:color w:val="0000FF"/>
          <w:spacing w:val="-7"/>
          <w:lang w:val="en-US" w:eastAsia="zh-CN"/>
        </w:rPr>
        <w:t>产生的生活废水由</w:t>
      </w:r>
      <w:r>
        <w:rPr>
          <w:rFonts w:hint="eastAsia" w:ascii="宋体" w:hAnsi="宋体" w:eastAsia="宋体" w:cs="宋体"/>
          <w:color w:val="FF0000"/>
          <w:spacing w:val="-1"/>
          <w:sz w:val="24"/>
          <w:szCs w:val="24"/>
          <w:lang w:val="en-US" w:eastAsia="zh-CN"/>
        </w:rPr>
        <w:t>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color w:val="0000FF"/>
        </w:rPr>
        <w:t>。</w:t>
      </w:r>
    </w:p>
    <w:p>
      <w:pPr>
        <w:pStyle w:val="18"/>
        <w:numPr>
          <w:ilvl w:val="0"/>
          <w:numId w:val="13"/>
        </w:numPr>
        <w:tabs>
          <w:tab w:val="left" w:pos="1621"/>
        </w:tabs>
        <w:spacing w:before="3" w:after="0" w:line="240" w:lineRule="auto"/>
        <w:ind w:left="1621" w:right="0" w:hanging="601"/>
        <w:jc w:val="left"/>
        <w:rPr>
          <w:color w:val="0000FF"/>
          <w:sz w:val="24"/>
        </w:rPr>
      </w:pPr>
      <w:r>
        <w:rPr>
          <w:color w:val="0000FF"/>
          <w:sz w:val="24"/>
        </w:rPr>
        <w:t>噪声</w:t>
      </w:r>
    </w:p>
    <w:p>
      <w:pPr>
        <w:pStyle w:val="7"/>
        <w:spacing w:before="161"/>
        <w:ind w:left="1020"/>
        <w:rPr>
          <w:color w:val="0000FF"/>
        </w:rPr>
      </w:pPr>
      <w:r>
        <w:rPr>
          <w:color w:val="0000FF"/>
        </w:rPr>
        <w:t>①施工期</w:t>
      </w:r>
    </w:p>
    <w:p>
      <w:pPr>
        <w:pStyle w:val="7"/>
        <w:spacing w:before="160"/>
        <w:ind w:left="1020"/>
        <w:rPr>
          <w:color w:val="0000FF"/>
        </w:rPr>
      </w:pPr>
      <w:r>
        <w:rPr>
          <w:color w:val="0000FF"/>
        </w:rPr>
        <w:t>本项目施工期厂界噪声执行《建筑施工场界环境噪声排放标准》</w:t>
      </w:r>
    </w:p>
    <w:p>
      <w:pPr>
        <w:pStyle w:val="7"/>
        <w:spacing w:before="161"/>
        <w:rPr>
          <w:color w:val="0000FF"/>
        </w:rPr>
      </w:pPr>
      <w:r>
        <w:rPr>
          <w:color w:val="0000FF"/>
        </w:rPr>
        <w:t>（</w:t>
      </w:r>
      <w:r>
        <w:rPr>
          <w:rFonts w:ascii="Times New Roman" w:eastAsia="Times New Roman"/>
          <w:color w:val="0000FF"/>
        </w:rPr>
        <w:t>GB12523-2011</w:t>
      </w:r>
      <w:r>
        <w:rPr>
          <w:color w:val="0000FF"/>
        </w:rPr>
        <w:t>）。</w:t>
      </w:r>
    </w:p>
    <w:p>
      <w:pPr>
        <w:pStyle w:val="7"/>
        <w:spacing w:before="160"/>
        <w:ind w:left="1020"/>
        <w:rPr>
          <w:color w:val="0000FF"/>
        </w:rPr>
      </w:pPr>
      <w:r>
        <w:rPr>
          <w:color w:val="0000FF"/>
        </w:rPr>
        <w:t>②运营期</w:t>
      </w:r>
    </w:p>
    <w:p>
      <w:pPr>
        <w:pStyle w:val="7"/>
        <w:spacing w:before="161" w:line="364" w:lineRule="auto"/>
        <w:ind w:right="405" w:firstLine="480"/>
        <w:rPr>
          <w:color w:val="0000FF"/>
        </w:rPr>
      </w:pPr>
      <w:r>
        <w:rPr>
          <w:color w:val="0000FF"/>
        </w:rPr>
        <w:t>运营期厂界噪声执行《工业企业厂界环境噪声排放标准》（</w:t>
      </w:r>
      <w:r>
        <w:rPr>
          <w:rFonts w:ascii="Times New Roman" w:eastAsia="Times New Roman"/>
          <w:color w:val="0000FF"/>
        </w:rPr>
        <w:t>GB12348-2008</w:t>
      </w:r>
      <w:r>
        <w:rPr>
          <w:color w:val="0000FF"/>
        </w:rPr>
        <w:t>）中</w:t>
      </w:r>
      <w:r>
        <w:rPr>
          <w:rFonts w:ascii="Times New Roman" w:eastAsia="Times New Roman"/>
          <w:color w:val="0000FF"/>
        </w:rPr>
        <w:t>2</w:t>
      </w:r>
      <w:r>
        <w:rPr>
          <w:color w:val="0000FF"/>
        </w:rPr>
        <w:t>类区标准，详见表</w:t>
      </w:r>
      <w:r>
        <w:rPr>
          <w:rFonts w:ascii="Times New Roman" w:eastAsia="Times New Roman"/>
          <w:color w:val="0000FF"/>
        </w:rPr>
        <w:t>2.4-</w:t>
      </w:r>
      <w:r>
        <w:rPr>
          <w:rFonts w:hint="eastAsia" w:ascii="Times New Roman" w:eastAsia="宋体"/>
          <w:color w:val="0000FF"/>
          <w:lang w:val="en-US" w:eastAsia="zh-CN"/>
        </w:rPr>
        <w:t>7</w:t>
      </w:r>
      <w:r>
        <w:rPr>
          <w:color w:val="0000FF"/>
        </w:rPr>
        <w:t>。</w:t>
      </w:r>
    </w:p>
    <w:p>
      <w:pPr>
        <w:pStyle w:val="7"/>
        <w:bidi w:val="0"/>
        <w:jc w:val="center"/>
        <w:rPr>
          <w:color w:val="0000FF"/>
        </w:rPr>
      </w:pPr>
      <w:r>
        <w:rPr>
          <w:color w:val="0000FF"/>
        </w:rPr>
        <w:t>表</w:t>
      </w:r>
      <w:r>
        <w:rPr>
          <w:rFonts w:ascii="Times New Roman" w:eastAsia="Times New Roman"/>
          <w:color w:val="0000FF"/>
        </w:rPr>
        <w:t>2.4-</w:t>
      </w:r>
      <w:r>
        <w:rPr>
          <w:rFonts w:hint="eastAsia" w:ascii="Times New Roman" w:eastAsia="宋体"/>
          <w:color w:val="0000FF"/>
          <w:lang w:val="en-US" w:eastAsia="zh-CN"/>
        </w:rPr>
        <w:t>7</w:t>
      </w:r>
      <w:r>
        <w:rPr>
          <w:rFonts w:ascii="Times New Roman" w:eastAsia="Times New Roman"/>
          <w:color w:val="0000FF"/>
        </w:rPr>
        <w:tab/>
      </w:r>
      <w:r>
        <w:rPr>
          <w:color w:val="0000FF"/>
        </w:rPr>
        <w:t>噪声排放标准限值</w:t>
      </w:r>
      <w:r>
        <w:rPr>
          <w:color w:val="0000FF"/>
        </w:rPr>
        <w:tab/>
      </w:r>
      <w:r>
        <w:rPr>
          <w:color w:val="0000FF"/>
        </w:rPr>
        <w:t>单位：</w:t>
      </w:r>
      <w:r>
        <w:rPr>
          <w:rFonts w:ascii="Times New Roman" w:eastAsia="Times New Roman"/>
          <w:color w:val="0000FF"/>
        </w:rPr>
        <w:t>dB</w:t>
      </w:r>
      <w:r>
        <w:rPr>
          <w:color w:val="0000FF"/>
        </w:rPr>
        <w:t>（</w:t>
      </w:r>
      <w:r>
        <w:rPr>
          <w:rFonts w:ascii="Times New Roman" w:eastAsia="Times New Roman"/>
          <w:color w:val="0000FF"/>
        </w:rPr>
        <w:t>A</w:t>
      </w:r>
      <w:r>
        <w:rPr>
          <w:color w:val="0000FF"/>
        </w:rPr>
        <w:t>）</w:t>
      </w:r>
    </w:p>
    <w:tbl>
      <w:tblPr>
        <w:tblStyle w:val="15"/>
        <w:tblW w:w="0" w:type="auto"/>
        <w:tblInd w:w="5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7"/>
        <w:gridCol w:w="3506"/>
        <w:gridCol w:w="1575"/>
        <w:gridCol w:w="1069"/>
        <w:gridCol w:w="1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27" w:type="dxa"/>
          </w:tcPr>
          <w:p>
            <w:pPr>
              <w:pStyle w:val="19"/>
              <w:spacing w:before="28"/>
              <w:ind w:left="142"/>
              <w:jc w:val="left"/>
              <w:rPr>
                <w:b/>
                <w:color w:val="0000FF"/>
                <w:sz w:val="21"/>
              </w:rPr>
            </w:pPr>
            <w:r>
              <w:rPr>
                <w:b/>
                <w:color w:val="0000FF"/>
                <w:sz w:val="21"/>
              </w:rPr>
              <w:t>评价时段</w:t>
            </w:r>
          </w:p>
        </w:tc>
        <w:tc>
          <w:tcPr>
            <w:tcW w:w="3506" w:type="dxa"/>
          </w:tcPr>
          <w:p>
            <w:pPr>
              <w:pStyle w:val="19"/>
              <w:spacing w:before="28"/>
              <w:ind w:left="19" w:right="9"/>
              <w:rPr>
                <w:b/>
                <w:color w:val="0000FF"/>
                <w:sz w:val="21"/>
              </w:rPr>
            </w:pPr>
            <w:r>
              <w:rPr>
                <w:b/>
                <w:color w:val="0000FF"/>
                <w:sz w:val="21"/>
              </w:rPr>
              <w:t>执行标准</w:t>
            </w:r>
          </w:p>
        </w:tc>
        <w:tc>
          <w:tcPr>
            <w:tcW w:w="1575" w:type="dxa"/>
          </w:tcPr>
          <w:p>
            <w:pPr>
              <w:pStyle w:val="19"/>
              <w:spacing w:before="2"/>
              <w:ind w:left="156"/>
              <w:jc w:val="left"/>
              <w:rPr>
                <w:b/>
                <w:color w:val="0000FF"/>
                <w:sz w:val="21"/>
              </w:rPr>
            </w:pPr>
            <w:r>
              <w:rPr>
                <w:b/>
                <w:color w:val="0000FF"/>
                <w:sz w:val="21"/>
              </w:rPr>
              <w:t>声环境功能区</w:t>
            </w:r>
          </w:p>
        </w:tc>
        <w:tc>
          <w:tcPr>
            <w:tcW w:w="1069" w:type="dxa"/>
          </w:tcPr>
          <w:p>
            <w:pPr>
              <w:pStyle w:val="19"/>
              <w:spacing w:before="28"/>
              <w:ind w:left="171" w:right="163"/>
              <w:rPr>
                <w:b/>
                <w:color w:val="0000FF"/>
                <w:sz w:val="21"/>
              </w:rPr>
            </w:pPr>
            <w:r>
              <w:rPr>
                <w:b/>
                <w:color w:val="0000FF"/>
                <w:sz w:val="21"/>
              </w:rPr>
              <w:t>指标</w:t>
            </w:r>
          </w:p>
        </w:tc>
        <w:tc>
          <w:tcPr>
            <w:tcW w:w="1099" w:type="dxa"/>
          </w:tcPr>
          <w:p>
            <w:pPr>
              <w:pStyle w:val="19"/>
              <w:spacing w:before="28"/>
              <w:ind w:left="107" w:right="98"/>
              <w:rPr>
                <w:b/>
                <w:color w:val="0000FF"/>
                <w:sz w:val="21"/>
              </w:rPr>
            </w:pPr>
            <w:r>
              <w:rPr>
                <w:b/>
                <w:color w:val="0000FF"/>
                <w:sz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27" w:type="dxa"/>
            <w:vMerge w:val="restart"/>
          </w:tcPr>
          <w:p>
            <w:pPr>
              <w:pStyle w:val="19"/>
              <w:spacing w:before="7"/>
              <w:jc w:val="left"/>
              <w:rPr>
                <w:b/>
                <w:color w:val="0000FF"/>
                <w:sz w:val="15"/>
              </w:rPr>
            </w:pPr>
          </w:p>
          <w:p>
            <w:pPr>
              <w:pStyle w:val="19"/>
              <w:ind w:left="248"/>
              <w:jc w:val="left"/>
              <w:rPr>
                <w:color w:val="0000FF"/>
                <w:sz w:val="21"/>
              </w:rPr>
            </w:pPr>
            <w:r>
              <w:rPr>
                <w:color w:val="0000FF"/>
                <w:sz w:val="21"/>
              </w:rPr>
              <w:t>施工期</w:t>
            </w:r>
          </w:p>
        </w:tc>
        <w:tc>
          <w:tcPr>
            <w:tcW w:w="3506" w:type="dxa"/>
            <w:vMerge w:val="restart"/>
          </w:tcPr>
          <w:p>
            <w:pPr>
              <w:pStyle w:val="19"/>
              <w:spacing w:before="77" w:line="255" w:lineRule="exact"/>
              <w:ind w:left="86" w:right="9"/>
              <w:rPr>
                <w:color w:val="0000FF"/>
                <w:sz w:val="21"/>
              </w:rPr>
            </w:pPr>
            <w:r>
              <w:rPr>
                <w:color w:val="0000FF"/>
                <w:sz w:val="21"/>
              </w:rPr>
              <w:t>《建筑施工场界环境噪声排放标准》</w:t>
            </w:r>
          </w:p>
          <w:p>
            <w:pPr>
              <w:pStyle w:val="19"/>
              <w:spacing w:line="255" w:lineRule="exact"/>
              <w:ind w:left="16" w:right="9"/>
              <w:rPr>
                <w:color w:val="0000FF"/>
                <w:sz w:val="21"/>
              </w:rPr>
            </w:pPr>
            <w:r>
              <w:rPr>
                <w:color w:val="0000FF"/>
                <w:sz w:val="21"/>
              </w:rPr>
              <w:t>（</w:t>
            </w:r>
            <w:r>
              <w:rPr>
                <w:rFonts w:ascii="Times New Roman" w:eastAsia="Times New Roman"/>
                <w:color w:val="0000FF"/>
                <w:sz w:val="21"/>
              </w:rPr>
              <w:t>GB12523-2011</w:t>
            </w:r>
            <w:r>
              <w:rPr>
                <w:color w:val="0000FF"/>
                <w:sz w:val="21"/>
              </w:rPr>
              <w:t>）</w:t>
            </w:r>
          </w:p>
        </w:tc>
        <w:tc>
          <w:tcPr>
            <w:tcW w:w="1575" w:type="dxa"/>
            <w:vMerge w:val="restart"/>
          </w:tcPr>
          <w:p>
            <w:pPr>
              <w:pStyle w:val="19"/>
              <w:spacing w:before="7"/>
              <w:jc w:val="left"/>
              <w:rPr>
                <w:b/>
                <w:color w:val="0000FF"/>
                <w:sz w:val="15"/>
              </w:rPr>
            </w:pPr>
          </w:p>
          <w:p>
            <w:pPr>
              <w:pStyle w:val="19"/>
              <w:ind w:left="7"/>
              <w:rPr>
                <w:color w:val="0000FF"/>
                <w:sz w:val="21"/>
              </w:rPr>
            </w:pPr>
            <w:r>
              <w:rPr>
                <w:color w:val="0000FF"/>
                <w:w w:val="99"/>
                <w:sz w:val="21"/>
              </w:rPr>
              <w:t>—</w:t>
            </w:r>
          </w:p>
        </w:tc>
        <w:tc>
          <w:tcPr>
            <w:tcW w:w="1069" w:type="dxa"/>
          </w:tcPr>
          <w:p>
            <w:pPr>
              <w:pStyle w:val="19"/>
              <w:spacing w:before="29"/>
              <w:ind w:left="171" w:right="163"/>
              <w:rPr>
                <w:color w:val="0000FF"/>
                <w:sz w:val="21"/>
              </w:rPr>
            </w:pPr>
            <w:r>
              <w:rPr>
                <w:color w:val="0000FF"/>
                <w:sz w:val="21"/>
              </w:rPr>
              <w:t>昼间</w:t>
            </w:r>
          </w:p>
        </w:tc>
        <w:tc>
          <w:tcPr>
            <w:tcW w:w="1099" w:type="dxa"/>
          </w:tcPr>
          <w:p>
            <w:pPr>
              <w:pStyle w:val="19"/>
              <w:spacing w:before="43"/>
              <w:ind w:left="104" w:right="98"/>
              <w:rPr>
                <w:rFonts w:ascii="Times New Roman"/>
                <w:color w:val="0000FF"/>
                <w:sz w:val="21"/>
              </w:rPr>
            </w:pPr>
            <w:r>
              <w:rPr>
                <w:rFonts w:ascii="Times New Roman"/>
                <w:color w:val="0000FF"/>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27" w:type="dxa"/>
            <w:vMerge w:val="continue"/>
            <w:tcBorders>
              <w:top w:val="nil"/>
            </w:tcBorders>
          </w:tcPr>
          <w:p>
            <w:pPr>
              <w:rPr>
                <w:color w:val="0000FF"/>
                <w:sz w:val="2"/>
                <w:szCs w:val="2"/>
              </w:rPr>
            </w:pPr>
          </w:p>
        </w:tc>
        <w:tc>
          <w:tcPr>
            <w:tcW w:w="3506" w:type="dxa"/>
            <w:vMerge w:val="continue"/>
            <w:tcBorders>
              <w:top w:val="nil"/>
            </w:tcBorders>
          </w:tcPr>
          <w:p>
            <w:pPr>
              <w:rPr>
                <w:color w:val="0000FF"/>
                <w:sz w:val="2"/>
                <w:szCs w:val="2"/>
              </w:rPr>
            </w:pPr>
          </w:p>
        </w:tc>
        <w:tc>
          <w:tcPr>
            <w:tcW w:w="1575" w:type="dxa"/>
            <w:vMerge w:val="continue"/>
            <w:tcBorders>
              <w:top w:val="nil"/>
            </w:tcBorders>
          </w:tcPr>
          <w:p>
            <w:pPr>
              <w:rPr>
                <w:color w:val="0000FF"/>
                <w:sz w:val="2"/>
                <w:szCs w:val="2"/>
              </w:rPr>
            </w:pPr>
          </w:p>
        </w:tc>
        <w:tc>
          <w:tcPr>
            <w:tcW w:w="1069" w:type="dxa"/>
          </w:tcPr>
          <w:p>
            <w:pPr>
              <w:pStyle w:val="19"/>
              <w:spacing w:before="30"/>
              <w:ind w:left="171" w:right="163"/>
              <w:rPr>
                <w:color w:val="0000FF"/>
                <w:sz w:val="21"/>
              </w:rPr>
            </w:pPr>
            <w:r>
              <w:rPr>
                <w:color w:val="0000FF"/>
                <w:sz w:val="21"/>
              </w:rPr>
              <w:t>夜间</w:t>
            </w:r>
          </w:p>
        </w:tc>
        <w:tc>
          <w:tcPr>
            <w:tcW w:w="1099" w:type="dxa"/>
          </w:tcPr>
          <w:p>
            <w:pPr>
              <w:pStyle w:val="19"/>
              <w:spacing w:before="44"/>
              <w:ind w:left="104" w:right="98"/>
              <w:rPr>
                <w:rFonts w:ascii="Times New Roman"/>
                <w:color w:val="0000FF"/>
                <w:sz w:val="21"/>
              </w:rPr>
            </w:pPr>
            <w:r>
              <w:rPr>
                <w:rFonts w:ascii="Times New Roman"/>
                <w:color w:val="0000FF"/>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27" w:type="dxa"/>
            <w:vMerge w:val="restart"/>
          </w:tcPr>
          <w:p>
            <w:pPr>
              <w:pStyle w:val="19"/>
              <w:spacing w:before="6"/>
              <w:jc w:val="left"/>
              <w:rPr>
                <w:b/>
                <w:color w:val="0000FF"/>
                <w:sz w:val="15"/>
              </w:rPr>
            </w:pPr>
          </w:p>
          <w:p>
            <w:pPr>
              <w:pStyle w:val="19"/>
              <w:ind w:left="248"/>
              <w:jc w:val="left"/>
              <w:rPr>
                <w:color w:val="0000FF"/>
                <w:sz w:val="21"/>
              </w:rPr>
            </w:pPr>
            <w:r>
              <w:rPr>
                <w:color w:val="0000FF"/>
                <w:sz w:val="21"/>
              </w:rPr>
              <w:t>运营期</w:t>
            </w:r>
          </w:p>
        </w:tc>
        <w:tc>
          <w:tcPr>
            <w:tcW w:w="3506" w:type="dxa"/>
            <w:vMerge w:val="restart"/>
          </w:tcPr>
          <w:p>
            <w:pPr>
              <w:pStyle w:val="19"/>
              <w:spacing w:before="76" w:line="255" w:lineRule="exact"/>
              <w:ind w:left="86" w:right="9"/>
              <w:rPr>
                <w:color w:val="0000FF"/>
                <w:sz w:val="21"/>
              </w:rPr>
            </w:pPr>
            <w:r>
              <w:rPr>
                <w:color w:val="0000FF"/>
                <w:sz w:val="21"/>
              </w:rPr>
              <w:t>《工业企业厂界环境噪声排放标准》</w:t>
            </w:r>
          </w:p>
          <w:p>
            <w:pPr>
              <w:pStyle w:val="19"/>
              <w:spacing w:line="255" w:lineRule="exact"/>
              <w:ind w:left="16" w:right="9"/>
              <w:rPr>
                <w:color w:val="0000FF"/>
                <w:sz w:val="21"/>
              </w:rPr>
            </w:pPr>
            <w:r>
              <w:rPr>
                <w:color w:val="0000FF"/>
                <w:sz w:val="21"/>
              </w:rPr>
              <w:t>（</w:t>
            </w:r>
            <w:r>
              <w:rPr>
                <w:rFonts w:ascii="Times New Roman" w:eastAsia="Times New Roman"/>
                <w:color w:val="0000FF"/>
                <w:sz w:val="21"/>
              </w:rPr>
              <w:t>GB12348-2008</w:t>
            </w:r>
            <w:r>
              <w:rPr>
                <w:color w:val="0000FF"/>
                <w:sz w:val="21"/>
              </w:rPr>
              <w:t>）</w:t>
            </w:r>
          </w:p>
        </w:tc>
        <w:tc>
          <w:tcPr>
            <w:tcW w:w="1575" w:type="dxa"/>
            <w:vMerge w:val="restart"/>
          </w:tcPr>
          <w:p>
            <w:pPr>
              <w:pStyle w:val="19"/>
              <w:spacing w:before="6"/>
              <w:jc w:val="left"/>
              <w:rPr>
                <w:b/>
                <w:color w:val="0000FF"/>
                <w:sz w:val="15"/>
              </w:rPr>
            </w:pPr>
          </w:p>
          <w:p>
            <w:pPr>
              <w:pStyle w:val="19"/>
              <w:ind w:left="608" w:right="601"/>
              <w:rPr>
                <w:color w:val="0000FF"/>
                <w:sz w:val="21"/>
              </w:rPr>
            </w:pPr>
            <w:r>
              <w:rPr>
                <w:rFonts w:ascii="Times New Roman" w:eastAsia="Times New Roman"/>
                <w:color w:val="0000FF"/>
                <w:sz w:val="21"/>
              </w:rPr>
              <w:t>2</w:t>
            </w:r>
            <w:r>
              <w:rPr>
                <w:color w:val="0000FF"/>
                <w:sz w:val="21"/>
              </w:rPr>
              <w:t>类</w:t>
            </w:r>
          </w:p>
        </w:tc>
        <w:tc>
          <w:tcPr>
            <w:tcW w:w="1069" w:type="dxa"/>
          </w:tcPr>
          <w:p>
            <w:pPr>
              <w:pStyle w:val="19"/>
              <w:spacing w:before="28"/>
              <w:ind w:left="171" w:right="163"/>
              <w:rPr>
                <w:color w:val="0000FF"/>
                <w:sz w:val="21"/>
              </w:rPr>
            </w:pPr>
            <w:r>
              <w:rPr>
                <w:color w:val="0000FF"/>
                <w:sz w:val="21"/>
              </w:rPr>
              <w:t>昼间</w:t>
            </w:r>
          </w:p>
        </w:tc>
        <w:tc>
          <w:tcPr>
            <w:tcW w:w="1099" w:type="dxa"/>
          </w:tcPr>
          <w:p>
            <w:pPr>
              <w:pStyle w:val="19"/>
              <w:spacing w:before="44"/>
              <w:ind w:left="104" w:right="98"/>
              <w:rPr>
                <w:rFonts w:ascii="Times New Roman"/>
                <w:color w:val="0000FF"/>
                <w:sz w:val="21"/>
              </w:rPr>
            </w:pPr>
            <w:r>
              <w:rPr>
                <w:rFonts w:ascii="Times New Roman"/>
                <w:color w:val="0000FF"/>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27" w:type="dxa"/>
            <w:vMerge w:val="continue"/>
            <w:tcBorders>
              <w:top w:val="nil"/>
            </w:tcBorders>
          </w:tcPr>
          <w:p>
            <w:pPr>
              <w:rPr>
                <w:color w:val="0000FF"/>
                <w:sz w:val="2"/>
                <w:szCs w:val="2"/>
              </w:rPr>
            </w:pPr>
          </w:p>
        </w:tc>
        <w:tc>
          <w:tcPr>
            <w:tcW w:w="3506" w:type="dxa"/>
            <w:vMerge w:val="continue"/>
            <w:tcBorders>
              <w:top w:val="nil"/>
            </w:tcBorders>
          </w:tcPr>
          <w:p>
            <w:pPr>
              <w:rPr>
                <w:color w:val="0000FF"/>
                <w:sz w:val="2"/>
                <w:szCs w:val="2"/>
              </w:rPr>
            </w:pPr>
          </w:p>
        </w:tc>
        <w:tc>
          <w:tcPr>
            <w:tcW w:w="1575" w:type="dxa"/>
            <w:vMerge w:val="continue"/>
            <w:tcBorders>
              <w:top w:val="nil"/>
            </w:tcBorders>
          </w:tcPr>
          <w:p>
            <w:pPr>
              <w:rPr>
                <w:color w:val="0000FF"/>
                <w:sz w:val="2"/>
                <w:szCs w:val="2"/>
              </w:rPr>
            </w:pPr>
          </w:p>
        </w:tc>
        <w:tc>
          <w:tcPr>
            <w:tcW w:w="1069" w:type="dxa"/>
          </w:tcPr>
          <w:p>
            <w:pPr>
              <w:pStyle w:val="19"/>
              <w:spacing w:before="29"/>
              <w:ind w:left="171" w:right="163"/>
              <w:rPr>
                <w:color w:val="0000FF"/>
                <w:sz w:val="21"/>
              </w:rPr>
            </w:pPr>
            <w:r>
              <w:rPr>
                <w:color w:val="0000FF"/>
                <w:sz w:val="21"/>
              </w:rPr>
              <w:t>夜间</w:t>
            </w:r>
          </w:p>
        </w:tc>
        <w:tc>
          <w:tcPr>
            <w:tcW w:w="1099" w:type="dxa"/>
          </w:tcPr>
          <w:p>
            <w:pPr>
              <w:pStyle w:val="19"/>
              <w:spacing w:before="43"/>
              <w:ind w:left="104" w:right="98"/>
              <w:rPr>
                <w:rFonts w:ascii="Times New Roman"/>
                <w:color w:val="0000FF"/>
                <w:sz w:val="21"/>
              </w:rPr>
            </w:pPr>
            <w:r>
              <w:rPr>
                <w:rFonts w:ascii="Times New Roman"/>
                <w:color w:val="0000FF"/>
                <w:sz w:val="21"/>
              </w:rPr>
              <w:t>50</w:t>
            </w:r>
          </w:p>
        </w:tc>
      </w:tr>
    </w:tbl>
    <w:p>
      <w:pPr>
        <w:pStyle w:val="7"/>
        <w:spacing w:before="7"/>
        <w:ind w:left="0"/>
        <w:rPr>
          <w:b/>
          <w:color w:val="0000FF"/>
          <w:sz w:val="18"/>
        </w:rPr>
      </w:pPr>
    </w:p>
    <w:p>
      <w:pPr>
        <w:pStyle w:val="18"/>
        <w:numPr>
          <w:ilvl w:val="0"/>
          <w:numId w:val="13"/>
        </w:numPr>
        <w:tabs>
          <w:tab w:val="left" w:pos="1621"/>
        </w:tabs>
        <w:spacing w:before="0" w:after="0" w:line="240" w:lineRule="auto"/>
        <w:ind w:left="1621" w:right="0" w:hanging="601"/>
        <w:jc w:val="left"/>
        <w:rPr>
          <w:color w:val="0000FF"/>
          <w:sz w:val="24"/>
        </w:rPr>
      </w:pPr>
      <w:r>
        <w:rPr>
          <w:color w:val="0000FF"/>
          <w:sz w:val="24"/>
        </w:rPr>
        <w:t>固体废物</w:t>
      </w:r>
    </w:p>
    <w:p>
      <w:pPr>
        <w:pStyle w:val="7"/>
        <w:spacing w:before="160"/>
        <w:ind w:left="1020"/>
        <w:jc w:val="both"/>
        <w:rPr>
          <w:color w:val="0000FF"/>
        </w:rPr>
      </w:pPr>
      <w:r>
        <w:rPr>
          <w:color w:val="0000FF"/>
        </w:rPr>
        <w:t>①施工期</w:t>
      </w:r>
    </w:p>
    <w:p>
      <w:pPr>
        <w:pStyle w:val="7"/>
        <w:spacing w:before="161" w:line="364" w:lineRule="auto"/>
        <w:ind w:right="455" w:firstLine="480"/>
        <w:jc w:val="both"/>
        <w:rPr>
          <w:color w:val="0000FF"/>
        </w:rPr>
      </w:pPr>
      <w:r>
        <w:rPr>
          <w:color w:val="0000FF"/>
          <w:spacing w:val="-5"/>
        </w:rPr>
        <w:t>施工期一般工业固体废物在场区贮储存执行《一般工业固体废物贮存、处置</w:t>
      </w:r>
      <w:r>
        <w:rPr>
          <w:color w:val="0000FF"/>
          <w:spacing w:val="-7"/>
        </w:rPr>
        <w:t>场污染控制标准》</w:t>
      </w:r>
      <w:r>
        <w:rPr>
          <w:color w:val="0000FF"/>
        </w:rPr>
        <w:t>（</w:t>
      </w:r>
      <w:r>
        <w:rPr>
          <w:rFonts w:ascii="Times New Roman" w:eastAsia="Times New Roman"/>
          <w:color w:val="0000FF"/>
        </w:rPr>
        <w:t>GB18599-2001</w:t>
      </w:r>
      <w:r>
        <w:rPr>
          <w:color w:val="0000FF"/>
        </w:rPr>
        <w:t>）</w:t>
      </w:r>
      <w:r>
        <w:rPr>
          <w:color w:val="0000FF"/>
          <w:spacing w:val="-3"/>
        </w:rPr>
        <w:t>及《关于发布</w:t>
      </w:r>
      <w:r>
        <w:rPr>
          <w:rFonts w:ascii="Times New Roman" w:eastAsia="Times New Roman"/>
          <w:color w:val="0000FF"/>
        </w:rPr>
        <w:t>&lt;</w:t>
      </w:r>
      <w:r>
        <w:rPr>
          <w:color w:val="0000FF"/>
          <w:spacing w:val="-1"/>
        </w:rPr>
        <w:t>一般工业固体废物贮存、处置场污染控制标准</w:t>
      </w:r>
      <w:r>
        <w:rPr>
          <w:rFonts w:ascii="Times New Roman" w:eastAsia="Times New Roman"/>
          <w:color w:val="0000FF"/>
          <w:spacing w:val="-11"/>
        </w:rPr>
        <w:t>&gt;</w:t>
      </w:r>
      <w:r>
        <w:rPr>
          <w:color w:val="0000FF"/>
          <w:spacing w:val="-11"/>
        </w:rPr>
        <w:t>（</w:t>
      </w:r>
      <w:r>
        <w:rPr>
          <w:rFonts w:ascii="Times New Roman" w:eastAsia="Times New Roman"/>
          <w:color w:val="0000FF"/>
          <w:spacing w:val="-11"/>
        </w:rPr>
        <w:t>GB18599-2001</w:t>
      </w:r>
      <w:r>
        <w:rPr>
          <w:color w:val="0000FF"/>
          <w:spacing w:val="-11"/>
        </w:rPr>
        <w:t>）</w:t>
      </w:r>
      <w:r>
        <w:rPr>
          <w:color w:val="0000FF"/>
          <w:spacing w:val="-30"/>
        </w:rPr>
        <w:t>等</w:t>
      </w:r>
      <w:r>
        <w:rPr>
          <w:rFonts w:ascii="Times New Roman" w:eastAsia="Times New Roman"/>
          <w:color w:val="0000FF"/>
        </w:rPr>
        <w:t>3</w:t>
      </w:r>
      <w:r>
        <w:rPr>
          <w:color w:val="0000FF"/>
          <w:spacing w:val="-1"/>
        </w:rPr>
        <w:t>项国家污染物控制标准修改单的公告》</w:t>
      </w:r>
    </w:p>
    <w:p>
      <w:pPr>
        <w:pStyle w:val="7"/>
        <w:spacing w:before="2"/>
        <w:jc w:val="both"/>
        <w:rPr>
          <w:color w:val="0000FF"/>
        </w:rPr>
      </w:pPr>
      <w:r>
        <w:rPr>
          <w:color w:val="0000FF"/>
        </w:rPr>
        <w:t>（环境保护部</w:t>
      </w:r>
      <w:r>
        <w:rPr>
          <w:rFonts w:ascii="Times New Roman" w:eastAsia="Times New Roman"/>
          <w:color w:val="0000FF"/>
        </w:rPr>
        <w:t>2013</w:t>
      </w:r>
      <w:r>
        <w:rPr>
          <w:color w:val="0000FF"/>
        </w:rPr>
        <w:t>年第</w:t>
      </w:r>
      <w:r>
        <w:rPr>
          <w:rFonts w:ascii="Times New Roman" w:eastAsia="Times New Roman"/>
          <w:color w:val="0000FF"/>
        </w:rPr>
        <w:t>36</w:t>
      </w:r>
      <w:r>
        <w:rPr>
          <w:color w:val="0000FF"/>
        </w:rPr>
        <w:t>号公告）中的相关规定。</w:t>
      </w:r>
    </w:p>
    <w:p>
      <w:pPr>
        <w:pStyle w:val="7"/>
        <w:spacing w:before="160"/>
        <w:ind w:left="1020"/>
        <w:rPr>
          <w:color w:val="0000FF"/>
        </w:rPr>
      </w:pPr>
      <w:r>
        <w:rPr>
          <w:color w:val="0000FF"/>
        </w:rPr>
        <w:t>②运营期</w:t>
      </w:r>
    </w:p>
    <w:p>
      <w:pPr>
        <w:pStyle w:val="7"/>
        <w:spacing w:before="161" w:line="364" w:lineRule="auto"/>
        <w:ind w:right="577" w:firstLine="480"/>
        <w:rPr>
          <w:color w:val="0000FF"/>
        </w:rPr>
      </w:pPr>
      <w:r>
        <w:rPr>
          <w:color w:val="0000FF"/>
          <w:spacing w:val="-6"/>
        </w:rPr>
        <w:t>本项目产生的固体废物主要为羊粪、病死羊及分娩物、医疗废物和生活垃圾</w:t>
      </w:r>
      <w:r>
        <w:rPr>
          <w:color w:val="0000FF"/>
        </w:rPr>
        <w:t>等。</w:t>
      </w:r>
    </w:p>
    <w:p>
      <w:pPr>
        <w:pStyle w:val="7"/>
        <w:bidi w:val="0"/>
        <w:jc w:val="center"/>
        <w:rPr>
          <w:b w:val="0"/>
          <w:bCs w:val="0"/>
          <w:color w:val="0000FF"/>
        </w:rPr>
      </w:pPr>
      <w:r>
        <w:rPr>
          <w:b w:val="0"/>
          <w:bCs w:val="0"/>
          <w:color w:val="0000FF"/>
          <w:spacing w:val="-5"/>
        </w:rPr>
        <w:t>羊粪、粪渣：《畜禽养殖业污染物排放标准》</w:t>
      </w:r>
      <w:r>
        <w:rPr>
          <w:b w:val="0"/>
          <w:bCs w:val="0"/>
          <w:color w:val="0000FF"/>
        </w:rPr>
        <w:t>（</w:t>
      </w:r>
      <w:r>
        <w:rPr>
          <w:rFonts w:ascii="Times New Roman" w:hAnsi="Times New Roman" w:eastAsia="Times New Roman"/>
          <w:b w:val="0"/>
          <w:bCs w:val="0"/>
          <w:color w:val="0000FF"/>
        </w:rPr>
        <w:t>GB18596-2001</w:t>
      </w:r>
      <w:r>
        <w:rPr>
          <w:b w:val="0"/>
          <w:bCs w:val="0"/>
          <w:color w:val="0000FF"/>
        </w:rPr>
        <w:t>）</w:t>
      </w:r>
      <w:r>
        <w:rPr>
          <w:b w:val="0"/>
          <w:bCs w:val="0"/>
          <w:color w:val="0000FF"/>
          <w:spacing w:val="-5"/>
        </w:rPr>
        <w:t>中规定</w:t>
      </w:r>
      <w:r>
        <w:rPr>
          <w:b w:val="0"/>
          <w:bCs w:val="0"/>
          <w:color w:val="0000FF"/>
          <w:spacing w:val="-7"/>
        </w:rPr>
        <w:t>用于直接还田的畜禽粪便，必须进行无害化处理。经无害化处理后的废渣应符合</w:t>
      </w:r>
      <w:r>
        <w:rPr>
          <w:b w:val="0"/>
          <w:bCs w:val="0"/>
          <w:color w:val="0000FF"/>
          <w:spacing w:val="-30"/>
        </w:rPr>
        <w:t>表</w:t>
      </w:r>
      <w:r>
        <w:rPr>
          <w:rFonts w:ascii="Times New Roman" w:hAnsi="Times New Roman" w:eastAsia="Times New Roman"/>
          <w:b w:val="0"/>
          <w:bCs w:val="0"/>
          <w:color w:val="0000FF"/>
        </w:rPr>
        <w:t>2.4-9</w:t>
      </w:r>
      <w:r>
        <w:rPr>
          <w:b w:val="0"/>
          <w:bCs w:val="0"/>
          <w:color w:val="0000FF"/>
        </w:rPr>
        <w:t>的规定。</w:t>
      </w:r>
    </w:p>
    <w:p>
      <w:pPr>
        <w:pStyle w:val="7"/>
        <w:bidi w:val="0"/>
        <w:jc w:val="center"/>
        <w:rPr>
          <w:color w:val="0000FF"/>
        </w:rPr>
      </w:pPr>
      <w:r>
        <w:rPr>
          <w:color w:val="0000FF"/>
        </w:rPr>
        <w:t>表</w:t>
      </w:r>
      <w:r>
        <w:rPr>
          <w:rFonts w:ascii="Times New Roman" w:eastAsia="Times New Roman"/>
          <w:color w:val="0000FF"/>
        </w:rPr>
        <w:t>2.4-</w:t>
      </w:r>
      <w:r>
        <w:rPr>
          <w:rFonts w:hint="eastAsia" w:ascii="Times New Roman" w:eastAsia="宋体"/>
          <w:color w:val="0000FF"/>
          <w:lang w:val="en-US" w:eastAsia="zh-CN"/>
        </w:rPr>
        <w:t>8</w:t>
      </w:r>
      <w:r>
        <w:rPr>
          <w:rFonts w:ascii="Times New Roman" w:eastAsia="Times New Roman"/>
          <w:color w:val="0000FF"/>
        </w:rPr>
        <w:tab/>
      </w:r>
      <w:r>
        <w:rPr>
          <w:color w:val="0000FF"/>
        </w:rPr>
        <w:t>畜禽养殖业废渣无害化环境标准</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6"/>
        <w:gridCol w:w="3750"/>
        <w:gridCol w:w="3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6" w:type="dxa"/>
          </w:tcPr>
          <w:p>
            <w:pPr>
              <w:pStyle w:val="19"/>
              <w:spacing w:before="33"/>
              <w:ind w:left="234" w:right="225"/>
              <w:rPr>
                <w:b/>
                <w:sz w:val="21"/>
              </w:rPr>
            </w:pPr>
            <w:r>
              <w:rPr>
                <w:b/>
                <w:sz w:val="21"/>
              </w:rPr>
              <w:t>序号</w:t>
            </w:r>
          </w:p>
        </w:tc>
        <w:tc>
          <w:tcPr>
            <w:tcW w:w="3750" w:type="dxa"/>
          </w:tcPr>
          <w:p>
            <w:pPr>
              <w:pStyle w:val="19"/>
              <w:spacing w:before="33"/>
              <w:ind w:left="1224" w:right="1214"/>
              <w:rPr>
                <w:b/>
                <w:sz w:val="21"/>
              </w:rPr>
            </w:pPr>
            <w:r>
              <w:rPr>
                <w:b/>
                <w:sz w:val="21"/>
              </w:rPr>
              <w:t>控制项目</w:t>
            </w:r>
          </w:p>
        </w:tc>
        <w:tc>
          <w:tcPr>
            <w:tcW w:w="3416" w:type="dxa"/>
          </w:tcPr>
          <w:p>
            <w:pPr>
              <w:pStyle w:val="19"/>
              <w:spacing w:before="33"/>
              <w:ind w:left="1075" w:right="1064"/>
              <w:rPr>
                <w:b/>
                <w:sz w:val="21"/>
              </w:rPr>
            </w:pPr>
            <w:r>
              <w:rPr>
                <w:b/>
                <w:sz w:val="21"/>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6" w:type="dxa"/>
          </w:tcPr>
          <w:p>
            <w:pPr>
              <w:pStyle w:val="19"/>
              <w:spacing w:before="50"/>
              <w:ind w:left="6"/>
              <w:rPr>
                <w:rFonts w:ascii="Times New Roman"/>
                <w:sz w:val="21"/>
              </w:rPr>
            </w:pPr>
            <w:r>
              <w:rPr>
                <w:rFonts w:ascii="Times New Roman"/>
                <w:w w:val="99"/>
                <w:sz w:val="21"/>
              </w:rPr>
              <w:t>1</w:t>
            </w:r>
          </w:p>
        </w:tc>
        <w:tc>
          <w:tcPr>
            <w:tcW w:w="3750" w:type="dxa"/>
          </w:tcPr>
          <w:p>
            <w:pPr>
              <w:pStyle w:val="19"/>
              <w:spacing w:before="33"/>
              <w:ind w:left="1224" w:right="1216"/>
              <w:rPr>
                <w:sz w:val="21"/>
              </w:rPr>
            </w:pPr>
            <w:r>
              <w:rPr>
                <w:sz w:val="21"/>
              </w:rPr>
              <w:t>蛔虫卵</w:t>
            </w:r>
          </w:p>
        </w:tc>
        <w:tc>
          <w:tcPr>
            <w:tcW w:w="3416" w:type="dxa"/>
          </w:tcPr>
          <w:p>
            <w:pPr>
              <w:pStyle w:val="19"/>
              <w:spacing w:before="33"/>
              <w:ind w:left="1075" w:right="1065"/>
              <w:rPr>
                <w:rFonts w:ascii="Times New Roman" w:hAnsi="Times New Roman" w:eastAsia="Times New Roman"/>
                <w:sz w:val="21"/>
              </w:rPr>
            </w:pPr>
            <w:r>
              <w:rPr>
                <w:sz w:val="21"/>
              </w:rPr>
              <w:t>死亡率≥</w:t>
            </w:r>
            <w:r>
              <w:rPr>
                <w:rFonts w:ascii="Times New Roman" w:hAnsi="Times New Roman" w:eastAsia="Times New Roman"/>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6" w:type="dxa"/>
          </w:tcPr>
          <w:p>
            <w:pPr>
              <w:pStyle w:val="19"/>
              <w:spacing w:before="48"/>
              <w:ind w:left="6"/>
              <w:rPr>
                <w:rFonts w:ascii="Times New Roman"/>
                <w:sz w:val="21"/>
              </w:rPr>
            </w:pPr>
            <w:r>
              <w:rPr>
                <w:rFonts w:ascii="Times New Roman"/>
                <w:w w:val="99"/>
                <w:sz w:val="21"/>
              </w:rPr>
              <w:t>2</w:t>
            </w:r>
          </w:p>
        </w:tc>
        <w:tc>
          <w:tcPr>
            <w:tcW w:w="3750" w:type="dxa"/>
          </w:tcPr>
          <w:p>
            <w:pPr>
              <w:pStyle w:val="19"/>
              <w:spacing w:before="34"/>
              <w:ind w:left="1224" w:right="1216"/>
              <w:rPr>
                <w:sz w:val="21"/>
              </w:rPr>
            </w:pPr>
            <w:r>
              <w:rPr>
                <w:sz w:val="21"/>
              </w:rPr>
              <w:t>粪大肠菌群数</w:t>
            </w:r>
          </w:p>
        </w:tc>
        <w:tc>
          <w:tcPr>
            <w:tcW w:w="3416" w:type="dxa"/>
          </w:tcPr>
          <w:p>
            <w:pPr>
              <w:pStyle w:val="19"/>
              <w:spacing w:before="34"/>
              <w:ind w:left="1072" w:right="1065"/>
              <w:rPr>
                <w:rFonts w:ascii="Times New Roman" w:hAnsi="Times New Roman" w:eastAsia="Times New Roman"/>
                <w:sz w:val="21"/>
              </w:rPr>
            </w:pPr>
            <w:r>
              <w:rPr>
                <w:sz w:val="21"/>
              </w:rPr>
              <w:t>≤</w:t>
            </w:r>
            <w:r>
              <w:rPr>
                <w:rFonts w:ascii="Times New Roman" w:hAnsi="Times New Roman" w:eastAsia="Times New Roman"/>
                <w:sz w:val="21"/>
              </w:rPr>
              <w:t>10</w:t>
            </w:r>
            <w:r>
              <w:rPr>
                <w:rFonts w:ascii="Times New Roman" w:hAnsi="Times New Roman" w:eastAsia="Times New Roman"/>
                <w:position w:val="7"/>
                <w:sz w:val="13"/>
              </w:rPr>
              <w:t>5</w:t>
            </w:r>
            <w:r>
              <w:rPr>
                <w:sz w:val="21"/>
              </w:rPr>
              <w:t>个</w:t>
            </w:r>
            <w:r>
              <w:rPr>
                <w:rFonts w:ascii="Times New Roman" w:hAnsi="Times New Roman" w:eastAsia="Times New Roman"/>
                <w:sz w:val="21"/>
              </w:rPr>
              <w:t>/kg</w:t>
            </w:r>
          </w:p>
        </w:tc>
      </w:tr>
    </w:tbl>
    <w:p>
      <w:pPr>
        <w:pStyle w:val="7"/>
        <w:spacing w:before="81" w:line="364" w:lineRule="auto"/>
        <w:ind w:right="457" w:firstLine="480"/>
        <w:jc w:val="both"/>
        <w:rPr>
          <w:color w:val="0000FF"/>
        </w:rPr>
      </w:pPr>
      <w:r>
        <w:rPr>
          <w:color w:val="0000FF"/>
        </w:rPr>
        <w:t>《畜禽养殖业污染防治技术规范》（</w:t>
      </w:r>
      <w:r>
        <w:rPr>
          <w:rFonts w:ascii="Times New Roman" w:eastAsia="Times New Roman"/>
          <w:color w:val="0000FF"/>
        </w:rPr>
        <w:t>HJ/T81-2001</w:t>
      </w:r>
      <w:r>
        <w:rPr>
          <w:color w:val="0000FF"/>
        </w:rPr>
        <w:t>）中规定畜禽粪便必须经</w:t>
      </w:r>
      <w:r>
        <w:rPr>
          <w:color w:val="0000FF"/>
          <w:spacing w:val="-3"/>
        </w:rPr>
        <w:t>过无害化处理，并且须符合《粪便无害化卫生要求》</w:t>
      </w:r>
      <w:r>
        <w:rPr>
          <w:color w:val="0000FF"/>
        </w:rPr>
        <w:t>（</w:t>
      </w:r>
      <w:r>
        <w:rPr>
          <w:rFonts w:ascii="Times New Roman" w:eastAsia="Times New Roman"/>
          <w:color w:val="0000FF"/>
        </w:rPr>
        <w:t>GB7959-2012</w:t>
      </w:r>
      <w:r>
        <w:rPr>
          <w:color w:val="0000FF"/>
        </w:rPr>
        <w:t>）</w:t>
      </w:r>
      <w:r>
        <w:rPr>
          <w:color w:val="0000FF"/>
          <w:spacing w:val="-2"/>
        </w:rPr>
        <w:t>后，才能</w:t>
      </w:r>
      <w:r>
        <w:rPr>
          <w:color w:val="0000FF"/>
          <w:spacing w:val="-9"/>
        </w:rPr>
        <w:t>进行土地利用，禁止未经处理的畜禽粪便直接施入农田</w:t>
      </w:r>
      <w:r>
        <w:rPr>
          <w:color w:val="0000FF"/>
          <w:spacing w:val="-16"/>
        </w:rPr>
        <w:t>，《粪便无害化卫生要求》</w:t>
      </w:r>
    </w:p>
    <w:p>
      <w:pPr>
        <w:pStyle w:val="7"/>
        <w:spacing w:before="2"/>
        <w:rPr>
          <w:color w:val="0000FF"/>
        </w:rPr>
      </w:pPr>
      <w:r>
        <w:rPr>
          <w:color w:val="0000FF"/>
        </w:rPr>
        <w:t>（</w:t>
      </w:r>
      <w:r>
        <w:rPr>
          <w:rFonts w:ascii="Times New Roman" w:eastAsia="Times New Roman"/>
          <w:color w:val="0000FF"/>
        </w:rPr>
        <w:t>GB7959-2012</w:t>
      </w:r>
      <w:r>
        <w:rPr>
          <w:color w:val="0000FF"/>
        </w:rPr>
        <w:t>）中的有关规定具体见表</w:t>
      </w:r>
      <w:r>
        <w:rPr>
          <w:rFonts w:ascii="Times New Roman" w:eastAsia="Times New Roman"/>
          <w:color w:val="0000FF"/>
        </w:rPr>
        <w:t>2.4-</w:t>
      </w:r>
      <w:r>
        <w:rPr>
          <w:rFonts w:hint="eastAsia" w:ascii="Times New Roman" w:eastAsia="宋体"/>
          <w:color w:val="0000FF"/>
          <w:lang w:val="en-US" w:eastAsia="zh-CN"/>
        </w:rPr>
        <w:t>9</w:t>
      </w:r>
      <w:r>
        <w:rPr>
          <w:color w:val="0000FF"/>
        </w:rPr>
        <w:t>。</w:t>
      </w:r>
    </w:p>
    <w:p>
      <w:pPr>
        <w:pStyle w:val="7"/>
        <w:spacing w:before="6"/>
        <w:ind w:left="0"/>
        <w:rPr>
          <w:color w:val="0000FF"/>
          <w:sz w:val="18"/>
        </w:rPr>
      </w:pPr>
    </w:p>
    <w:p>
      <w:pPr>
        <w:pStyle w:val="7"/>
        <w:bidi w:val="0"/>
        <w:jc w:val="center"/>
        <w:rPr>
          <w:color w:val="0000FF"/>
        </w:rPr>
      </w:pPr>
      <w:r>
        <w:rPr>
          <w:color w:val="0000FF"/>
        </w:rPr>
        <w:t>表</w:t>
      </w:r>
      <w:r>
        <w:rPr>
          <w:rFonts w:ascii="Times New Roman" w:eastAsia="Times New Roman"/>
          <w:color w:val="0000FF"/>
        </w:rPr>
        <w:t>2.4-</w:t>
      </w:r>
      <w:r>
        <w:rPr>
          <w:rFonts w:hint="eastAsia" w:ascii="Times New Roman" w:eastAsia="宋体"/>
          <w:color w:val="0000FF"/>
          <w:lang w:val="en-US" w:eastAsia="zh-CN"/>
        </w:rPr>
        <w:t>9</w:t>
      </w:r>
      <w:r>
        <w:rPr>
          <w:rFonts w:ascii="Times New Roman" w:eastAsia="Times New Roman"/>
          <w:color w:val="0000FF"/>
        </w:rPr>
        <w:tab/>
      </w:r>
      <w:r>
        <w:rPr>
          <w:color w:val="0000FF"/>
        </w:rPr>
        <w:t>好氧发酵（高温堆肥）的卫生要求</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8"/>
        <w:gridCol w:w="1819"/>
        <w:gridCol w:w="2861"/>
        <w:gridCol w:w="2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tcPr>
          <w:p>
            <w:pPr>
              <w:pStyle w:val="19"/>
              <w:spacing w:before="34"/>
              <w:ind w:left="257" w:right="249"/>
              <w:rPr>
                <w:b/>
                <w:color w:val="0000FF"/>
                <w:sz w:val="21"/>
              </w:rPr>
            </w:pPr>
            <w:r>
              <w:rPr>
                <w:b/>
                <w:color w:val="0000FF"/>
                <w:sz w:val="21"/>
              </w:rPr>
              <w:t>序号</w:t>
            </w:r>
          </w:p>
        </w:tc>
        <w:tc>
          <w:tcPr>
            <w:tcW w:w="1819" w:type="dxa"/>
          </w:tcPr>
          <w:p>
            <w:pPr>
              <w:pStyle w:val="19"/>
              <w:spacing w:before="34"/>
              <w:ind w:left="256" w:right="247"/>
              <w:rPr>
                <w:b/>
                <w:color w:val="0000FF"/>
                <w:sz w:val="21"/>
              </w:rPr>
            </w:pPr>
            <w:r>
              <w:rPr>
                <w:b/>
                <w:color w:val="0000FF"/>
                <w:sz w:val="21"/>
              </w:rPr>
              <w:t>项目</w:t>
            </w:r>
          </w:p>
        </w:tc>
        <w:tc>
          <w:tcPr>
            <w:tcW w:w="5725" w:type="dxa"/>
            <w:gridSpan w:val="2"/>
          </w:tcPr>
          <w:p>
            <w:pPr>
              <w:pStyle w:val="19"/>
              <w:spacing w:before="34"/>
              <w:ind w:left="2420" w:right="2409"/>
              <w:rPr>
                <w:b/>
                <w:color w:val="0000FF"/>
                <w:sz w:val="21"/>
              </w:rPr>
            </w:pPr>
            <w:r>
              <w:rPr>
                <w:b/>
                <w:color w:val="0000FF"/>
                <w:sz w:val="21"/>
              </w:rPr>
              <w:t>卫生要求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vMerge w:val="restart"/>
          </w:tcPr>
          <w:p>
            <w:pPr>
              <w:pStyle w:val="19"/>
              <w:spacing w:before="1"/>
              <w:jc w:val="left"/>
              <w:rPr>
                <w:b/>
                <w:color w:val="0000FF"/>
                <w:sz w:val="31"/>
              </w:rPr>
            </w:pPr>
          </w:p>
          <w:p>
            <w:pPr>
              <w:pStyle w:val="19"/>
              <w:ind w:left="9"/>
              <w:rPr>
                <w:rFonts w:ascii="Times New Roman"/>
                <w:color w:val="0000FF"/>
                <w:sz w:val="21"/>
              </w:rPr>
            </w:pPr>
            <w:r>
              <w:rPr>
                <w:rFonts w:ascii="Times New Roman"/>
                <w:color w:val="0000FF"/>
                <w:w w:val="99"/>
                <w:sz w:val="21"/>
              </w:rPr>
              <w:t>1</w:t>
            </w:r>
          </w:p>
        </w:tc>
        <w:tc>
          <w:tcPr>
            <w:tcW w:w="1819" w:type="dxa"/>
            <w:vMerge w:val="restart"/>
          </w:tcPr>
          <w:p>
            <w:pPr>
              <w:pStyle w:val="19"/>
              <w:jc w:val="left"/>
              <w:rPr>
                <w:b/>
                <w:color w:val="0000FF"/>
                <w:sz w:val="20"/>
              </w:rPr>
            </w:pPr>
          </w:p>
          <w:p>
            <w:pPr>
              <w:pStyle w:val="19"/>
              <w:spacing w:before="128"/>
              <w:ind w:left="173"/>
              <w:jc w:val="left"/>
              <w:rPr>
                <w:color w:val="0000FF"/>
                <w:sz w:val="21"/>
              </w:rPr>
            </w:pPr>
            <w:r>
              <w:rPr>
                <w:color w:val="0000FF"/>
                <w:sz w:val="21"/>
              </w:rPr>
              <w:t>温度与持续时间</w:t>
            </w:r>
          </w:p>
        </w:tc>
        <w:tc>
          <w:tcPr>
            <w:tcW w:w="2861" w:type="dxa"/>
            <w:vMerge w:val="restart"/>
          </w:tcPr>
          <w:p>
            <w:pPr>
              <w:pStyle w:val="19"/>
              <w:spacing w:before="4"/>
              <w:jc w:val="left"/>
              <w:rPr>
                <w:b/>
                <w:color w:val="0000FF"/>
                <w:sz w:val="16"/>
              </w:rPr>
            </w:pPr>
          </w:p>
          <w:p>
            <w:pPr>
              <w:pStyle w:val="19"/>
              <w:ind w:left="1199" w:right="1192"/>
              <w:rPr>
                <w:color w:val="0000FF"/>
                <w:sz w:val="21"/>
              </w:rPr>
            </w:pPr>
            <w:r>
              <w:rPr>
                <w:color w:val="0000FF"/>
                <w:sz w:val="21"/>
              </w:rPr>
              <w:t>人工</w:t>
            </w:r>
          </w:p>
        </w:tc>
        <w:tc>
          <w:tcPr>
            <w:tcW w:w="2864" w:type="dxa"/>
          </w:tcPr>
          <w:p>
            <w:pPr>
              <w:pStyle w:val="19"/>
              <w:spacing w:before="34"/>
              <w:ind w:right="185"/>
              <w:jc w:val="right"/>
              <w:rPr>
                <w:rFonts w:ascii="Times New Roman" w:hAnsi="Times New Roman" w:eastAsia="Times New Roman"/>
                <w:color w:val="0000FF"/>
                <w:sz w:val="21"/>
              </w:rPr>
            </w:pPr>
            <w:r>
              <w:rPr>
                <w:color w:val="0000FF"/>
                <w:sz w:val="21"/>
              </w:rPr>
              <w:t>堆温≥</w:t>
            </w:r>
            <w:r>
              <w:rPr>
                <w:rFonts w:ascii="Times New Roman" w:hAnsi="Times New Roman" w:eastAsia="Times New Roman"/>
                <w:color w:val="0000FF"/>
                <w:sz w:val="21"/>
              </w:rPr>
              <w:t>50</w:t>
            </w:r>
            <w:r>
              <w:rPr>
                <w:color w:val="0000FF"/>
                <w:sz w:val="21"/>
              </w:rPr>
              <w:t>℃，至少持续</w:t>
            </w:r>
            <w:r>
              <w:rPr>
                <w:rFonts w:ascii="Times New Roman" w:hAnsi="Times New Roman" w:eastAsia="Times New Roman"/>
                <w:color w:val="0000FF"/>
                <w:sz w:val="21"/>
              </w:rPr>
              <w:t>10d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vMerge w:val="continue"/>
            <w:tcBorders>
              <w:top w:val="nil"/>
            </w:tcBorders>
          </w:tcPr>
          <w:p>
            <w:pPr>
              <w:rPr>
                <w:color w:val="0000FF"/>
                <w:sz w:val="2"/>
                <w:szCs w:val="2"/>
              </w:rPr>
            </w:pPr>
          </w:p>
        </w:tc>
        <w:tc>
          <w:tcPr>
            <w:tcW w:w="1819" w:type="dxa"/>
            <w:vMerge w:val="continue"/>
            <w:tcBorders>
              <w:top w:val="nil"/>
            </w:tcBorders>
          </w:tcPr>
          <w:p>
            <w:pPr>
              <w:rPr>
                <w:color w:val="0000FF"/>
                <w:sz w:val="2"/>
                <w:szCs w:val="2"/>
              </w:rPr>
            </w:pPr>
          </w:p>
        </w:tc>
        <w:tc>
          <w:tcPr>
            <w:tcW w:w="2861" w:type="dxa"/>
            <w:vMerge w:val="continue"/>
            <w:tcBorders>
              <w:top w:val="nil"/>
            </w:tcBorders>
          </w:tcPr>
          <w:p>
            <w:pPr>
              <w:rPr>
                <w:color w:val="0000FF"/>
                <w:sz w:val="2"/>
                <w:szCs w:val="2"/>
              </w:rPr>
            </w:pPr>
          </w:p>
        </w:tc>
        <w:tc>
          <w:tcPr>
            <w:tcW w:w="2864" w:type="dxa"/>
          </w:tcPr>
          <w:p>
            <w:pPr>
              <w:pStyle w:val="19"/>
              <w:spacing w:before="34"/>
              <w:ind w:right="238"/>
              <w:jc w:val="right"/>
              <w:rPr>
                <w:rFonts w:ascii="Times New Roman" w:hAnsi="Times New Roman" w:eastAsia="Times New Roman"/>
                <w:color w:val="0000FF"/>
                <w:sz w:val="21"/>
              </w:rPr>
            </w:pPr>
            <w:r>
              <w:rPr>
                <w:color w:val="0000FF"/>
                <w:sz w:val="21"/>
              </w:rPr>
              <w:t>堆温≥</w:t>
            </w:r>
            <w:r>
              <w:rPr>
                <w:rFonts w:ascii="Times New Roman" w:hAnsi="Times New Roman" w:eastAsia="Times New Roman"/>
                <w:color w:val="0000FF"/>
                <w:sz w:val="21"/>
              </w:rPr>
              <w:t>60</w:t>
            </w:r>
            <w:r>
              <w:rPr>
                <w:color w:val="0000FF"/>
                <w:sz w:val="21"/>
              </w:rPr>
              <w:t>℃，至少持续</w:t>
            </w:r>
            <w:r>
              <w:rPr>
                <w:rFonts w:ascii="Times New Roman" w:hAnsi="Times New Roman" w:eastAsia="Times New Roman"/>
                <w:color w:val="0000FF"/>
                <w:sz w:val="21"/>
              </w:rPr>
              <w:t>5d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vMerge w:val="continue"/>
            <w:tcBorders>
              <w:top w:val="nil"/>
            </w:tcBorders>
          </w:tcPr>
          <w:p>
            <w:pPr>
              <w:rPr>
                <w:color w:val="0000FF"/>
                <w:sz w:val="2"/>
                <w:szCs w:val="2"/>
              </w:rPr>
            </w:pPr>
          </w:p>
        </w:tc>
        <w:tc>
          <w:tcPr>
            <w:tcW w:w="1819" w:type="dxa"/>
            <w:vMerge w:val="continue"/>
            <w:tcBorders>
              <w:top w:val="nil"/>
            </w:tcBorders>
          </w:tcPr>
          <w:p>
            <w:pPr>
              <w:rPr>
                <w:color w:val="0000FF"/>
                <w:sz w:val="2"/>
                <w:szCs w:val="2"/>
              </w:rPr>
            </w:pPr>
          </w:p>
        </w:tc>
        <w:tc>
          <w:tcPr>
            <w:tcW w:w="2861" w:type="dxa"/>
          </w:tcPr>
          <w:p>
            <w:pPr>
              <w:pStyle w:val="19"/>
              <w:spacing w:before="35"/>
              <w:ind w:left="1199" w:right="1192"/>
              <w:rPr>
                <w:color w:val="0000FF"/>
                <w:sz w:val="21"/>
              </w:rPr>
            </w:pPr>
            <w:r>
              <w:rPr>
                <w:color w:val="0000FF"/>
                <w:sz w:val="21"/>
              </w:rPr>
              <w:t>机械</w:t>
            </w:r>
          </w:p>
        </w:tc>
        <w:tc>
          <w:tcPr>
            <w:tcW w:w="2864" w:type="dxa"/>
          </w:tcPr>
          <w:p>
            <w:pPr>
              <w:pStyle w:val="19"/>
              <w:spacing w:before="35"/>
              <w:ind w:right="238"/>
              <w:jc w:val="right"/>
              <w:rPr>
                <w:rFonts w:ascii="Times New Roman" w:hAnsi="Times New Roman" w:eastAsia="Times New Roman"/>
                <w:color w:val="0000FF"/>
                <w:sz w:val="21"/>
              </w:rPr>
            </w:pPr>
            <w:r>
              <w:rPr>
                <w:color w:val="0000FF"/>
                <w:sz w:val="21"/>
              </w:rPr>
              <w:t>堆温≥</w:t>
            </w:r>
            <w:r>
              <w:rPr>
                <w:rFonts w:ascii="Times New Roman" w:hAnsi="Times New Roman" w:eastAsia="Times New Roman"/>
                <w:color w:val="0000FF"/>
                <w:sz w:val="21"/>
              </w:rPr>
              <w:t>50</w:t>
            </w:r>
            <w:r>
              <w:rPr>
                <w:color w:val="0000FF"/>
                <w:sz w:val="21"/>
              </w:rPr>
              <w:t>℃，至少持续</w:t>
            </w:r>
            <w:r>
              <w:rPr>
                <w:rFonts w:ascii="Times New Roman" w:hAnsi="Times New Roman" w:eastAsia="Times New Roman"/>
                <w:color w:val="0000FF"/>
                <w:sz w:val="21"/>
              </w:rPr>
              <w:t>2d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978" w:type="dxa"/>
          </w:tcPr>
          <w:p>
            <w:pPr>
              <w:pStyle w:val="19"/>
              <w:spacing w:before="49"/>
              <w:ind w:left="9"/>
              <w:rPr>
                <w:rFonts w:ascii="Times New Roman"/>
                <w:color w:val="0000FF"/>
                <w:sz w:val="21"/>
              </w:rPr>
            </w:pPr>
            <w:r>
              <w:rPr>
                <w:rFonts w:ascii="Times New Roman"/>
                <w:color w:val="0000FF"/>
                <w:w w:val="99"/>
                <w:sz w:val="21"/>
              </w:rPr>
              <w:t>2</w:t>
            </w:r>
          </w:p>
        </w:tc>
        <w:tc>
          <w:tcPr>
            <w:tcW w:w="1819" w:type="dxa"/>
          </w:tcPr>
          <w:p>
            <w:pPr>
              <w:pStyle w:val="19"/>
              <w:spacing w:before="33"/>
              <w:ind w:left="256" w:right="249"/>
              <w:rPr>
                <w:color w:val="0000FF"/>
                <w:sz w:val="21"/>
              </w:rPr>
            </w:pPr>
            <w:r>
              <w:rPr>
                <w:color w:val="0000FF"/>
                <w:sz w:val="21"/>
              </w:rPr>
              <w:t>蛔虫卵死亡率</w:t>
            </w:r>
          </w:p>
        </w:tc>
        <w:tc>
          <w:tcPr>
            <w:tcW w:w="5725" w:type="dxa"/>
            <w:gridSpan w:val="2"/>
          </w:tcPr>
          <w:p>
            <w:pPr>
              <w:pStyle w:val="19"/>
              <w:spacing w:before="33"/>
              <w:ind w:left="2420" w:right="2410"/>
              <w:rPr>
                <w:rFonts w:ascii="Times New Roman" w:hAnsi="Times New Roman"/>
                <w:color w:val="0000FF"/>
                <w:sz w:val="21"/>
              </w:rPr>
            </w:pPr>
            <w:r>
              <w:rPr>
                <w:color w:val="0000FF"/>
                <w:sz w:val="21"/>
              </w:rPr>
              <w:t>≥</w:t>
            </w:r>
            <w:r>
              <w:rPr>
                <w:rFonts w:ascii="Times New Roman" w:hAnsi="Times New Roman"/>
                <w:color w:val="0000FF"/>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tcPr>
          <w:p>
            <w:pPr>
              <w:pStyle w:val="19"/>
              <w:spacing w:before="50"/>
              <w:ind w:left="9"/>
              <w:rPr>
                <w:rFonts w:ascii="Times New Roman"/>
                <w:color w:val="0000FF"/>
                <w:sz w:val="21"/>
              </w:rPr>
            </w:pPr>
            <w:r>
              <w:rPr>
                <w:rFonts w:ascii="Times New Roman"/>
                <w:color w:val="0000FF"/>
                <w:w w:val="99"/>
                <w:sz w:val="21"/>
              </w:rPr>
              <w:t>3</w:t>
            </w:r>
          </w:p>
        </w:tc>
        <w:tc>
          <w:tcPr>
            <w:tcW w:w="1819" w:type="dxa"/>
          </w:tcPr>
          <w:p>
            <w:pPr>
              <w:pStyle w:val="19"/>
              <w:spacing w:before="33"/>
              <w:ind w:left="256" w:right="251"/>
              <w:rPr>
                <w:color w:val="0000FF"/>
                <w:sz w:val="21"/>
              </w:rPr>
            </w:pPr>
            <w:r>
              <w:rPr>
                <w:color w:val="0000FF"/>
                <w:sz w:val="21"/>
              </w:rPr>
              <w:t>粪大肠菌值</w:t>
            </w:r>
          </w:p>
        </w:tc>
        <w:tc>
          <w:tcPr>
            <w:tcW w:w="5725" w:type="dxa"/>
            <w:gridSpan w:val="2"/>
          </w:tcPr>
          <w:p>
            <w:pPr>
              <w:pStyle w:val="19"/>
              <w:spacing w:before="33"/>
              <w:ind w:left="2417" w:right="2410"/>
              <w:rPr>
                <w:rFonts w:ascii="Times New Roman" w:hAnsi="Times New Roman"/>
                <w:color w:val="0000FF"/>
                <w:sz w:val="13"/>
              </w:rPr>
            </w:pPr>
            <w:r>
              <w:rPr>
                <w:color w:val="0000FF"/>
                <w:sz w:val="21"/>
              </w:rPr>
              <w:t>≥</w:t>
            </w:r>
            <w:r>
              <w:rPr>
                <w:rFonts w:ascii="Times New Roman" w:hAnsi="Times New Roman"/>
                <w:color w:val="0000FF"/>
                <w:sz w:val="21"/>
              </w:rPr>
              <w:t>10</w:t>
            </w:r>
            <w:r>
              <w:rPr>
                <w:rFonts w:ascii="Times New Roman" w:hAnsi="Times New Roman"/>
                <w:color w:val="0000FF"/>
                <w:position w:val="7"/>
                <w:sz w:val="13"/>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8" w:type="dxa"/>
          </w:tcPr>
          <w:p>
            <w:pPr>
              <w:pStyle w:val="19"/>
              <w:spacing w:before="48"/>
              <w:ind w:left="9"/>
              <w:rPr>
                <w:rFonts w:ascii="Times New Roman"/>
                <w:color w:val="0000FF"/>
                <w:sz w:val="21"/>
              </w:rPr>
            </w:pPr>
            <w:r>
              <w:rPr>
                <w:rFonts w:ascii="Times New Roman"/>
                <w:color w:val="0000FF"/>
                <w:w w:val="99"/>
                <w:sz w:val="21"/>
              </w:rPr>
              <w:t>4</w:t>
            </w:r>
          </w:p>
        </w:tc>
        <w:tc>
          <w:tcPr>
            <w:tcW w:w="1819" w:type="dxa"/>
          </w:tcPr>
          <w:p>
            <w:pPr>
              <w:pStyle w:val="19"/>
              <w:spacing w:before="34"/>
              <w:ind w:left="256" w:right="251"/>
              <w:rPr>
                <w:color w:val="0000FF"/>
                <w:sz w:val="21"/>
              </w:rPr>
            </w:pPr>
            <w:r>
              <w:rPr>
                <w:color w:val="0000FF"/>
                <w:sz w:val="21"/>
              </w:rPr>
              <w:t>沙门氏菌</w:t>
            </w:r>
          </w:p>
        </w:tc>
        <w:tc>
          <w:tcPr>
            <w:tcW w:w="5725" w:type="dxa"/>
            <w:gridSpan w:val="2"/>
          </w:tcPr>
          <w:p>
            <w:pPr>
              <w:pStyle w:val="19"/>
              <w:spacing w:before="34"/>
              <w:ind w:left="2416" w:right="2410"/>
              <w:rPr>
                <w:color w:val="0000FF"/>
                <w:sz w:val="21"/>
              </w:rPr>
            </w:pPr>
            <w:r>
              <w:rPr>
                <w:color w:val="0000FF"/>
                <w:sz w:val="21"/>
              </w:rPr>
              <w:t>不得检出</w:t>
            </w:r>
          </w:p>
        </w:tc>
      </w:tr>
    </w:tbl>
    <w:p>
      <w:pPr>
        <w:pStyle w:val="7"/>
        <w:spacing w:before="6"/>
        <w:ind w:left="0"/>
        <w:rPr>
          <w:b/>
          <w:color w:val="0000FF"/>
          <w:sz w:val="18"/>
        </w:rPr>
      </w:pPr>
    </w:p>
    <w:p>
      <w:pPr>
        <w:pStyle w:val="7"/>
        <w:spacing w:line="364" w:lineRule="auto"/>
        <w:ind w:right="524" w:firstLine="480"/>
        <w:jc w:val="both"/>
        <w:rPr>
          <w:color w:val="0000FF"/>
        </w:rPr>
      </w:pPr>
      <w:r>
        <w:rPr>
          <w:color w:val="0000FF"/>
        </w:rPr>
        <w:t>根据《畜禽粪便无害化处理技术规范》（</w:t>
      </w:r>
      <w:r>
        <w:rPr>
          <w:rFonts w:ascii="Times New Roman" w:eastAsia="Times New Roman"/>
          <w:color w:val="0000FF"/>
        </w:rPr>
        <w:t>GB/T36195-2018</w:t>
      </w:r>
      <w:r>
        <w:rPr>
          <w:color w:val="0000FF"/>
        </w:rPr>
        <w:t>）中固体畜禽粪便经过堆肥处理后应符合固体畜禽粪便堆肥处理卫生学要求，具体见表</w:t>
      </w:r>
      <w:r>
        <w:rPr>
          <w:rFonts w:ascii="Times New Roman" w:eastAsia="Times New Roman"/>
          <w:color w:val="0000FF"/>
        </w:rPr>
        <w:t>2.4-1</w:t>
      </w:r>
      <w:r>
        <w:rPr>
          <w:rFonts w:hint="eastAsia" w:ascii="Times New Roman" w:eastAsia="宋体"/>
          <w:color w:val="0000FF"/>
          <w:lang w:val="en-US" w:eastAsia="zh-CN"/>
        </w:rPr>
        <w:t>0</w:t>
      </w:r>
      <w:r>
        <w:rPr>
          <w:color w:val="0000FF"/>
        </w:rPr>
        <w:t>。</w:t>
      </w:r>
    </w:p>
    <w:p>
      <w:pPr>
        <w:pStyle w:val="7"/>
        <w:bidi w:val="0"/>
        <w:jc w:val="center"/>
        <w:rPr>
          <w:color w:val="0000FF"/>
        </w:rPr>
      </w:pPr>
      <w:r>
        <w:rPr>
          <w:color w:val="0000FF"/>
        </w:rPr>
        <w:t>表</w:t>
      </w:r>
      <w:r>
        <w:rPr>
          <w:rFonts w:ascii="Times New Roman" w:eastAsia="Times New Roman"/>
          <w:color w:val="0000FF"/>
          <w:spacing w:val="-3"/>
        </w:rPr>
        <w:t>2.4-1</w:t>
      </w:r>
      <w:r>
        <w:rPr>
          <w:rFonts w:hint="eastAsia" w:ascii="Times New Roman" w:eastAsia="宋体"/>
          <w:color w:val="0000FF"/>
          <w:spacing w:val="-3"/>
          <w:lang w:val="en-US" w:eastAsia="zh-CN"/>
        </w:rPr>
        <w:t>0</w:t>
      </w:r>
      <w:r>
        <w:rPr>
          <w:color w:val="0000FF"/>
        </w:rPr>
        <w:t>固体畜禽粪便堆肥处理卫生学要求</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7"/>
        <w:gridCol w:w="1819"/>
        <w:gridCol w:w="57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977" w:type="dxa"/>
          </w:tcPr>
          <w:p>
            <w:pPr>
              <w:pStyle w:val="19"/>
              <w:spacing w:before="34"/>
              <w:ind w:left="257" w:right="248"/>
              <w:rPr>
                <w:b/>
                <w:color w:val="0000FF"/>
                <w:sz w:val="21"/>
              </w:rPr>
            </w:pPr>
            <w:r>
              <w:rPr>
                <w:b/>
                <w:color w:val="0000FF"/>
                <w:sz w:val="21"/>
              </w:rPr>
              <w:t>序号</w:t>
            </w:r>
          </w:p>
        </w:tc>
        <w:tc>
          <w:tcPr>
            <w:tcW w:w="1819" w:type="dxa"/>
          </w:tcPr>
          <w:p>
            <w:pPr>
              <w:pStyle w:val="19"/>
              <w:spacing w:before="34"/>
              <w:ind w:left="256" w:right="249"/>
              <w:rPr>
                <w:b/>
                <w:color w:val="0000FF"/>
                <w:sz w:val="21"/>
              </w:rPr>
            </w:pPr>
            <w:r>
              <w:rPr>
                <w:b/>
                <w:color w:val="0000FF"/>
                <w:sz w:val="21"/>
              </w:rPr>
              <w:t>项目</w:t>
            </w:r>
          </w:p>
        </w:tc>
        <w:tc>
          <w:tcPr>
            <w:tcW w:w="5726" w:type="dxa"/>
          </w:tcPr>
          <w:p>
            <w:pPr>
              <w:pStyle w:val="19"/>
              <w:spacing w:before="34"/>
              <w:ind w:left="848" w:right="836"/>
              <w:rPr>
                <w:b/>
                <w:color w:val="0000FF"/>
                <w:sz w:val="21"/>
              </w:rPr>
            </w:pPr>
            <w:r>
              <w:rPr>
                <w:b/>
                <w:color w:val="0000FF"/>
                <w:sz w:val="21"/>
              </w:rPr>
              <w:t>卫生要求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7" w:type="dxa"/>
          </w:tcPr>
          <w:p>
            <w:pPr>
              <w:pStyle w:val="19"/>
              <w:spacing w:before="48"/>
              <w:ind w:left="10"/>
              <w:rPr>
                <w:rFonts w:ascii="Times New Roman"/>
                <w:color w:val="0000FF"/>
                <w:sz w:val="21"/>
              </w:rPr>
            </w:pPr>
            <w:r>
              <w:rPr>
                <w:rFonts w:ascii="Times New Roman"/>
                <w:color w:val="0000FF"/>
                <w:w w:val="99"/>
                <w:sz w:val="21"/>
              </w:rPr>
              <w:t>1</w:t>
            </w:r>
          </w:p>
        </w:tc>
        <w:tc>
          <w:tcPr>
            <w:tcW w:w="1819" w:type="dxa"/>
          </w:tcPr>
          <w:p>
            <w:pPr>
              <w:pStyle w:val="19"/>
              <w:spacing w:before="34"/>
              <w:ind w:left="256" w:right="247"/>
              <w:rPr>
                <w:color w:val="0000FF"/>
                <w:sz w:val="21"/>
              </w:rPr>
            </w:pPr>
            <w:r>
              <w:rPr>
                <w:color w:val="0000FF"/>
                <w:sz w:val="21"/>
              </w:rPr>
              <w:t>蛔虫卵</w:t>
            </w:r>
          </w:p>
        </w:tc>
        <w:tc>
          <w:tcPr>
            <w:tcW w:w="5726" w:type="dxa"/>
          </w:tcPr>
          <w:p>
            <w:pPr>
              <w:pStyle w:val="19"/>
              <w:spacing w:before="34"/>
              <w:ind w:left="848" w:right="837"/>
              <w:rPr>
                <w:rFonts w:ascii="Times New Roman" w:hAnsi="Times New Roman" w:eastAsia="Times New Roman"/>
                <w:color w:val="0000FF"/>
                <w:sz w:val="21"/>
              </w:rPr>
            </w:pPr>
            <w:r>
              <w:rPr>
                <w:color w:val="0000FF"/>
                <w:sz w:val="21"/>
              </w:rPr>
              <w:t>死亡率≥</w:t>
            </w:r>
            <w:r>
              <w:rPr>
                <w:rFonts w:ascii="Times New Roman" w:hAnsi="Times New Roman" w:eastAsia="Times New Roman"/>
                <w:color w:val="0000FF"/>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7" w:type="dxa"/>
          </w:tcPr>
          <w:p>
            <w:pPr>
              <w:pStyle w:val="19"/>
              <w:spacing w:before="48"/>
              <w:ind w:left="10"/>
              <w:rPr>
                <w:rFonts w:ascii="Times New Roman"/>
                <w:color w:val="0000FF"/>
                <w:sz w:val="21"/>
              </w:rPr>
            </w:pPr>
            <w:r>
              <w:rPr>
                <w:rFonts w:ascii="Times New Roman"/>
                <w:color w:val="0000FF"/>
                <w:w w:val="99"/>
                <w:sz w:val="21"/>
              </w:rPr>
              <w:t>2</w:t>
            </w:r>
          </w:p>
        </w:tc>
        <w:tc>
          <w:tcPr>
            <w:tcW w:w="1819" w:type="dxa"/>
          </w:tcPr>
          <w:p>
            <w:pPr>
              <w:pStyle w:val="19"/>
              <w:spacing w:before="34"/>
              <w:ind w:left="255" w:right="251"/>
              <w:rPr>
                <w:color w:val="0000FF"/>
                <w:sz w:val="21"/>
              </w:rPr>
            </w:pPr>
            <w:r>
              <w:rPr>
                <w:color w:val="0000FF"/>
                <w:sz w:val="21"/>
              </w:rPr>
              <w:t>粪大肠菌群数</w:t>
            </w:r>
          </w:p>
        </w:tc>
        <w:tc>
          <w:tcPr>
            <w:tcW w:w="5726" w:type="dxa"/>
          </w:tcPr>
          <w:p>
            <w:pPr>
              <w:pStyle w:val="19"/>
              <w:spacing w:before="34"/>
              <w:ind w:left="846" w:right="838"/>
              <w:rPr>
                <w:rFonts w:ascii="Times New Roman" w:hAnsi="Times New Roman" w:eastAsia="Times New Roman"/>
                <w:color w:val="0000FF"/>
                <w:sz w:val="21"/>
              </w:rPr>
            </w:pPr>
            <w:r>
              <w:rPr>
                <w:color w:val="0000FF"/>
                <w:sz w:val="21"/>
              </w:rPr>
              <w:t>≤</w:t>
            </w:r>
            <w:r>
              <w:rPr>
                <w:rFonts w:ascii="Times New Roman" w:hAnsi="Times New Roman" w:eastAsia="Times New Roman"/>
                <w:color w:val="0000FF"/>
                <w:sz w:val="21"/>
              </w:rPr>
              <w:t>10</w:t>
            </w:r>
            <w:r>
              <w:rPr>
                <w:rFonts w:ascii="Times New Roman" w:hAnsi="Times New Roman" w:eastAsia="Times New Roman"/>
                <w:color w:val="0000FF"/>
                <w:position w:val="7"/>
                <w:sz w:val="13"/>
              </w:rPr>
              <w:t>5</w:t>
            </w:r>
            <w:r>
              <w:rPr>
                <w:color w:val="0000FF"/>
                <w:sz w:val="21"/>
              </w:rPr>
              <w:t>个</w:t>
            </w:r>
            <w:r>
              <w:rPr>
                <w:rFonts w:ascii="Times New Roman" w:hAnsi="Times New Roman" w:eastAsia="Times New Roman"/>
                <w:color w:val="0000FF"/>
                <w:sz w:val="21"/>
              </w:rPr>
              <w:t>/kg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7" w:type="dxa"/>
          </w:tcPr>
          <w:p>
            <w:pPr>
              <w:pStyle w:val="19"/>
              <w:spacing w:before="49"/>
              <w:ind w:left="10"/>
              <w:rPr>
                <w:rFonts w:ascii="Times New Roman"/>
                <w:color w:val="0000FF"/>
                <w:sz w:val="21"/>
              </w:rPr>
            </w:pPr>
            <w:r>
              <w:rPr>
                <w:rFonts w:ascii="Times New Roman"/>
                <w:color w:val="0000FF"/>
                <w:w w:val="99"/>
                <w:sz w:val="21"/>
              </w:rPr>
              <w:t>3</w:t>
            </w:r>
          </w:p>
        </w:tc>
        <w:tc>
          <w:tcPr>
            <w:tcW w:w="1819" w:type="dxa"/>
          </w:tcPr>
          <w:p>
            <w:pPr>
              <w:pStyle w:val="19"/>
              <w:spacing w:before="35"/>
              <w:ind w:left="255" w:right="251"/>
              <w:rPr>
                <w:color w:val="0000FF"/>
                <w:sz w:val="21"/>
              </w:rPr>
            </w:pPr>
            <w:r>
              <w:rPr>
                <w:color w:val="0000FF"/>
                <w:sz w:val="21"/>
              </w:rPr>
              <w:t>苍蝇</w:t>
            </w:r>
          </w:p>
        </w:tc>
        <w:tc>
          <w:tcPr>
            <w:tcW w:w="5726" w:type="dxa"/>
          </w:tcPr>
          <w:p>
            <w:pPr>
              <w:pStyle w:val="19"/>
              <w:spacing w:before="35"/>
              <w:ind w:left="848" w:right="838"/>
              <w:rPr>
                <w:color w:val="0000FF"/>
                <w:sz w:val="21"/>
              </w:rPr>
            </w:pPr>
            <w:r>
              <w:rPr>
                <w:color w:val="0000FF"/>
                <w:sz w:val="21"/>
              </w:rPr>
              <w:t>堆体周围不应有活的蛆、蛹或新羽化的成蝇</w:t>
            </w:r>
          </w:p>
        </w:tc>
      </w:tr>
    </w:tbl>
    <w:p>
      <w:pPr>
        <w:pStyle w:val="7"/>
        <w:spacing w:before="5"/>
        <w:ind w:left="0"/>
        <w:rPr>
          <w:b/>
          <w:color w:val="0000FF"/>
          <w:sz w:val="18"/>
        </w:rPr>
      </w:pPr>
    </w:p>
    <w:p>
      <w:pPr>
        <w:pStyle w:val="7"/>
        <w:spacing w:line="364" w:lineRule="auto"/>
        <w:ind w:right="457" w:firstLine="480"/>
        <w:jc w:val="both"/>
        <w:rPr>
          <w:color w:val="0000FF"/>
        </w:rPr>
      </w:pPr>
      <w:r>
        <w:rPr>
          <w:color w:val="0000FF"/>
          <w:spacing w:val="-6"/>
        </w:rPr>
        <w:t>②病死羊及分娩物：根据《畜禽养殖业污染防治技术政策》</w:t>
      </w:r>
      <w:r>
        <w:rPr>
          <w:color w:val="0000FF"/>
        </w:rPr>
        <w:t>（</w:t>
      </w:r>
      <w:r>
        <w:rPr>
          <w:color w:val="0000FF"/>
          <w:spacing w:val="-7"/>
        </w:rPr>
        <w:t>环发〔</w:t>
      </w:r>
      <w:r>
        <w:rPr>
          <w:rFonts w:ascii="Times New Roman" w:hAnsi="Times New Roman" w:eastAsia="Times New Roman"/>
          <w:color w:val="0000FF"/>
        </w:rPr>
        <w:t>2010</w:t>
      </w:r>
      <w:r>
        <w:rPr>
          <w:color w:val="0000FF"/>
          <w:spacing w:val="-14"/>
        </w:rPr>
        <w:t>〕</w:t>
      </w:r>
      <w:r>
        <w:rPr>
          <w:rFonts w:ascii="Times New Roman" w:hAnsi="Times New Roman" w:eastAsia="Times New Roman"/>
          <w:color w:val="0000FF"/>
        </w:rPr>
        <w:t>151</w:t>
      </w:r>
      <w:r>
        <w:rPr>
          <w:color w:val="0000FF"/>
        </w:rPr>
        <w:t>号</w:t>
      </w:r>
      <w:r>
        <w:rPr>
          <w:color w:val="0000FF"/>
          <w:spacing w:val="-12"/>
        </w:rPr>
        <w:t>）</w:t>
      </w:r>
      <w:r>
        <w:rPr>
          <w:color w:val="0000FF"/>
          <w:spacing w:val="-4"/>
        </w:rPr>
        <w:t>中“畜禽尸体应按照有关卫生防疫规定单独进行妥善处置。染疫畜禽及</w:t>
      </w:r>
      <w:r>
        <w:rPr>
          <w:color w:val="0000FF"/>
          <w:spacing w:val="-11"/>
        </w:rPr>
        <w:t>其排泄物、染疫畜禽产品，病死或者死因不明的畜禽尸体等污染物，应就地进行无害化处理”。根据环办函</w:t>
      </w:r>
      <w:r>
        <w:rPr>
          <w:color w:val="0000FF"/>
          <w:spacing w:val="-3"/>
        </w:rPr>
        <w:t>［</w:t>
      </w:r>
      <w:r>
        <w:rPr>
          <w:rFonts w:ascii="Times New Roman" w:hAnsi="Times New Roman" w:eastAsia="Times New Roman"/>
          <w:color w:val="0000FF"/>
          <w:spacing w:val="-3"/>
        </w:rPr>
        <w:t>2014</w:t>
      </w:r>
      <w:r>
        <w:rPr>
          <w:color w:val="0000FF"/>
          <w:spacing w:val="-3"/>
        </w:rPr>
        <w:t>］</w:t>
      </w:r>
      <w:r>
        <w:rPr>
          <w:rFonts w:ascii="Times New Roman" w:hAnsi="Times New Roman" w:eastAsia="Times New Roman"/>
          <w:color w:val="0000FF"/>
          <w:spacing w:val="-3"/>
        </w:rPr>
        <w:t>789</w:t>
      </w:r>
      <w:r>
        <w:rPr>
          <w:color w:val="0000FF"/>
          <w:spacing w:val="-5"/>
        </w:rPr>
        <w:t>号文《关于病害动物无害化处理有关意</w:t>
      </w:r>
      <w:r>
        <w:rPr>
          <w:color w:val="0000FF"/>
          <w:spacing w:val="-12"/>
        </w:rPr>
        <w:t>见的复函》：“病害动物无害化处理项目由农业部门按照有关法律法规和技术规</w:t>
      </w:r>
      <w:r>
        <w:rPr>
          <w:color w:val="0000FF"/>
          <w:spacing w:val="-13"/>
        </w:rPr>
        <w:t>范进行监管，可以实现病害动物无害化处理和环境污染防控的目的，不宜再认定</w:t>
      </w:r>
      <w:r>
        <w:rPr>
          <w:color w:val="0000FF"/>
          <w:spacing w:val="-16"/>
        </w:rPr>
        <w:t>为危险废物集中处置项目。病害动物的无害化处理应执行《病死及病害动物无害</w:t>
      </w:r>
      <w:r>
        <w:rPr>
          <w:color w:val="0000FF"/>
          <w:spacing w:val="-8"/>
        </w:rPr>
        <w:t>化处理技术规范》</w:t>
      </w:r>
      <w:r>
        <w:rPr>
          <w:color w:val="0000FF"/>
        </w:rPr>
        <w:t>（农医发〔</w:t>
      </w:r>
      <w:r>
        <w:rPr>
          <w:rFonts w:ascii="Times New Roman" w:hAnsi="Times New Roman" w:eastAsia="Times New Roman"/>
          <w:color w:val="0000FF"/>
        </w:rPr>
        <w:t>2013</w:t>
      </w:r>
      <w:r>
        <w:rPr>
          <w:color w:val="0000FF"/>
          <w:spacing w:val="4"/>
        </w:rPr>
        <w:t>〕</w:t>
      </w:r>
      <w:r>
        <w:rPr>
          <w:rFonts w:ascii="Times New Roman" w:hAnsi="Times New Roman" w:eastAsia="Times New Roman"/>
          <w:color w:val="0000FF"/>
        </w:rPr>
        <w:t>34</w:t>
      </w:r>
      <w:r>
        <w:rPr>
          <w:color w:val="0000FF"/>
        </w:rPr>
        <w:t>号）。本项目病死羊采用干化法畜禽无</w:t>
      </w:r>
      <w:r>
        <w:rPr>
          <w:color w:val="0000FF"/>
          <w:spacing w:val="-8"/>
        </w:rPr>
        <w:t>害化处理方式处理，计划项目区拟建畜禽无害化处理车间，并购进畜禽无害化处</w:t>
      </w:r>
      <w:r>
        <w:rPr>
          <w:color w:val="0000FF"/>
          <w:spacing w:val="-26"/>
        </w:rPr>
        <w:t>理</w:t>
      </w:r>
      <w:r>
        <w:rPr>
          <w:rFonts w:ascii="Times New Roman" w:hAnsi="Times New Roman" w:eastAsia="Times New Roman"/>
          <w:color w:val="0000FF"/>
        </w:rPr>
        <w:t>1</w:t>
      </w:r>
      <w:r>
        <w:rPr>
          <w:color w:val="0000FF"/>
        </w:rPr>
        <w:t>吨</w:t>
      </w:r>
      <w:r>
        <w:rPr>
          <w:rFonts w:ascii="Times New Roman" w:hAnsi="Times New Roman" w:eastAsia="Times New Roman"/>
          <w:color w:val="0000FF"/>
        </w:rPr>
        <w:t>/</w:t>
      </w:r>
      <w:r>
        <w:rPr>
          <w:color w:val="0000FF"/>
        </w:rPr>
        <w:t>次成套设备，采用高温高压灭菌技术，大型动物无需肢解，可直接进行</w:t>
      </w:r>
      <w:r>
        <w:rPr>
          <w:color w:val="0000FF"/>
          <w:spacing w:val="-9"/>
        </w:rPr>
        <w:t>处理，处理后的产物可出售给肉骨粉干品生产厂和工业用油脂厂，综合利用，符</w:t>
      </w:r>
      <w:r>
        <w:rPr>
          <w:color w:val="0000FF"/>
        </w:rPr>
        <w:t>合国家防疫法规要求。</w:t>
      </w:r>
    </w:p>
    <w:p>
      <w:pPr>
        <w:pStyle w:val="7"/>
        <w:spacing w:before="1" w:line="364" w:lineRule="auto"/>
        <w:ind w:right="365" w:firstLine="480"/>
        <w:jc w:val="both"/>
        <w:rPr>
          <w:color w:val="0000FF"/>
        </w:rPr>
      </w:pPr>
      <w:r>
        <w:rPr>
          <w:color w:val="0000FF"/>
        </w:rPr>
        <w:t>③医疗废物：本项目充分发挥</w:t>
      </w:r>
      <w:r>
        <w:rPr>
          <w:rFonts w:hint="eastAsia"/>
          <w:color w:val="0000FF"/>
          <w:lang w:val="en-US" w:eastAsia="zh-CN"/>
        </w:rPr>
        <w:t>莎车</w:t>
      </w:r>
      <w:r>
        <w:rPr>
          <w:color w:val="0000FF"/>
        </w:rPr>
        <w:t>县农业农村局和</w:t>
      </w:r>
      <w:r>
        <w:rPr>
          <w:rFonts w:hint="eastAsia"/>
          <w:color w:val="0000FF"/>
          <w:lang w:val="en-US" w:eastAsia="zh-CN"/>
        </w:rPr>
        <w:t>莎车</w:t>
      </w:r>
      <w:r>
        <w:rPr>
          <w:color w:val="0000FF"/>
        </w:rPr>
        <w:t>乡镇兽医站以及村</w:t>
      </w:r>
      <w:r>
        <w:rPr>
          <w:color w:val="0000FF"/>
          <w:spacing w:val="-6"/>
        </w:rPr>
        <w:t>级防疫中心在养殖工作的作用，负责标准化羊产业养殖场的日常防疫工作；</w:t>
      </w:r>
      <w:r>
        <w:rPr>
          <w:rFonts w:hint="eastAsia"/>
          <w:color w:val="0000FF"/>
          <w:spacing w:val="-6"/>
          <w:lang w:val="en-US" w:eastAsia="zh-CN"/>
        </w:rPr>
        <w:t>莎车</w:t>
      </w:r>
      <w:r>
        <w:rPr>
          <w:color w:val="0000FF"/>
          <w:spacing w:val="-11"/>
        </w:rPr>
        <w:t>县农业农村局作为技术指导单位，负责羊产业养殖场的全局防疫工作。医疗废物</w:t>
      </w:r>
      <w:r>
        <w:rPr>
          <w:color w:val="0000FF"/>
          <w:spacing w:val="-12"/>
        </w:rPr>
        <w:t>包括项目肉羊养殖防疫、治疗产生的各种疫</w:t>
      </w:r>
      <w:r>
        <w:rPr>
          <w:color w:val="0000FF"/>
        </w:rPr>
        <w:t>（菌</w:t>
      </w:r>
      <w:r>
        <w:rPr>
          <w:color w:val="0000FF"/>
          <w:spacing w:val="-20"/>
        </w:rPr>
        <w:t>）</w:t>
      </w:r>
      <w:r>
        <w:rPr>
          <w:color w:val="0000FF"/>
          <w:spacing w:val="-6"/>
        </w:rPr>
        <w:t>苗空瓶、抗生药物的瓶</w:t>
      </w:r>
      <w:r>
        <w:rPr>
          <w:color w:val="0000FF"/>
        </w:rPr>
        <w:t>（袋</w:t>
      </w:r>
      <w:r>
        <w:rPr>
          <w:color w:val="0000FF"/>
          <w:spacing w:val="-20"/>
        </w:rPr>
        <w:t>）</w:t>
      </w:r>
      <w:r>
        <w:rPr>
          <w:color w:val="0000FF"/>
          <w:spacing w:val="-15"/>
        </w:rPr>
        <w:t>、</w:t>
      </w:r>
      <w:r>
        <w:rPr>
          <w:color w:val="0000FF"/>
        </w:rPr>
        <w:t>动物药物废弃瓶</w:t>
      </w:r>
      <w:r>
        <w:rPr>
          <w:color w:val="0000FF"/>
          <w:spacing w:val="4"/>
        </w:rPr>
        <w:t>（</w:t>
      </w:r>
      <w:r>
        <w:rPr>
          <w:color w:val="0000FF"/>
        </w:rPr>
        <w:t>袋）、一次性注射器等，属于“</w:t>
      </w:r>
      <w:r>
        <w:rPr>
          <w:rFonts w:ascii="Times New Roman" w:hAnsi="Times New Roman" w:eastAsia="Times New Roman"/>
          <w:color w:val="0000FF"/>
        </w:rPr>
        <w:t>HW01</w:t>
      </w:r>
      <w:r>
        <w:rPr>
          <w:color w:val="0000FF"/>
        </w:rPr>
        <w:t>医疗废物”。本项目产生的医疗废物由项目所在乡镇</w:t>
      </w:r>
      <w:r>
        <w:rPr>
          <w:rFonts w:hint="eastAsia"/>
          <w:color w:val="0000FF"/>
          <w:lang w:eastAsia="zh-CN"/>
        </w:rPr>
        <w:t>莎车</w:t>
      </w:r>
      <w:r>
        <w:rPr>
          <w:color w:val="0000FF"/>
        </w:rPr>
        <w:t>乡兽医站以及村级防疫中心委托有资质的单位处理处置。</w:t>
      </w:r>
    </w:p>
    <w:p>
      <w:pPr>
        <w:pStyle w:val="7"/>
        <w:spacing w:before="4" w:line="364" w:lineRule="auto"/>
        <w:ind w:right="577" w:firstLine="480"/>
        <w:rPr>
          <w:rFonts w:hint="eastAsia" w:eastAsia="宋体"/>
          <w:color w:val="0000FF"/>
          <w:lang w:eastAsia="zh-CN"/>
        </w:rPr>
      </w:pPr>
      <w:r>
        <w:rPr>
          <w:color w:val="0000FF"/>
        </w:rPr>
        <w:t>④生活垃圾：本项目职工</w:t>
      </w:r>
      <w:r>
        <w:rPr>
          <w:rFonts w:hint="eastAsia"/>
          <w:color w:val="0000FF"/>
          <w:lang w:val="en-US" w:eastAsia="zh-CN"/>
        </w:rPr>
        <w:t>产生的生活垃圾由</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圾收集系统，不会对区域环境造成不良影响</w:t>
      </w:r>
      <w:r>
        <w:rPr>
          <w:rFonts w:hint="eastAsia"/>
          <w:bCs/>
          <w:color w:val="FF0000"/>
          <w:sz w:val="24"/>
          <w:szCs w:val="24"/>
          <w:lang w:eastAsia="zh-CN"/>
        </w:rPr>
        <w:t>。</w:t>
      </w:r>
    </w:p>
    <w:p>
      <w:pPr>
        <w:pStyle w:val="7"/>
        <w:spacing w:before="1" w:line="364" w:lineRule="auto"/>
        <w:ind w:right="534" w:firstLine="480"/>
        <w:jc w:val="both"/>
        <w:rPr>
          <w:color w:val="0000FF"/>
        </w:rPr>
      </w:pPr>
      <w:r>
        <w:rPr>
          <w:color w:val="0000FF"/>
        </w:rPr>
        <w:t>⑤一般工业固体废物在场区贮储存执行《一般工业固体废物贮存、处置场</w:t>
      </w:r>
      <w:r>
        <w:rPr>
          <w:color w:val="0000FF"/>
          <w:spacing w:val="-3"/>
        </w:rPr>
        <w:t>污染控制标准》</w:t>
      </w:r>
      <w:r>
        <w:rPr>
          <w:color w:val="0000FF"/>
        </w:rPr>
        <w:t>（</w:t>
      </w:r>
      <w:r>
        <w:rPr>
          <w:rFonts w:ascii="Times New Roman" w:hAnsi="Times New Roman" w:eastAsia="Times New Roman"/>
          <w:color w:val="0000FF"/>
        </w:rPr>
        <w:t>GB18599-2001</w:t>
      </w:r>
      <w:r>
        <w:rPr>
          <w:color w:val="0000FF"/>
        </w:rPr>
        <w:t>）</w:t>
      </w:r>
      <w:r>
        <w:rPr>
          <w:color w:val="0000FF"/>
          <w:spacing w:val="-3"/>
        </w:rPr>
        <w:t>及《关于发布</w:t>
      </w:r>
      <w:r>
        <w:rPr>
          <w:rFonts w:ascii="Times New Roman" w:hAnsi="Times New Roman" w:eastAsia="Times New Roman"/>
          <w:color w:val="0000FF"/>
        </w:rPr>
        <w:t>&lt;</w:t>
      </w:r>
      <w:r>
        <w:rPr>
          <w:color w:val="0000FF"/>
          <w:spacing w:val="-1"/>
        </w:rPr>
        <w:t>一般工业固体废物贮存、处置场污染控制标准</w:t>
      </w:r>
      <w:r>
        <w:rPr>
          <w:rFonts w:ascii="Times New Roman" w:hAnsi="Times New Roman" w:eastAsia="Times New Roman"/>
          <w:color w:val="0000FF"/>
          <w:spacing w:val="-1"/>
        </w:rPr>
        <w:t>&gt;</w:t>
      </w:r>
      <w:r>
        <w:rPr>
          <w:color w:val="0000FF"/>
          <w:spacing w:val="-1"/>
        </w:rPr>
        <w:t>（</w:t>
      </w:r>
      <w:r>
        <w:rPr>
          <w:rFonts w:ascii="Times New Roman" w:hAnsi="Times New Roman" w:eastAsia="Times New Roman"/>
          <w:color w:val="0000FF"/>
          <w:spacing w:val="-1"/>
        </w:rPr>
        <w:t>GB18599-2001</w:t>
      </w:r>
      <w:r>
        <w:rPr>
          <w:color w:val="0000FF"/>
          <w:spacing w:val="-1"/>
        </w:rPr>
        <w:t>）</w:t>
      </w:r>
      <w:r>
        <w:rPr>
          <w:color w:val="0000FF"/>
          <w:spacing w:val="-31"/>
        </w:rPr>
        <w:t>等</w:t>
      </w:r>
      <w:r>
        <w:rPr>
          <w:rFonts w:ascii="Times New Roman" w:hAnsi="Times New Roman" w:eastAsia="Times New Roman"/>
          <w:color w:val="0000FF"/>
        </w:rPr>
        <w:t>3</w:t>
      </w:r>
      <w:r>
        <w:rPr>
          <w:color w:val="0000FF"/>
          <w:spacing w:val="-1"/>
        </w:rPr>
        <w:t>项国家污染物控制标准修改单的公告》</w:t>
      </w:r>
    </w:p>
    <w:p>
      <w:pPr>
        <w:pStyle w:val="7"/>
        <w:spacing w:before="2"/>
        <w:jc w:val="both"/>
        <w:rPr>
          <w:color w:val="0000FF"/>
        </w:rPr>
      </w:pPr>
      <w:r>
        <w:rPr>
          <w:color w:val="0000FF"/>
        </w:rPr>
        <w:t>（环境保护部</w:t>
      </w:r>
      <w:r>
        <w:rPr>
          <w:rFonts w:ascii="Times New Roman" w:eastAsia="Times New Roman"/>
          <w:color w:val="0000FF"/>
        </w:rPr>
        <w:t>2013</w:t>
      </w:r>
      <w:r>
        <w:rPr>
          <w:color w:val="0000FF"/>
        </w:rPr>
        <w:t>年第</w:t>
      </w:r>
      <w:r>
        <w:rPr>
          <w:rFonts w:ascii="Times New Roman" w:eastAsia="Times New Roman"/>
          <w:color w:val="0000FF"/>
        </w:rPr>
        <w:t>36</w:t>
      </w:r>
      <w:r>
        <w:rPr>
          <w:color w:val="0000FF"/>
        </w:rPr>
        <w:t>号公告）中的相关规定。</w:t>
      </w:r>
    </w:p>
    <w:p>
      <w:pPr>
        <w:pStyle w:val="7"/>
        <w:spacing w:before="6"/>
        <w:ind w:left="0"/>
      </w:pPr>
    </w:p>
    <w:p>
      <w:pPr>
        <w:pStyle w:val="4"/>
        <w:numPr>
          <w:ilvl w:val="1"/>
          <w:numId w:val="14"/>
        </w:numPr>
        <w:tabs>
          <w:tab w:val="left" w:pos="1100"/>
        </w:tabs>
        <w:spacing w:before="0" w:after="0" w:line="240" w:lineRule="auto"/>
        <w:ind w:left="1099" w:right="0" w:hanging="560"/>
        <w:jc w:val="left"/>
        <w:outlineLvl w:val="1"/>
      </w:pPr>
      <w:bookmarkStart w:id="73" w:name="2.5 评价时段"/>
      <w:bookmarkEnd w:id="73"/>
      <w:bookmarkStart w:id="74" w:name="_bookmark12"/>
      <w:bookmarkEnd w:id="74"/>
      <w:bookmarkStart w:id="75" w:name="_Toc695"/>
      <w:r>
        <w:t>评价时段</w:t>
      </w:r>
      <w:bookmarkEnd w:id="75"/>
    </w:p>
    <w:p>
      <w:pPr>
        <w:pStyle w:val="7"/>
        <w:spacing w:before="3"/>
        <w:ind w:left="0"/>
        <w:rPr>
          <w:b/>
        </w:rPr>
      </w:pPr>
    </w:p>
    <w:p>
      <w:pPr>
        <w:pStyle w:val="7"/>
        <w:spacing w:line="364" w:lineRule="auto"/>
        <w:ind w:right="577" w:firstLine="480"/>
        <w:rPr>
          <w:color w:val="0000FF"/>
        </w:rPr>
      </w:pPr>
      <w:r>
        <w:rPr>
          <w:color w:val="0000FF"/>
          <w:spacing w:val="-6"/>
        </w:rPr>
        <w:t>根据本项目实施不同阶段和环境影响特点，本次评价时段以建设期、生产运</w:t>
      </w:r>
      <w:r>
        <w:rPr>
          <w:color w:val="0000FF"/>
        </w:rPr>
        <w:t>营期两个时段为评价重点。</w:t>
      </w:r>
    </w:p>
    <w:p>
      <w:pPr>
        <w:pStyle w:val="4"/>
        <w:numPr>
          <w:ilvl w:val="1"/>
          <w:numId w:val="14"/>
        </w:numPr>
        <w:tabs>
          <w:tab w:val="left" w:pos="1100"/>
        </w:tabs>
        <w:spacing w:before="154" w:after="0" w:line="240" w:lineRule="auto"/>
        <w:ind w:left="1099" w:right="0" w:hanging="560"/>
        <w:jc w:val="left"/>
        <w:outlineLvl w:val="1"/>
      </w:pPr>
      <w:bookmarkStart w:id="76" w:name="_bookmark13"/>
      <w:bookmarkEnd w:id="76"/>
      <w:bookmarkStart w:id="77" w:name="2.6 评价等级和评价范围"/>
      <w:bookmarkEnd w:id="77"/>
      <w:bookmarkStart w:id="78" w:name="_Toc22224"/>
      <w:r>
        <w:t>评价等级和评价范围</w:t>
      </w:r>
      <w:bookmarkEnd w:id="78"/>
    </w:p>
    <w:p>
      <w:pPr>
        <w:pStyle w:val="7"/>
        <w:spacing w:before="6"/>
        <w:ind w:left="0"/>
        <w:rPr>
          <w:b/>
          <w:sz w:val="28"/>
        </w:rPr>
      </w:pPr>
    </w:p>
    <w:p>
      <w:pPr>
        <w:pStyle w:val="5"/>
        <w:numPr>
          <w:ilvl w:val="2"/>
          <w:numId w:val="14"/>
        </w:numPr>
        <w:tabs>
          <w:tab w:val="left" w:pos="1241"/>
        </w:tabs>
        <w:spacing w:before="0" w:after="0" w:line="240" w:lineRule="auto"/>
        <w:ind w:left="1240" w:right="0" w:hanging="701"/>
        <w:jc w:val="left"/>
        <w:outlineLvl w:val="2"/>
      </w:pPr>
      <w:bookmarkStart w:id="79" w:name="2.6.1 评价工作等级"/>
      <w:bookmarkEnd w:id="79"/>
      <w:bookmarkStart w:id="80" w:name="2.6.1 评价工作等级"/>
      <w:bookmarkEnd w:id="80"/>
      <w:bookmarkStart w:id="81" w:name="_Toc3784"/>
      <w:r>
        <w:t>评价工作等级</w:t>
      </w:r>
      <w:bookmarkEnd w:id="81"/>
    </w:p>
    <w:p>
      <w:pPr>
        <w:pStyle w:val="7"/>
        <w:spacing w:before="5"/>
        <w:ind w:left="0"/>
        <w:rPr>
          <w:b/>
          <w:sz w:val="21"/>
        </w:rPr>
      </w:pPr>
    </w:p>
    <w:p>
      <w:pPr>
        <w:pStyle w:val="18"/>
        <w:numPr>
          <w:ilvl w:val="3"/>
          <w:numId w:val="14"/>
        </w:numPr>
        <w:tabs>
          <w:tab w:val="left" w:pos="1621"/>
        </w:tabs>
        <w:spacing w:before="0" w:after="0" w:line="240" w:lineRule="auto"/>
        <w:ind w:left="1621" w:right="0" w:hanging="601"/>
        <w:jc w:val="left"/>
        <w:rPr>
          <w:sz w:val="24"/>
        </w:rPr>
      </w:pPr>
      <w:r>
        <w:rPr>
          <w:sz w:val="24"/>
        </w:rPr>
        <w:t>环境空气影响评价工作等级</w:t>
      </w:r>
    </w:p>
    <w:p>
      <w:pPr>
        <w:pStyle w:val="7"/>
        <w:spacing w:before="160" w:line="364" w:lineRule="auto"/>
        <w:ind w:right="476" w:firstLine="480"/>
        <w:jc w:val="both"/>
      </w:pPr>
      <w:r>
        <w:rPr>
          <w:spacing w:val="-4"/>
        </w:rPr>
        <w:t>本项目大气污染源主要来自养殖区羊舍和堆肥厂恶臭气体。臭气污染来自牲</w:t>
      </w:r>
      <w:r>
        <w:rPr>
          <w:spacing w:val="-6"/>
          <w:position w:val="2"/>
        </w:rPr>
        <w:t>畜的粪便、尿液释放出的臭气，以无组织排放为主，主要污染物为</w:t>
      </w:r>
      <w:r>
        <w:rPr>
          <w:rFonts w:ascii="Times New Roman" w:eastAsia="Times New Roman"/>
          <w:position w:val="2"/>
        </w:rPr>
        <w:t>NH</w:t>
      </w:r>
      <w:r>
        <w:rPr>
          <w:rFonts w:ascii="Times New Roman" w:eastAsia="Times New Roman"/>
          <w:position w:val="2"/>
          <w:vertAlign w:val="subscript"/>
        </w:rPr>
        <w:t>3</w:t>
      </w:r>
      <w:r>
        <w:rPr>
          <w:spacing w:val="-29"/>
          <w:position w:val="2"/>
          <w:vertAlign w:val="baseline"/>
        </w:rPr>
        <w:t>和</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20"/>
          <w:position w:val="2"/>
          <w:vertAlign w:val="baseline"/>
        </w:rPr>
        <w:t>。</w:t>
      </w:r>
    </w:p>
    <w:p>
      <w:pPr>
        <w:pStyle w:val="7"/>
        <w:spacing w:line="362" w:lineRule="auto"/>
        <w:ind w:right="572" w:firstLine="480"/>
        <w:jc w:val="both"/>
        <w:rPr>
          <w:sz w:val="7"/>
        </w:rPr>
      </w:pPr>
      <w:r>
        <w:rPr>
          <w:spacing w:val="-5"/>
        </w:rPr>
        <w:t>根据《环境影响评价技术导则</w:t>
      </w:r>
      <w:r>
        <w:rPr>
          <w:rFonts w:ascii="Times New Roman" w:hAnsi="Times New Roman" w:eastAsia="Times New Roman"/>
        </w:rPr>
        <w:t>·</w:t>
      </w:r>
      <w:r>
        <w:rPr>
          <w:spacing w:val="-9"/>
        </w:rPr>
        <w:t>大气环境》</w:t>
      </w:r>
      <w:r>
        <w:t>（</w:t>
      </w:r>
      <w:r>
        <w:rPr>
          <w:rFonts w:ascii="Times New Roman" w:hAnsi="Times New Roman" w:eastAsia="Times New Roman"/>
        </w:rPr>
        <w:t>HJ2.2-2018</w:t>
      </w:r>
      <w:r>
        <w:t>）</w:t>
      </w:r>
      <w:r>
        <w:rPr>
          <w:spacing w:val="-5"/>
        </w:rPr>
        <w:t>中规定的方法，选</w:t>
      </w:r>
      <w:r>
        <w:rPr>
          <w:spacing w:val="-6"/>
          <w:position w:val="2"/>
        </w:rPr>
        <w:t>取本项目主要污染物</w:t>
      </w:r>
      <w:r>
        <w:rPr>
          <w:rFonts w:ascii="Times New Roman" w:hAnsi="Times New Roman" w:eastAsia="Times New Roman"/>
          <w:position w:val="2"/>
        </w:rPr>
        <w:t>NH</w:t>
      </w:r>
      <w:r>
        <w:rPr>
          <w:rFonts w:ascii="Times New Roman" w:hAnsi="Times New Roman" w:eastAsia="Times New Roman"/>
          <w:position w:val="2"/>
          <w:vertAlign w:val="subscript"/>
        </w:rPr>
        <w:t>3</w:t>
      </w:r>
      <w:r>
        <w:rPr>
          <w:spacing w:val="-32"/>
          <w:position w:val="2"/>
          <w:vertAlign w:val="baseline"/>
        </w:rPr>
        <w:t>、</w:t>
      </w:r>
      <w:r>
        <w:rPr>
          <w:rFonts w:ascii="Times New Roman" w:hAnsi="Times New Roman" w:eastAsia="Times New Roman"/>
          <w:position w:val="2"/>
          <w:vertAlign w:val="baseline"/>
        </w:rPr>
        <w:t>H</w:t>
      </w:r>
      <w:r>
        <w:rPr>
          <w:rFonts w:ascii="Times New Roman" w:hAnsi="Times New Roman" w:eastAsia="Times New Roman"/>
          <w:position w:val="2"/>
          <w:vertAlign w:val="subscript"/>
        </w:rPr>
        <w:t>2</w:t>
      </w:r>
      <w:r>
        <w:rPr>
          <w:rFonts w:ascii="Times New Roman" w:hAnsi="Times New Roman" w:eastAsia="Times New Roman"/>
          <w:position w:val="2"/>
          <w:vertAlign w:val="baseline"/>
        </w:rPr>
        <w:t>S</w:t>
      </w:r>
      <w:r>
        <w:rPr>
          <w:spacing w:val="-4"/>
          <w:position w:val="2"/>
          <w:vertAlign w:val="baseline"/>
        </w:rPr>
        <w:t>和颗粒物作为评价因子进行计算，分别计算每一</w:t>
      </w:r>
      <w:r>
        <w:rPr>
          <w:spacing w:val="-3"/>
          <w:position w:val="2"/>
          <w:vertAlign w:val="baseline"/>
        </w:rPr>
        <w:t>种污染物的最大地面浓度占标率</w:t>
      </w:r>
      <w:r>
        <w:rPr>
          <w:rFonts w:ascii="Times New Roman" w:hAnsi="Times New Roman" w:eastAsia="Times New Roman"/>
          <w:position w:val="2"/>
          <w:vertAlign w:val="baseline"/>
        </w:rPr>
        <w:t>P</w:t>
      </w:r>
      <w:r>
        <w:rPr>
          <w:rFonts w:ascii="Times New Roman" w:hAnsi="Times New Roman" w:eastAsia="Times New Roman"/>
          <w:position w:val="2"/>
          <w:vertAlign w:val="subscript"/>
        </w:rPr>
        <w:t>i</w:t>
      </w:r>
      <w:r>
        <w:rPr>
          <w:spacing w:val="-4"/>
          <w:position w:val="2"/>
          <w:vertAlign w:val="baseline"/>
        </w:rPr>
        <w:t>和地面浓度达标准限值</w:t>
      </w:r>
      <w:r>
        <w:rPr>
          <w:rFonts w:ascii="Times New Roman" w:hAnsi="Times New Roman" w:eastAsia="Times New Roman"/>
          <w:position w:val="2"/>
          <w:vertAlign w:val="baseline"/>
        </w:rPr>
        <w:t>10%</w:t>
      </w:r>
      <w:r>
        <w:rPr>
          <w:position w:val="2"/>
          <w:vertAlign w:val="baseline"/>
        </w:rPr>
        <w:t>时所对应的最远</w:t>
      </w:r>
      <w:r>
        <w:rPr>
          <w:spacing w:val="-20"/>
          <w:position w:val="2"/>
          <w:vertAlign w:val="baseline"/>
        </w:rPr>
        <w:t>距离</w:t>
      </w:r>
      <w:r>
        <w:rPr>
          <w:rFonts w:ascii="Times New Roman" w:hAnsi="Times New Roman" w:eastAsia="Times New Roman"/>
          <w:position w:val="2"/>
          <w:vertAlign w:val="baseline"/>
        </w:rPr>
        <w:t>D</w:t>
      </w:r>
      <w:r>
        <w:rPr>
          <w:rFonts w:ascii="Times New Roman" w:hAnsi="Times New Roman" w:eastAsia="Times New Roman"/>
          <w:position w:val="2"/>
          <w:vertAlign w:val="subscript"/>
        </w:rPr>
        <w:t>10%</w:t>
      </w:r>
      <w:r>
        <w:rPr>
          <w:spacing w:val="-15"/>
          <w:position w:val="2"/>
          <w:vertAlign w:val="baseline"/>
        </w:rPr>
        <w:t>。其中</w:t>
      </w:r>
      <w:r>
        <w:rPr>
          <w:rFonts w:ascii="Times New Roman" w:hAnsi="Times New Roman" w:eastAsia="Times New Roman"/>
          <w:position w:val="2"/>
          <w:vertAlign w:val="baseline"/>
        </w:rPr>
        <w:t>P</w:t>
      </w:r>
      <w:r>
        <w:rPr>
          <w:rFonts w:ascii="Times New Roman" w:hAnsi="Times New Roman" w:eastAsia="Times New Roman"/>
          <w:position w:val="2"/>
          <w:vertAlign w:val="subscript"/>
        </w:rPr>
        <w:t>i</w:t>
      </w:r>
      <w:r>
        <w:rPr>
          <w:position w:val="2"/>
          <w:vertAlign w:val="baseline"/>
        </w:rPr>
        <w:t>定义为：</w:t>
      </w:r>
    </w:p>
    <w:p>
      <w:pPr>
        <w:spacing w:after="0"/>
        <w:rPr>
          <w:sz w:val="7"/>
        </w:rPr>
        <w:sectPr>
          <w:footerReference r:id="rId17"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spacing w:before="96" w:line="317" w:lineRule="exact"/>
        <w:ind w:left="0" w:right="0" w:firstLine="0"/>
        <w:jc w:val="right"/>
        <w:rPr>
          <w:rFonts w:ascii="Times New Roman" w:hAnsi="Times New Roman"/>
          <w:i/>
          <w:sz w:val="14"/>
        </w:rPr>
      </w:pPr>
      <w:r>
        <w:rPr>
          <w:rFonts w:ascii="Times New Roman" w:hAnsi="Times New Roman"/>
          <w:i/>
          <w:sz w:val="24"/>
        </w:rPr>
        <w:t>P</w:t>
      </w:r>
      <w:r>
        <w:rPr>
          <w:rFonts w:ascii="Symbol" w:hAnsi="Symbol"/>
          <w:sz w:val="24"/>
        </w:rPr>
        <w:t></w:t>
      </w:r>
      <w:r>
        <w:rPr>
          <w:rFonts w:ascii="Times New Roman" w:hAnsi="Times New Roman"/>
          <w:i/>
          <w:position w:val="16"/>
          <w:sz w:val="24"/>
        </w:rPr>
        <w:t>C</w:t>
      </w:r>
      <w:r>
        <w:rPr>
          <w:rFonts w:ascii="Times New Roman" w:hAnsi="Times New Roman"/>
          <w:i/>
          <w:position w:val="10"/>
          <w:sz w:val="14"/>
        </w:rPr>
        <w:t>i</w:t>
      </w:r>
    </w:p>
    <w:p>
      <w:pPr>
        <w:pStyle w:val="7"/>
        <w:spacing w:before="239" w:line="174" w:lineRule="exact"/>
        <w:ind w:left="84"/>
        <w:rPr>
          <w:rFonts w:ascii="Times New Roman" w:hAnsi="Times New Roman"/>
        </w:rPr>
      </w:pPr>
      <w:r>
        <w:br w:type="column"/>
      </w:r>
      <w:r>
        <w:rPr>
          <w:rFonts w:ascii="Symbol" w:hAnsi="Symbol"/>
        </w:rPr>
        <w:t></w:t>
      </w:r>
      <w:r>
        <w:rPr>
          <w:rFonts w:ascii="Times New Roman" w:hAnsi="Times New Roman"/>
        </w:rPr>
        <w:t>100%</w:t>
      </w:r>
    </w:p>
    <w:p>
      <w:pPr>
        <w:spacing w:after="0" w:line="174" w:lineRule="exact"/>
        <w:rPr>
          <w:rFonts w:ascii="Times New Roman" w:hAnsi="Times New Roman"/>
        </w:rP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cols w:equalWidth="0" w:num="2">
            <w:col w:w="4633" w:space="40"/>
            <w:col w:w="4757"/>
          </w:cols>
        </w:sectPr>
      </w:pPr>
    </w:p>
    <w:p>
      <w:pPr>
        <w:spacing w:before="0" w:line="158" w:lineRule="exact"/>
        <w:ind w:left="0" w:right="1299" w:firstLine="0"/>
        <w:jc w:val="center"/>
        <w:rPr>
          <w:rFonts w:ascii="Times New Roman"/>
          <w:i/>
          <w:sz w:val="14"/>
        </w:rPr>
      </w:pPr>
      <w:r>
        <w:pict>
          <v:line id="_x0000_s1054" o:spid="_x0000_s1054" o:spt="20" style="position:absolute;left:0pt;margin-left:281.95pt;margin-top:0.3pt;height:0pt;width:16.8pt;mso-position-horizontal-relative:page;z-index:251664384;mso-width-relative:page;mso-height-relative:page;" stroked="t" coordsize="21600,21600">
            <v:path arrowok="t"/>
            <v:fill focussize="0,0"/>
            <v:stroke weight="0.501968503937008pt" color="#000000"/>
            <v:imagedata o:title=""/>
            <o:lock v:ext="edit"/>
          </v:line>
        </w:pict>
      </w:r>
      <w:r>
        <w:pict>
          <v:shape id="_x0000_s1055" o:spid="_x0000_s1055" o:spt="202" type="#_x0000_t202" style="position:absolute;left:0pt;margin-left:282.4pt;margin-top:1.85pt;height:13.65pt;width:8.2pt;mso-position-horizontal-relative:page;z-index:251665408;mso-width-relative:page;mso-height-relative:page;" filled="f" stroked="f" coordsize="21600,21600">
            <v:path/>
            <v:fill on="f" focussize="0,0"/>
            <v:stroke on="f" joinstyle="miter"/>
            <v:imagedata o:title=""/>
            <o:lock v:ext="edit"/>
            <v:textbox inset="0mm,0mm,0mm,0mm">
              <w:txbxContent>
                <w:p>
                  <w:pPr>
                    <w:spacing w:before="0" w:line="271" w:lineRule="exact"/>
                    <w:ind w:left="0" w:right="0" w:firstLine="0"/>
                    <w:jc w:val="left"/>
                    <w:rPr>
                      <w:rFonts w:ascii="Times New Roman"/>
                      <w:i/>
                      <w:sz w:val="24"/>
                    </w:rPr>
                  </w:pPr>
                  <w:r>
                    <w:rPr>
                      <w:rFonts w:ascii="Times New Roman"/>
                      <w:i/>
                      <w:w w:val="102"/>
                      <w:sz w:val="24"/>
                    </w:rPr>
                    <w:t>C</w:t>
                  </w:r>
                </w:p>
              </w:txbxContent>
            </v:textbox>
          </v:shape>
        </w:pict>
      </w:r>
      <w:r>
        <w:rPr>
          <w:rFonts w:ascii="Times New Roman"/>
          <w:i/>
          <w:w w:val="102"/>
          <w:sz w:val="14"/>
        </w:rPr>
        <w:t>i</w:t>
      </w:r>
    </w:p>
    <w:p>
      <w:pPr>
        <w:spacing w:before="28"/>
        <w:ind w:left="0" w:right="196" w:firstLine="0"/>
        <w:jc w:val="center"/>
        <w:rPr>
          <w:rFonts w:ascii="Times New Roman"/>
          <w:i/>
          <w:sz w:val="14"/>
        </w:rPr>
      </w:pPr>
      <w:r>
        <w:rPr>
          <w:rFonts w:ascii="Times New Roman"/>
          <w:i/>
          <w:sz w:val="14"/>
        </w:rPr>
        <w:t>oi</w:t>
      </w:r>
    </w:p>
    <w:p>
      <w:pPr>
        <w:pStyle w:val="7"/>
        <w:spacing w:before="5"/>
        <w:ind w:left="0"/>
        <w:rPr>
          <w:rFonts w:ascii="Times New Roman"/>
          <w:i/>
          <w:sz w:val="12"/>
        </w:rPr>
      </w:pPr>
    </w:p>
    <w:p>
      <w:pPr>
        <w:pStyle w:val="7"/>
        <w:spacing w:before="71"/>
        <w:ind w:left="1020"/>
        <w:jc w:val="both"/>
        <w:rPr>
          <w:position w:val="2"/>
        </w:rPr>
      </w:pPr>
    </w:p>
    <w:p>
      <w:pPr>
        <w:pStyle w:val="7"/>
        <w:spacing w:before="71"/>
        <w:ind w:left="1020"/>
        <w:jc w:val="both"/>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position w:val="2"/>
          <w:vertAlign w:val="baseline"/>
        </w:rPr>
        <w:t>—第</w:t>
      </w:r>
      <w:r>
        <w:rPr>
          <w:rFonts w:ascii="Times New Roman" w:hAnsi="Times New Roman" w:eastAsia="Times New Roman"/>
          <w:position w:val="2"/>
          <w:vertAlign w:val="baseline"/>
        </w:rPr>
        <w:t>i</w:t>
      </w:r>
      <w:r>
        <w:rPr>
          <w:position w:val="2"/>
          <w:vertAlign w:val="baseline"/>
        </w:rPr>
        <w:t>个污染物的最大地面浓度占标率，</w:t>
      </w:r>
      <w:r>
        <w:rPr>
          <w:rFonts w:ascii="Times New Roman" w:hAnsi="Times New Roman" w:eastAsia="Times New Roman"/>
          <w:position w:val="2"/>
          <w:vertAlign w:val="baseline"/>
        </w:rPr>
        <w:t>%</w:t>
      </w:r>
      <w:r>
        <w:rPr>
          <w:position w:val="2"/>
          <w:vertAlign w:val="baseline"/>
        </w:rPr>
        <w:t>；</w:t>
      </w:r>
    </w:p>
    <w:p>
      <w:pPr>
        <w:pStyle w:val="7"/>
        <w:spacing w:before="156"/>
        <w:ind w:firstLine="1200" w:firstLineChars="500"/>
        <w:jc w:val="both"/>
      </w:pPr>
      <w:r>
        <w:rPr>
          <w:rFonts w:ascii="Times New Roman" w:hAnsi="Times New Roman" w:eastAsia="Times New Roman"/>
          <w:position w:val="2"/>
        </w:rPr>
        <w:t>C</w:t>
      </w:r>
      <w:r>
        <w:rPr>
          <w:rFonts w:ascii="Times New Roman" w:hAnsi="Times New Roman" w:eastAsia="Times New Roman"/>
          <w:position w:val="2"/>
          <w:vertAlign w:val="subscript"/>
        </w:rPr>
        <w:t>i</w:t>
      </w:r>
      <w:r>
        <w:rPr>
          <w:position w:val="2"/>
          <w:vertAlign w:val="baseline"/>
        </w:rPr>
        <w:t>—采用估算模式计算出的第</w:t>
      </w:r>
      <w:r>
        <w:rPr>
          <w:rFonts w:ascii="Times New Roman" w:hAnsi="Times New Roman" w:eastAsia="Times New Roman"/>
          <w:position w:val="2"/>
          <w:vertAlign w:val="baseline"/>
        </w:rPr>
        <w:t>i</w:t>
      </w:r>
      <w:r>
        <w:rPr>
          <w:position w:val="2"/>
          <w:vertAlign w:val="baseline"/>
        </w:rPr>
        <w:t>个污染物的最大落地浓度，</w:t>
      </w:r>
      <w:r>
        <w:rPr>
          <w:rFonts w:ascii="Times New Roman" w:hAnsi="Times New Roman" w:eastAsia="Times New Roman"/>
          <w:position w:val="2"/>
          <w:vertAlign w:val="baseline"/>
        </w:rPr>
        <w:t>μg/m</w:t>
      </w:r>
      <w:r>
        <w:rPr>
          <w:rFonts w:ascii="Times New Roman" w:hAnsi="Times New Roman" w:eastAsia="Times New Roman"/>
          <w:position w:val="2"/>
          <w:vertAlign w:val="superscript"/>
        </w:rPr>
        <w:t>3</w:t>
      </w:r>
      <w:r>
        <w:rPr>
          <w:position w:val="2"/>
          <w:vertAlign w:val="baseline"/>
        </w:rPr>
        <w:t>；</w:t>
      </w:r>
    </w:p>
    <w:p>
      <w:pPr>
        <w:pStyle w:val="7"/>
        <w:spacing w:before="156"/>
        <w:ind w:left="1780"/>
        <w:jc w:val="both"/>
      </w:pPr>
      <w:r>
        <w:rPr>
          <w:rFonts w:ascii="Times New Roman" w:hAnsi="Times New Roman" w:eastAsia="Times New Roman"/>
          <w:position w:val="2"/>
        </w:rPr>
        <w:t>C</w:t>
      </w:r>
      <w:r>
        <w:rPr>
          <w:rFonts w:ascii="Times New Roman" w:hAnsi="Times New Roman" w:eastAsia="Times New Roman"/>
          <w:position w:val="2"/>
          <w:vertAlign w:val="subscript"/>
        </w:rPr>
        <w:t>oi</w:t>
      </w:r>
      <w:r>
        <w:rPr>
          <w:position w:val="2"/>
          <w:vertAlign w:val="baseline"/>
        </w:rPr>
        <w:t>—第</w:t>
      </w:r>
      <w:r>
        <w:rPr>
          <w:rFonts w:ascii="Times New Roman" w:hAnsi="Times New Roman" w:eastAsia="Times New Roman"/>
          <w:position w:val="2"/>
          <w:vertAlign w:val="baseline"/>
        </w:rPr>
        <w:t>i</w:t>
      </w:r>
      <w:r>
        <w:rPr>
          <w:position w:val="2"/>
          <w:vertAlign w:val="baseline"/>
        </w:rPr>
        <w:t>个污染物的环境空气质量标准，</w:t>
      </w:r>
      <w:r>
        <w:rPr>
          <w:rFonts w:ascii="Times New Roman" w:hAnsi="Times New Roman" w:eastAsia="Times New Roman"/>
          <w:position w:val="2"/>
          <w:vertAlign w:val="baseline"/>
        </w:rPr>
        <w:t>μg/m</w:t>
      </w:r>
      <w:r>
        <w:rPr>
          <w:rFonts w:ascii="Times New Roman" w:hAnsi="Times New Roman" w:eastAsia="Times New Roman"/>
          <w:position w:val="2"/>
          <w:vertAlign w:val="superscript"/>
        </w:rPr>
        <w:t>3</w:t>
      </w:r>
      <w:r>
        <w:rPr>
          <w:position w:val="2"/>
          <w:vertAlign w:val="baseline"/>
        </w:rPr>
        <w:t>。</w:t>
      </w:r>
    </w:p>
    <w:p>
      <w:pPr>
        <w:pStyle w:val="7"/>
        <w:spacing w:before="156" w:line="364" w:lineRule="auto"/>
        <w:ind w:right="577" w:firstLine="496"/>
        <w:jc w:val="both"/>
      </w:pPr>
      <w:r>
        <w:rPr>
          <w:rFonts w:ascii="Times New Roman" w:eastAsia="Times New Roman"/>
          <w:position w:val="2"/>
        </w:rPr>
        <w:t>C</w:t>
      </w:r>
      <w:r>
        <w:rPr>
          <w:rFonts w:ascii="Times New Roman" w:eastAsia="Times New Roman"/>
          <w:position w:val="2"/>
          <w:vertAlign w:val="subscript"/>
        </w:rPr>
        <w:t>oi</w:t>
      </w:r>
      <w:r>
        <w:rPr>
          <w:spacing w:val="-12"/>
          <w:position w:val="2"/>
          <w:vertAlign w:val="baseline"/>
        </w:rPr>
        <w:t>一般选用</w:t>
      </w:r>
      <w:r>
        <w:rPr>
          <w:rFonts w:ascii="Times New Roman" w:eastAsia="Times New Roman"/>
          <w:position w:val="2"/>
          <w:vertAlign w:val="baseline"/>
        </w:rPr>
        <w:t>GB3095</w:t>
      </w:r>
      <w:r>
        <w:rPr>
          <w:spacing w:val="-30"/>
          <w:position w:val="2"/>
          <w:vertAlign w:val="baseline"/>
        </w:rPr>
        <w:t>中</w:t>
      </w:r>
      <w:r>
        <w:rPr>
          <w:rFonts w:ascii="Times New Roman" w:eastAsia="Times New Roman"/>
          <w:position w:val="2"/>
          <w:vertAlign w:val="baseline"/>
        </w:rPr>
        <w:t>1h</w:t>
      </w:r>
      <w:r>
        <w:rPr>
          <w:spacing w:val="-6"/>
          <w:position w:val="2"/>
          <w:vertAlign w:val="baseline"/>
        </w:rPr>
        <w:t>平均质量浓度的二级浓度限值，如项目位于一类</w:t>
      </w:r>
      <w:r>
        <w:rPr>
          <w:spacing w:val="-8"/>
          <w:vertAlign w:val="baseline"/>
        </w:rPr>
        <w:t>环境空气功能区，应选择相应的一级浓度限值；对该标准中未包含的污染物，使</w:t>
      </w:r>
      <w:r>
        <w:rPr>
          <w:vertAlign w:val="baseline"/>
        </w:rPr>
        <w:t>用《环境影响评价技术导则大气环境》（</w:t>
      </w:r>
      <w:r>
        <w:rPr>
          <w:rFonts w:ascii="Times New Roman" w:eastAsia="Times New Roman"/>
          <w:vertAlign w:val="baseline"/>
        </w:rPr>
        <w:t>HJ2.2-2018</w:t>
      </w:r>
      <w:r>
        <w:rPr>
          <w:vertAlign w:val="baseline"/>
        </w:rPr>
        <w:t>）中评价标准确定方法确</w:t>
      </w:r>
      <w:r>
        <w:rPr>
          <w:spacing w:val="-8"/>
          <w:vertAlign w:val="baseline"/>
        </w:rPr>
        <w:t>定的各评价因子</w:t>
      </w:r>
      <w:r>
        <w:rPr>
          <w:rFonts w:ascii="Times New Roman" w:eastAsia="Times New Roman"/>
          <w:vertAlign w:val="baseline"/>
        </w:rPr>
        <w:t>1h</w:t>
      </w:r>
      <w:r>
        <w:rPr>
          <w:spacing w:val="-11"/>
          <w:vertAlign w:val="baseline"/>
        </w:rPr>
        <w:t>平均质量浓度限值。对仅有</w:t>
      </w:r>
      <w:r>
        <w:rPr>
          <w:rFonts w:ascii="Times New Roman" w:eastAsia="Times New Roman"/>
          <w:vertAlign w:val="baseline"/>
        </w:rPr>
        <w:t>8h</w:t>
      </w:r>
      <w:r>
        <w:rPr>
          <w:spacing w:val="-7"/>
          <w:vertAlign w:val="baseline"/>
        </w:rPr>
        <w:t>平均质量浓度限值、日平均质</w:t>
      </w:r>
      <w:r>
        <w:rPr>
          <w:spacing w:val="-5"/>
          <w:vertAlign w:val="baseline"/>
        </w:rPr>
        <w:t>量浓度限值或年平均质量浓度限值的，可分别按</w:t>
      </w:r>
      <w:r>
        <w:rPr>
          <w:rFonts w:ascii="Times New Roman" w:eastAsia="Times New Roman"/>
          <w:vertAlign w:val="baseline"/>
        </w:rPr>
        <w:t>2</w:t>
      </w:r>
      <w:r>
        <w:rPr>
          <w:spacing w:val="-16"/>
          <w:vertAlign w:val="baseline"/>
        </w:rPr>
        <w:t>倍、</w:t>
      </w:r>
      <w:r>
        <w:rPr>
          <w:rFonts w:ascii="Times New Roman" w:eastAsia="Times New Roman"/>
          <w:vertAlign w:val="baseline"/>
        </w:rPr>
        <w:t>3</w:t>
      </w:r>
      <w:r>
        <w:rPr>
          <w:spacing w:val="-16"/>
          <w:vertAlign w:val="baseline"/>
        </w:rPr>
        <w:t>倍、</w:t>
      </w:r>
      <w:r>
        <w:rPr>
          <w:rFonts w:ascii="Times New Roman" w:eastAsia="Times New Roman"/>
          <w:vertAlign w:val="baseline"/>
        </w:rPr>
        <w:t>6</w:t>
      </w:r>
      <w:r>
        <w:rPr>
          <w:spacing w:val="-13"/>
          <w:vertAlign w:val="baseline"/>
        </w:rPr>
        <w:t>倍折算为</w:t>
      </w:r>
      <w:r>
        <w:rPr>
          <w:rFonts w:ascii="Times New Roman" w:eastAsia="Times New Roman"/>
          <w:vertAlign w:val="baseline"/>
        </w:rPr>
        <w:t>1h</w:t>
      </w:r>
      <w:r>
        <w:rPr>
          <w:spacing w:val="-7"/>
          <w:vertAlign w:val="baseline"/>
        </w:rPr>
        <w:t>平均</w:t>
      </w:r>
      <w:r>
        <w:rPr>
          <w:vertAlign w:val="baseline"/>
        </w:rPr>
        <w:t>质量浓度限值。</w:t>
      </w:r>
    </w:p>
    <w:p>
      <w:pPr>
        <w:pStyle w:val="7"/>
        <w:spacing w:before="2" w:line="362" w:lineRule="auto"/>
        <w:ind w:right="572" w:firstLine="480"/>
        <w:jc w:val="both"/>
      </w:pPr>
      <w:r>
        <w:rPr>
          <w:spacing w:val="-4"/>
        </w:rPr>
        <w:t>评价级别判别依据《环境影响评价技术导则</w:t>
      </w:r>
      <w:r>
        <w:rPr>
          <w:rFonts w:ascii="Times New Roman" w:hAnsi="Times New Roman" w:eastAsia="Times New Roman"/>
        </w:rPr>
        <w:t>·</w:t>
      </w:r>
      <w:r>
        <w:rPr>
          <w:spacing w:val="-11"/>
        </w:rPr>
        <w:t>大气环境》</w:t>
      </w:r>
      <w:r>
        <w:rPr>
          <w:spacing w:val="-3"/>
        </w:rPr>
        <w:t>（</w:t>
      </w:r>
      <w:r>
        <w:rPr>
          <w:rFonts w:ascii="Times New Roman" w:hAnsi="Times New Roman" w:eastAsia="Times New Roman"/>
          <w:spacing w:val="-3"/>
        </w:rPr>
        <w:t>HJ2.2-2018</w:t>
      </w:r>
      <w:r>
        <w:rPr>
          <w:spacing w:val="-3"/>
        </w:rPr>
        <w:t>）</w:t>
      </w:r>
      <w:r>
        <w:rPr>
          <w:spacing w:val="-7"/>
        </w:rPr>
        <w:t>中规</w:t>
      </w:r>
      <w:r>
        <w:rPr>
          <w:spacing w:val="-12"/>
          <w:position w:val="2"/>
        </w:rPr>
        <w:t>定，见表</w:t>
      </w:r>
      <w:r>
        <w:rPr>
          <w:rFonts w:ascii="Times New Roman" w:hAnsi="Times New Roman" w:eastAsia="Times New Roman"/>
          <w:position w:val="2"/>
        </w:rPr>
        <w:t>2.6-1</w:t>
      </w:r>
      <w:r>
        <w:rPr>
          <w:spacing w:val="-9"/>
          <w:position w:val="2"/>
        </w:rPr>
        <w:t>。如污染物数</w:t>
      </w:r>
      <w:r>
        <w:rPr>
          <w:rFonts w:ascii="Times New Roman" w:hAnsi="Times New Roman" w:eastAsia="Times New Roman"/>
          <w:position w:val="2"/>
        </w:rPr>
        <w:t>i</w:t>
      </w:r>
      <w:r>
        <w:rPr>
          <w:spacing w:val="-20"/>
          <w:position w:val="2"/>
        </w:rPr>
        <w:t>大于</w:t>
      </w:r>
      <w:r>
        <w:rPr>
          <w:rFonts w:ascii="Times New Roman" w:hAnsi="Times New Roman" w:eastAsia="Times New Roman"/>
          <w:position w:val="2"/>
        </w:rPr>
        <w:t>1</w:t>
      </w:r>
      <w:r>
        <w:rPr>
          <w:spacing w:val="-20"/>
          <w:position w:val="2"/>
        </w:rPr>
        <w:t>，取</w:t>
      </w:r>
      <w:r>
        <w:rPr>
          <w:rFonts w:ascii="Times New Roman" w:hAnsi="Times New Roman" w:eastAsia="Times New Roman"/>
          <w:position w:val="2"/>
        </w:rPr>
        <w:t>P</w:t>
      </w:r>
      <w:r>
        <w:rPr>
          <w:position w:val="2"/>
        </w:rPr>
        <w:t>值中最大者（</w:t>
      </w:r>
      <w:r>
        <w:rPr>
          <w:rFonts w:ascii="Times New Roman" w:hAnsi="Times New Roman" w:eastAsia="Times New Roman"/>
          <w:position w:val="2"/>
        </w:rPr>
        <w:t>P</w:t>
      </w:r>
      <w:r>
        <w:rPr>
          <w:rFonts w:ascii="Times New Roman" w:hAnsi="Times New Roman" w:eastAsia="Times New Roman"/>
          <w:position w:val="2"/>
          <w:vertAlign w:val="subscript"/>
        </w:rPr>
        <w:t>max</w:t>
      </w:r>
      <w:r>
        <w:rPr>
          <w:position w:val="2"/>
          <w:vertAlign w:val="baseline"/>
        </w:rPr>
        <w:t>）。</w:t>
      </w:r>
    </w:p>
    <w:p>
      <w:pPr>
        <w:pStyle w:val="7"/>
        <w:bidi w:val="0"/>
        <w:jc w:val="center"/>
      </w:pPr>
      <w:r>
        <w:t>表</w:t>
      </w:r>
      <w:r>
        <w:rPr>
          <w:rFonts w:ascii="Times New Roman" w:eastAsia="Times New Roman"/>
        </w:rPr>
        <w:t>2.6-1</w:t>
      </w:r>
      <w:r>
        <w:rPr>
          <w:rFonts w:ascii="Times New Roman" w:eastAsia="Times New Roman"/>
        </w:rPr>
        <w:tab/>
      </w:r>
      <w:r>
        <w:t>评价工作等级</w:t>
      </w:r>
    </w:p>
    <w:tbl>
      <w:tblPr>
        <w:tblStyle w:val="15"/>
        <w:tblW w:w="0" w:type="auto"/>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7"/>
        <w:gridCol w:w="5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57" w:type="dxa"/>
          </w:tcPr>
          <w:p>
            <w:pPr>
              <w:pStyle w:val="19"/>
              <w:spacing w:before="31"/>
              <w:ind w:left="625" w:right="616"/>
              <w:rPr>
                <w:b/>
                <w:sz w:val="21"/>
              </w:rPr>
            </w:pPr>
            <w:r>
              <w:rPr>
                <w:b/>
                <w:sz w:val="21"/>
              </w:rPr>
              <w:t>评价工作等级</w:t>
            </w:r>
          </w:p>
        </w:tc>
        <w:tc>
          <w:tcPr>
            <w:tcW w:w="5795" w:type="dxa"/>
          </w:tcPr>
          <w:p>
            <w:pPr>
              <w:pStyle w:val="19"/>
              <w:spacing w:before="31"/>
              <w:ind w:left="2035" w:right="2022"/>
              <w:rPr>
                <w:b/>
                <w:sz w:val="21"/>
              </w:rPr>
            </w:pPr>
            <w:r>
              <w:rPr>
                <w:b/>
                <w:sz w:val="21"/>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57" w:type="dxa"/>
          </w:tcPr>
          <w:p>
            <w:pPr>
              <w:pStyle w:val="19"/>
              <w:spacing w:before="29"/>
              <w:ind w:left="620" w:right="616"/>
              <w:rPr>
                <w:sz w:val="21"/>
              </w:rPr>
            </w:pPr>
            <w:r>
              <w:rPr>
                <w:sz w:val="21"/>
              </w:rPr>
              <w:t>一级</w:t>
            </w:r>
          </w:p>
        </w:tc>
        <w:tc>
          <w:tcPr>
            <w:tcW w:w="5795" w:type="dxa"/>
          </w:tcPr>
          <w:p>
            <w:pPr>
              <w:pStyle w:val="19"/>
              <w:spacing w:before="26"/>
              <w:ind w:left="2032" w:right="2022"/>
              <w:rPr>
                <w:rFonts w:ascii="Times New Roman" w:hAnsi="Times New Roman"/>
                <w:sz w:val="21"/>
              </w:rPr>
            </w:pPr>
            <w:r>
              <w:rPr>
                <w:rFonts w:ascii="Times New Roman" w:hAnsi="Times New Roman"/>
                <w:position w:val="2"/>
                <w:sz w:val="21"/>
              </w:rPr>
              <w:t>P</w:t>
            </w:r>
            <w:r>
              <w:rPr>
                <w:rFonts w:ascii="Times New Roman" w:hAnsi="Times New Roman"/>
                <w:position w:val="2"/>
                <w:sz w:val="21"/>
                <w:vertAlign w:val="subscript"/>
              </w:rPr>
              <w:t>max</w:t>
            </w:r>
            <w:r>
              <w:rPr>
                <w:position w:val="2"/>
                <w:sz w:val="21"/>
                <w:vertAlign w:val="baseline"/>
              </w:rPr>
              <w:t>≥</w:t>
            </w:r>
            <w:r>
              <w:rPr>
                <w:rFonts w:ascii="Times New Roman" w:hAnsi="Times New Roman"/>
                <w:position w:val="2"/>
                <w:sz w:val="21"/>
                <w:vertAlign w:val="baseli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57" w:type="dxa"/>
          </w:tcPr>
          <w:p>
            <w:pPr>
              <w:pStyle w:val="19"/>
              <w:spacing w:before="30"/>
              <w:ind w:left="620" w:right="616"/>
              <w:rPr>
                <w:sz w:val="21"/>
              </w:rPr>
            </w:pPr>
            <w:r>
              <w:rPr>
                <w:sz w:val="21"/>
              </w:rPr>
              <w:t>二级</w:t>
            </w:r>
          </w:p>
        </w:tc>
        <w:tc>
          <w:tcPr>
            <w:tcW w:w="5795" w:type="dxa"/>
          </w:tcPr>
          <w:p>
            <w:pPr>
              <w:pStyle w:val="19"/>
              <w:spacing w:before="26"/>
              <w:ind w:left="2034" w:right="2022"/>
              <w:rPr>
                <w:rFonts w:ascii="Times New Roman" w:hAnsi="Times New Roman" w:eastAsia="Times New Roman"/>
                <w:sz w:val="21"/>
              </w:rPr>
            </w:pPr>
            <w:r>
              <w:rPr>
                <w:rFonts w:ascii="Times New Roman" w:hAnsi="Times New Roman" w:eastAsia="Times New Roman"/>
                <w:position w:val="2"/>
                <w:sz w:val="21"/>
              </w:rPr>
              <w:t>1%</w:t>
            </w:r>
            <w:r>
              <w:rPr>
                <w:position w:val="2"/>
                <w:sz w:val="21"/>
              </w:rPr>
              <w:t>≤</w:t>
            </w:r>
            <w:r>
              <w:rPr>
                <w:rFonts w:ascii="Times New Roman" w:hAnsi="Times New Roman" w:eastAsia="Times New Roman"/>
                <w:position w:val="2"/>
                <w:sz w:val="21"/>
              </w:rPr>
              <w:t>P</w:t>
            </w:r>
            <w:r>
              <w:rPr>
                <w:rFonts w:ascii="Times New Roman" w:hAnsi="Times New Roman" w:eastAsia="Times New Roman"/>
                <w:position w:val="2"/>
                <w:sz w:val="21"/>
                <w:vertAlign w:val="subscript"/>
              </w:rPr>
              <w:t>max</w:t>
            </w:r>
            <w:r>
              <w:rPr>
                <w:position w:val="2"/>
                <w:sz w:val="21"/>
                <w:vertAlign w:val="baseline"/>
              </w:rPr>
              <w:t>＜</w:t>
            </w:r>
            <w:r>
              <w:rPr>
                <w:rFonts w:ascii="Times New Roman" w:hAnsi="Times New Roman" w:eastAsia="Times New Roman"/>
                <w:position w:val="2"/>
                <w:sz w:val="21"/>
                <w:vertAlign w:val="baseli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57" w:type="dxa"/>
          </w:tcPr>
          <w:p>
            <w:pPr>
              <w:pStyle w:val="19"/>
              <w:spacing w:before="31"/>
              <w:ind w:left="620" w:right="616"/>
              <w:rPr>
                <w:sz w:val="21"/>
              </w:rPr>
            </w:pPr>
            <w:r>
              <w:rPr>
                <w:sz w:val="21"/>
              </w:rPr>
              <w:t>三级</w:t>
            </w:r>
          </w:p>
        </w:tc>
        <w:tc>
          <w:tcPr>
            <w:tcW w:w="5795" w:type="dxa"/>
          </w:tcPr>
          <w:p>
            <w:pPr>
              <w:pStyle w:val="19"/>
              <w:spacing w:before="27"/>
              <w:ind w:left="2032" w:right="2022"/>
              <w:rPr>
                <w:rFonts w:ascii="Times New Roman" w:eastAsia="Times New Roman"/>
                <w:sz w:val="21"/>
              </w:rPr>
            </w:pPr>
            <w:r>
              <w:rPr>
                <w:rFonts w:ascii="Times New Roman" w:eastAsia="Times New Roman"/>
                <w:position w:val="2"/>
                <w:sz w:val="21"/>
              </w:rPr>
              <w:t>P</w:t>
            </w:r>
            <w:r>
              <w:rPr>
                <w:rFonts w:ascii="Times New Roman" w:eastAsia="Times New Roman"/>
                <w:position w:val="2"/>
                <w:sz w:val="21"/>
                <w:vertAlign w:val="subscript"/>
              </w:rPr>
              <w:t>max</w:t>
            </w:r>
            <w:r>
              <w:rPr>
                <w:position w:val="2"/>
                <w:sz w:val="21"/>
                <w:vertAlign w:val="baseline"/>
              </w:rPr>
              <w:t>＜</w:t>
            </w:r>
            <w:r>
              <w:rPr>
                <w:rFonts w:ascii="Times New Roman" w:eastAsia="Times New Roman"/>
                <w:position w:val="2"/>
                <w:sz w:val="21"/>
                <w:vertAlign w:val="baseline"/>
              </w:rPr>
              <w:t>1%</w:t>
            </w:r>
          </w:p>
        </w:tc>
      </w:tr>
    </w:tbl>
    <w:p>
      <w:pPr>
        <w:pStyle w:val="7"/>
        <w:spacing w:before="6"/>
        <w:ind w:left="0"/>
        <w:rPr>
          <w:b/>
          <w:sz w:val="18"/>
        </w:rPr>
      </w:pPr>
    </w:p>
    <w:p>
      <w:pPr>
        <w:pStyle w:val="7"/>
        <w:spacing w:line="362" w:lineRule="auto"/>
        <w:ind w:right="572" w:firstLine="480"/>
        <w:jc w:val="both"/>
        <w:rPr>
          <w:vertAlign w:val="baseline"/>
        </w:rPr>
      </w:pPr>
      <w:r>
        <w:t>根据项目大气污染物排放特点并结合导则要求，按估算模式</w:t>
      </w:r>
      <w:r>
        <w:rPr>
          <w:rFonts w:ascii="Times New Roman" w:eastAsia="Times New Roman"/>
        </w:rPr>
        <w:t>AERSCREEN</w:t>
      </w:r>
      <w:r>
        <w:rPr>
          <w:spacing w:val="-7"/>
          <w:position w:val="2"/>
        </w:rPr>
        <w:t>分别计算污染物</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3"/>
          <w:position w:val="2"/>
          <w:vertAlign w:val="baseline"/>
        </w:rPr>
        <w:t>和颗粒物的最大地面浓度、占标率</w:t>
      </w:r>
      <w:r>
        <w:rPr>
          <w:rFonts w:ascii="Times New Roman" w:eastAsia="Times New Roman"/>
          <w:position w:val="2"/>
          <w:vertAlign w:val="baseline"/>
        </w:rPr>
        <w:t>P</w:t>
      </w:r>
      <w:r>
        <w:rPr>
          <w:rFonts w:ascii="Times New Roman" w:eastAsia="Times New Roman"/>
          <w:position w:val="2"/>
          <w:vertAlign w:val="subscript"/>
        </w:rPr>
        <w:t>i</w:t>
      </w:r>
      <w:r>
        <w:rPr>
          <w:spacing w:val="-24"/>
          <w:position w:val="2"/>
          <w:vertAlign w:val="baseline"/>
        </w:rPr>
        <w:t>及</w:t>
      </w:r>
      <w:r>
        <w:rPr>
          <w:rFonts w:ascii="Times New Roman" w:eastAsia="Times New Roman"/>
          <w:position w:val="2"/>
          <w:vertAlign w:val="baseline"/>
        </w:rPr>
        <w:t>D</w:t>
      </w:r>
      <w:r>
        <w:rPr>
          <w:rFonts w:ascii="Times New Roman" w:eastAsia="Times New Roman"/>
          <w:position w:val="2"/>
          <w:vertAlign w:val="subscript"/>
        </w:rPr>
        <w:t>10%</w:t>
      </w:r>
      <w:r>
        <w:rPr>
          <w:spacing w:val="-6"/>
          <w:position w:val="2"/>
          <w:vertAlign w:val="baseline"/>
        </w:rPr>
        <w:t>，确定</w:t>
      </w:r>
      <w:r>
        <w:rPr>
          <w:vertAlign w:val="baseline"/>
        </w:rPr>
        <w:t>其评价工作等级。</w:t>
      </w:r>
    </w:p>
    <w:p>
      <w:pPr>
        <w:pStyle w:val="7"/>
        <w:spacing w:line="362" w:lineRule="auto"/>
        <w:ind w:right="572" w:firstLine="480"/>
        <w:jc w:val="both"/>
      </w:pPr>
      <w:r>
        <w:t>①源强参数</w:t>
      </w:r>
    </w:p>
    <w:p>
      <w:pPr>
        <w:keepNext w:val="0"/>
        <w:keepLines w:val="0"/>
        <w:pageBreakBefore w:val="0"/>
        <w:widowControl w:val="0"/>
        <w:tabs>
          <w:tab w:val="left" w:pos="3892"/>
        </w:tabs>
        <w:kinsoku/>
        <w:wordWrap/>
        <w:overflowPunct/>
        <w:topLinePunct w:val="0"/>
        <w:autoSpaceDE w:val="0"/>
        <w:autoSpaceDN w:val="0"/>
        <w:bidi w:val="0"/>
        <w:adjustRightInd/>
        <w:snapToGrid/>
        <w:spacing w:before="160" w:line="360" w:lineRule="auto"/>
        <w:ind w:right="0" w:firstLine="480" w:firstLineChars="200"/>
        <w:jc w:val="both"/>
        <w:textAlignment w:val="auto"/>
        <w:rPr>
          <w:spacing w:val="-16"/>
          <w:sz w:val="24"/>
        </w:rPr>
      </w:pPr>
      <w:r>
        <w:rPr>
          <w:sz w:val="24"/>
        </w:rPr>
        <w:pict>
          <v:shape id="_x0000_s1211" o:spid="_x0000_s1211" o:spt="202" type="#_x0000_t202" style="position:absolute;left:0pt;margin-left:118.9pt;margin-top:27.8pt;height:23.35pt;width:230.85pt;z-index:2048;mso-width-relative:page;mso-height-relative:page;" filled="f" stroked="f" coordsize="21600,21600">
            <v:path/>
            <v:fill on="f" focussize="0,0"/>
            <v:stroke on="f"/>
            <v:imagedata o:title=""/>
            <o:lock v:ext="edit" aspectratio="f"/>
            <v:textbox>
              <w:txbxContent>
                <w:p>
                  <w:pPr>
                    <w:jc w:val="center"/>
                  </w:pPr>
                  <w:r>
                    <w:rPr>
                      <w:b/>
                      <w:sz w:val="24"/>
                    </w:rPr>
                    <w:t>表</w:t>
                  </w:r>
                  <w:r>
                    <w:rPr>
                      <w:rFonts w:ascii="Times New Roman" w:eastAsia="Times New Roman"/>
                      <w:b/>
                      <w:sz w:val="24"/>
                    </w:rPr>
                    <w:t>2.6-2</w:t>
                  </w:r>
                  <w:r>
                    <w:rPr>
                      <w:b/>
                      <w:sz w:val="24"/>
                    </w:rPr>
                    <w:t>项目废气排放源强情况一览表</w:t>
                  </w:r>
                </w:p>
              </w:txbxContent>
            </v:textbox>
          </v:shape>
        </w:pict>
      </w:r>
      <w:r>
        <w:rPr>
          <w:sz w:val="24"/>
        </w:rPr>
        <w:t>无组织废气污染物排放参数见表</w:t>
      </w:r>
      <w:r>
        <w:rPr>
          <w:rFonts w:ascii="Times New Roman" w:eastAsia="Times New Roman"/>
          <w:sz w:val="24"/>
        </w:rPr>
        <w:t>2.6-2</w:t>
      </w:r>
      <w:r>
        <w:rPr>
          <w:sz w:val="24"/>
        </w:rPr>
        <w:t>，估算模型参数见表</w:t>
      </w:r>
      <w:r>
        <w:rPr>
          <w:rFonts w:ascii="Times New Roman" w:eastAsia="Times New Roman"/>
          <w:sz w:val="24"/>
        </w:rPr>
        <w:t>2.6-3</w:t>
      </w:r>
      <w:r>
        <w:rPr>
          <w:spacing w:val="-16"/>
          <w:sz w:val="24"/>
        </w:rPr>
        <w:t>。</w:t>
      </w:r>
    </w:p>
    <w:tbl>
      <w:tblPr>
        <w:tblStyle w:val="15"/>
        <w:tblpPr w:leftFromText="180" w:rightFromText="180" w:vertAnchor="page" w:horzAnchor="page" w:tblpX="1633" w:tblpY="12817"/>
        <w:tblOverlap w:val="never"/>
        <w:tblW w:w="87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9"/>
        <w:gridCol w:w="1207"/>
        <w:gridCol w:w="862"/>
        <w:gridCol w:w="1294"/>
        <w:gridCol w:w="1702"/>
        <w:gridCol w:w="1182"/>
        <w:gridCol w:w="20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26" w:type="dxa"/>
            <w:gridSpan w:val="2"/>
            <w:vMerge w:val="restart"/>
            <w:tcBorders>
              <w:tl2br w:val="nil"/>
              <w:tr2bl w:val="nil"/>
            </w:tcBorders>
          </w:tcPr>
          <w:p>
            <w:pPr>
              <w:pStyle w:val="19"/>
              <w:spacing w:before="6"/>
              <w:jc w:val="left"/>
              <w:rPr>
                <w:b/>
                <w:sz w:val="27"/>
              </w:rPr>
            </w:pPr>
          </w:p>
          <w:p>
            <w:pPr>
              <w:pStyle w:val="19"/>
              <w:spacing w:before="1"/>
              <w:ind w:left="519"/>
              <w:jc w:val="left"/>
              <w:rPr>
                <w:b/>
                <w:sz w:val="21"/>
              </w:rPr>
            </w:pPr>
            <w:r>
              <w:rPr>
                <w:b/>
                <w:sz w:val="21"/>
              </w:rPr>
              <w:t>污染源</w:t>
            </w:r>
          </w:p>
        </w:tc>
        <w:tc>
          <w:tcPr>
            <w:tcW w:w="862" w:type="dxa"/>
            <w:vMerge w:val="restart"/>
            <w:tcBorders>
              <w:tl2br w:val="nil"/>
              <w:tr2bl w:val="nil"/>
            </w:tcBorders>
          </w:tcPr>
          <w:p>
            <w:pPr>
              <w:pStyle w:val="19"/>
              <w:spacing w:before="4"/>
              <w:jc w:val="left"/>
              <w:rPr>
                <w:b/>
                <w:sz w:val="15"/>
              </w:rPr>
            </w:pPr>
          </w:p>
          <w:p>
            <w:pPr>
              <w:pStyle w:val="19"/>
              <w:spacing w:line="278" w:lineRule="auto"/>
              <w:ind w:left="312" w:right="195" w:hanging="106"/>
              <w:jc w:val="left"/>
              <w:rPr>
                <w:b/>
                <w:sz w:val="21"/>
              </w:rPr>
            </w:pPr>
            <w:r>
              <w:rPr>
                <w:b/>
                <w:sz w:val="21"/>
              </w:rPr>
              <w:t>污染物</w:t>
            </w:r>
          </w:p>
        </w:tc>
        <w:tc>
          <w:tcPr>
            <w:tcW w:w="2996" w:type="dxa"/>
            <w:gridSpan w:val="2"/>
            <w:tcBorders>
              <w:tl2br w:val="nil"/>
              <w:tr2bl w:val="nil"/>
            </w:tcBorders>
          </w:tcPr>
          <w:p>
            <w:pPr>
              <w:pStyle w:val="19"/>
              <w:spacing w:before="36"/>
              <w:ind w:left="1009" w:right="997"/>
              <w:rPr>
                <w:b/>
                <w:sz w:val="21"/>
              </w:rPr>
            </w:pPr>
            <w:r>
              <w:rPr>
                <w:b/>
                <w:sz w:val="21"/>
              </w:rPr>
              <w:t>排放参数</w:t>
            </w:r>
          </w:p>
        </w:tc>
        <w:tc>
          <w:tcPr>
            <w:tcW w:w="1182" w:type="dxa"/>
            <w:vMerge w:val="restart"/>
            <w:tcBorders>
              <w:tl2br w:val="nil"/>
              <w:tr2bl w:val="nil"/>
            </w:tcBorders>
          </w:tcPr>
          <w:p>
            <w:pPr>
              <w:pStyle w:val="19"/>
              <w:spacing w:before="6"/>
              <w:jc w:val="left"/>
              <w:rPr>
                <w:b/>
                <w:sz w:val="27"/>
              </w:rPr>
            </w:pPr>
          </w:p>
          <w:p>
            <w:pPr>
              <w:pStyle w:val="19"/>
              <w:spacing w:before="1"/>
              <w:ind w:left="255"/>
              <w:jc w:val="left"/>
              <w:rPr>
                <w:b/>
                <w:sz w:val="21"/>
              </w:rPr>
            </w:pPr>
            <w:r>
              <w:rPr>
                <w:b/>
                <w:sz w:val="21"/>
              </w:rPr>
              <w:t>标准值</w:t>
            </w:r>
          </w:p>
        </w:tc>
        <w:tc>
          <w:tcPr>
            <w:tcW w:w="2031" w:type="dxa"/>
            <w:vMerge w:val="restart"/>
            <w:tcBorders>
              <w:tl2br w:val="nil"/>
              <w:tr2bl w:val="nil"/>
            </w:tcBorders>
          </w:tcPr>
          <w:p>
            <w:pPr>
              <w:pStyle w:val="19"/>
              <w:spacing w:before="6"/>
              <w:jc w:val="left"/>
              <w:rPr>
                <w:b/>
                <w:sz w:val="27"/>
              </w:rPr>
            </w:pPr>
          </w:p>
          <w:p>
            <w:pPr>
              <w:pStyle w:val="19"/>
              <w:spacing w:before="1"/>
              <w:ind w:left="562"/>
              <w:jc w:val="left"/>
              <w:rPr>
                <w:b/>
                <w:sz w:val="21"/>
              </w:rPr>
            </w:pPr>
            <w:r>
              <w:rPr>
                <w:b/>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726" w:type="dxa"/>
            <w:gridSpan w:val="2"/>
            <w:vMerge w:val="continue"/>
            <w:tcBorders>
              <w:tl2br w:val="nil"/>
              <w:tr2bl w:val="nil"/>
            </w:tcBorders>
          </w:tcPr>
          <w:p>
            <w:pPr>
              <w:rPr>
                <w:sz w:val="2"/>
                <w:szCs w:val="2"/>
              </w:rPr>
            </w:pPr>
          </w:p>
        </w:tc>
        <w:tc>
          <w:tcPr>
            <w:tcW w:w="862" w:type="dxa"/>
            <w:vMerge w:val="continue"/>
            <w:tcBorders>
              <w:tl2br w:val="nil"/>
              <w:tr2bl w:val="nil"/>
            </w:tcBorders>
          </w:tcPr>
          <w:p>
            <w:pPr>
              <w:rPr>
                <w:sz w:val="2"/>
                <w:szCs w:val="2"/>
              </w:rPr>
            </w:pPr>
          </w:p>
        </w:tc>
        <w:tc>
          <w:tcPr>
            <w:tcW w:w="1294" w:type="dxa"/>
            <w:tcBorders>
              <w:tl2br w:val="nil"/>
              <w:tr2bl w:val="nil"/>
            </w:tcBorders>
          </w:tcPr>
          <w:p>
            <w:pPr>
              <w:pStyle w:val="19"/>
              <w:spacing w:before="22"/>
              <w:ind w:left="204"/>
              <w:jc w:val="left"/>
              <w:rPr>
                <w:b/>
                <w:sz w:val="21"/>
              </w:rPr>
            </w:pPr>
            <w:r>
              <w:rPr>
                <w:b/>
                <w:sz w:val="21"/>
              </w:rPr>
              <w:t>污染物排</w:t>
            </w:r>
          </w:p>
          <w:p>
            <w:pPr>
              <w:pStyle w:val="19"/>
              <w:spacing w:before="43"/>
              <w:ind w:left="108"/>
              <w:jc w:val="left"/>
              <w:rPr>
                <w:b/>
                <w:sz w:val="21"/>
              </w:rPr>
            </w:pPr>
            <w:r>
              <w:rPr>
                <w:b/>
                <w:sz w:val="21"/>
              </w:rPr>
              <w:t>放量（</w:t>
            </w:r>
            <w:r>
              <w:rPr>
                <w:rFonts w:ascii="Times New Roman" w:eastAsia="Times New Roman"/>
                <w:b/>
                <w:sz w:val="21"/>
              </w:rPr>
              <w:t>t/a</w:t>
            </w:r>
            <w:r>
              <w:rPr>
                <w:b/>
                <w:sz w:val="21"/>
              </w:rPr>
              <w:t>）</w:t>
            </w:r>
          </w:p>
        </w:tc>
        <w:tc>
          <w:tcPr>
            <w:tcW w:w="1702" w:type="dxa"/>
            <w:tcBorders>
              <w:tl2br w:val="nil"/>
              <w:tr2bl w:val="nil"/>
            </w:tcBorders>
          </w:tcPr>
          <w:p>
            <w:pPr>
              <w:pStyle w:val="19"/>
              <w:spacing w:before="178"/>
              <w:ind w:left="171" w:right="162"/>
              <w:rPr>
                <w:b/>
                <w:sz w:val="21"/>
              </w:rPr>
            </w:pPr>
            <w:r>
              <w:rPr>
                <w:b/>
                <w:sz w:val="21"/>
              </w:rPr>
              <w:t>污染源参数</w:t>
            </w:r>
          </w:p>
        </w:tc>
        <w:tc>
          <w:tcPr>
            <w:tcW w:w="1182" w:type="dxa"/>
            <w:vMerge w:val="continue"/>
            <w:tcBorders>
              <w:tl2br w:val="nil"/>
              <w:tr2bl w:val="nil"/>
            </w:tcBorders>
          </w:tcPr>
          <w:p>
            <w:pPr>
              <w:rPr>
                <w:sz w:val="2"/>
                <w:szCs w:val="2"/>
              </w:rPr>
            </w:pPr>
          </w:p>
        </w:tc>
        <w:tc>
          <w:tcPr>
            <w:tcW w:w="2031" w:type="dxa"/>
            <w:vMerge w:val="continue"/>
            <w:tcBorders>
              <w:tl2br w:val="nil"/>
              <w:tr2bl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9" w:type="dxa"/>
            <w:vMerge w:val="restart"/>
            <w:tcBorders>
              <w:tl2br w:val="nil"/>
              <w:tr2bl w:val="nil"/>
            </w:tcBorders>
          </w:tcPr>
          <w:p>
            <w:pPr>
              <w:pStyle w:val="19"/>
              <w:jc w:val="left"/>
              <w:rPr>
                <w:b/>
                <w:sz w:val="20"/>
              </w:rPr>
            </w:pPr>
          </w:p>
          <w:p>
            <w:pPr>
              <w:pStyle w:val="19"/>
              <w:spacing w:before="178" w:line="278" w:lineRule="auto"/>
              <w:ind w:left="145" w:right="136"/>
              <w:jc w:val="left"/>
              <w:rPr>
                <w:sz w:val="21"/>
              </w:rPr>
            </w:pPr>
            <w:r>
              <w:rPr>
                <w:sz w:val="21"/>
              </w:rPr>
              <w:t>面源</w:t>
            </w:r>
          </w:p>
        </w:tc>
        <w:tc>
          <w:tcPr>
            <w:tcW w:w="1207" w:type="dxa"/>
            <w:vMerge w:val="restart"/>
            <w:tcBorders>
              <w:tl2br w:val="nil"/>
              <w:tr2bl w:val="nil"/>
            </w:tcBorders>
          </w:tcPr>
          <w:p>
            <w:pPr>
              <w:pStyle w:val="19"/>
              <w:spacing w:before="7"/>
              <w:jc w:val="left"/>
              <w:rPr>
                <w:b/>
                <w:sz w:val="17"/>
              </w:rPr>
            </w:pPr>
          </w:p>
          <w:p>
            <w:pPr>
              <w:pStyle w:val="19"/>
              <w:ind w:left="162"/>
              <w:jc w:val="left"/>
              <w:rPr>
                <w:sz w:val="21"/>
              </w:rPr>
            </w:pPr>
            <w:r>
              <w:rPr>
                <w:sz w:val="21"/>
              </w:rPr>
              <w:t>养羊棚舍</w:t>
            </w:r>
          </w:p>
        </w:tc>
        <w:tc>
          <w:tcPr>
            <w:tcW w:w="862" w:type="dxa"/>
            <w:tcBorders>
              <w:tl2br w:val="nil"/>
              <w:tr2bl w:val="nil"/>
            </w:tcBorders>
          </w:tcPr>
          <w:p>
            <w:pPr>
              <w:pStyle w:val="19"/>
              <w:spacing w:before="46"/>
              <w:ind w:left="211" w:right="201"/>
              <w:rPr>
                <w:rFonts w:ascii="Times New Roman"/>
                <w:sz w:val="21"/>
              </w:rPr>
            </w:pPr>
            <w:r>
              <w:rPr>
                <w:rFonts w:ascii="Times New Roman"/>
                <w:position w:val="2"/>
                <w:sz w:val="21"/>
              </w:rPr>
              <w:t>NH</w:t>
            </w:r>
            <w:r>
              <w:rPr>
                <w:rFonts w:ascii="Times New Roman"/>
                <w:position w:val="2"/>
                <w:sz w:val="21"/>
                <w:vertAlign w:val="subscript"/>
              </w:rPr>
              <w:t>3</w:t>
            </w:r>
          </w:p>
        </w:tc>
        <w:tc>
          <w:tcPr>
            <w:tcW w:w="1294" w:type="dxa"/>
            <w:tcBorders>
              <w:tl2br w:val="nil"/>
              <w:tr2bl w:val="nil"/>
            </w:tcBorders>
          </w:tcPr>
          <w:p>
            <w:pPr>
              <w:pStyle w:val="19"/>
              <w:spacing w:before="50"/>
              <w:ind w:left="336"/>
              <w:jc w:val="left"/>
              <w:rPr>
                <w:rFonts w:ascii="Times New Roman"/>
                <w:sz w:val="21"/>
              </w:rPr>
            </w:pPr>
            <w:r>
              <w:rPr>
                <w:rFonts w:ascii="Times New Roman"/>
                <w:sz w:val="21"/>
              </w:rPr>
              <w:t>0.0306</w:t>
            </w:r>
          </w:p>
        </w:tc>
        <w:tc>
          <w:tcPr>
            <w:tcW w:w="1702" w:type="dxa"/>
            <w:vMerge w:val="restart"/>
            <w:tcBorders>
              <w:tl2br w:val="nil"/>
              <w:tr2bl w:val="nil"/>
            </w:tcBorders>
          </w:tcPr>
          <w:p>
            <w:pPr>
              <w:pStyle w:val="19"/>
              <w:spacing w:line="245" w:lineRule="exact"/>
              <w:ind w:left="108" w:right="-29"/>
              <w:jc w:val="left"/>
              <w:rPr>
                <w:sz w:val="21"/>
              </w:rPr>
            </w:pPr>
            <w:r>
              <w:rPr>
                <w:w w:val="95"/>
                <w:sz w:val="21"/>
              </w:rPr>
              <w:t>长</w:t>
            </w:r>
            <w:r>
              <w:rPr>
                <w:rFonts w:ascii="Times New Roman" w:hAnsi="Times New Roman" w:eastAsia="Times New Roman"/>
                <w:w w:val="95"/>
                <w:sz w:val="21"/>
              </w:rPr>
              <w:t>×</w:t>
            </w:r>
            <w:r>
              <w:rPr>
                <w:w w:val="95"/>
                <w:sz w:val="21"/>
              </w:rPr>
              <w:t>宽</w:t>
            </w:r>
            <w:r>
              <w:rPr>
                <w:rFonts w:ascii="Times New Roman" w:hAnsi="Times New Roman" w:eastAsia="Times New Roman"/>
                <w:w w:val="95"/>
                <w:sz w:val="21"/>
              </w:rPr>
              <w:t>×</w:t>
            </w:r>
            <w:r>
              <w:rPr>
                <w:spacing w:val="-51"/>
                <w:w w:val="95"/>
                <w:sz w:val="21"/>
              </w:rPr>
              <w:t>高</w:t>
            </w:r>
            <w:r>
              <w:rPr>
                <w:spacing w:val="-13"/>
                <w:w w:val="95"/>
                <w:sz w:val="21"/>
              </w:rPr>
              <w:t>（</w:t>
            </w:r>
            <w:r>
              <w:rPr>
                <w:rFonts w:ascii="Times New Roman" w:hAnsi="Times New Roman" w:eastAsia="Times New Roman"/>
                <w:spacing w:val="-13"/>
                <w:w w:val="95"/>
                <w:sz w:val="21"/>
              </w:rPr>
              <w:t>m</w:t>
            </w:r>
            <w:r>
              <w:rPr>
                <w:spacing w:val="-13"/>
                <w:w w:val="95"/>
                <w:sz w:val="21"/>
              </w:rPr>
              <w:t>）：</w:t>
            </w:r>
          </w:p>
          <w:p>
            <w:pPr>
              <w:pStyle w:val="19"/>
              <w:spacing w:line="226" w:lineRule="exact"/>
              <w:ind w:left="336"/>
              <w:jc w:val="left"/>
              <w:rPr>
                <w:rFonts w:ascii="Times New Roman" w:hAnsi="Times New Roman"/>
                <w:sz w:val="21"/>
              </w:rPr>
            </w:pPr>
            <w:r>
              <w:rPr>
                <w:rFonts w:ascii="Times New Roman" w:hAnsi="Times New Roman"/>
                <w:sz w:val="21"/>
              </w:rPr>
              <w:t>631×437×8</w:t>
            </w:r>
          </w:p>
          <w:p>
            <w:pPr>
              <w:pStyle w:val="19"/>
              <w:spacing w:line="229" w:lineRule="exact"/>
              <w:ind w:left="108"/>
              <w:jc w:val="left"/>
              <w:rPr>
                <w:sz w:val="21"/>
              </w:rPr>
            </w:pPr>
            <w:r>
              <w:rPr>
                <w:sz w:val="21"/>
              </w:rPr>
              <w:t>环境温度：</w:t>
            </w:r>
            <w:r>
              <w:rPr>
                <w:rFonts w:ascii="Times New Roman" w:hAnsi="Times New Roman" w:eastAsia="Times New Roman"/>
                <w:sz w:val="21"/>
              </w:rPr>
              <w:t>20</w:t>
            </w:r>
            <w:r>
              <w:rPr>
                <w:sz w:val="21"/>
              </w:rPr>
              <w:t>℃</w:t>
            </w:r>
          </w:p>
        </w:tc>
        <w:tc>
          <w:tcPr>
            <w:tcW w:w="1182" w:type="dxa"/>
            <w:tcBorders>
              <w:tl2br w:val="nil"/>
              <w:tr2bl w:val="nil"/>
            </w:tcBorders>
          </w:tcPr>
          <w:p>
            <w:pPr>
              <w:pStyle w:val="19"/>
              <w:spacing w:before="50"/>
              <w:ind w:left="143" w:right="132"/>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c>
          <w:tcPr>
            <w:tcW w:w="2031" w:type="dxa"/>
            <w:vMerge w:val="restart"/>
            <w:tcBorders>
              <w:tl2br w:val="nil"/>
              <w:tr2bl w:val="nil"/>
            </w:tcBorders>
          </w:tcPr>
          <w:p>
            <w:pPr>
              <w:pStyle w:val="19"/>
              <w:jc w:val="left"/>
              <w:rPr>
                <w:b/>
                <w:sz w:val="22"/>
              </w:rPr>
            </w:pPr>
          </w:p>
          <w:p>
            <w:pPr>
              <w:pStyle w:val="19"/>
              <w:spacing w:before="8"/>
              <w:jc w:val="left"/>
              <w:rPr>
                <w:b/>
                <w:sz w:val="20"/>
              </w:rPr>
            </w:pPr>
          </w:p>
          <w:p>
            <w:pPr>
              <w:pStyle w:val="19"/>
              <w:spacing w:line="213" w:lineRule="auto"/>
              <w:ind w:left="109" w:right="98" w:hanging="3"/>
              <w:rPr>
                <w:sz w:val="21"/>
              </w:rPr>
            </w:pPr>
            <w:r>
              <w:rPr>
                <w:sz w:val="21"/>
              </w:rPr>
              <w:t>《环境影响评价技术导则</w:t>
            </w:r>
            <w:r>
              <w:rPr>
                <w:rFonts w:ascii="Times New Roman" w:hAnsi="Times New Roman" w:eastAsia="Times New Roman"/>
                <w:sz w:val="21"/>
              </w:rPr>
              <w:t>·</w:t>
            </w:r>
            <w:r>
              <w:rPr>
                <w:sz w:val="21"/>
              </w:rPr>
              <w:t>大气环境》</w:t>
            </w:r>
          </w:p>
          <w:p>
            <w:pPr>
              <w:pStyle w:val="19"/>
              <w:keepNext w:val="0"/>
              <w:keepLines w:val="0"/>
              <w:pageBreakBefore w:val="0"/>
              <w:widowControl w:val="0"/>
              <w:kinsoku/>
              <w:wordWrap/>
              <w:overflowPunct/>
              <w:topLinePunct w:val="0"/>
              <w:autoSpaceDE w:val="0"/>
              <w:autoSpaceDN w:val="0"/>
              <w:bidi w:val="0"/>
              <w:adjustRightInd/>
              <w:snapToGrid/>
              <w:spacing w:line="360" w:lineRule="auto"/>
              <w:ind w:left="567" w:right="249"/>
              <w:textAlignment w:val="auto"/>
              <w:rPr>
                <w:sz w:val="21"/>
              </w:rPr>
            </w:pPr>
            <w:r>
              <w:rPr>
                <w:sz w:val="21"/>
              </w:rPr>
              <w:t>（</w:t>
            </w:r>
            <w:r>
              <w:rPr>
                <w:rFonts w:ascii="Times New Roman" w:eastAsia="Times New Roman"/>
                <w:sz w:val="21"/>
              </w:rPr>
              <w:t>HJ2.2-2018</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519" w:type="dxa"/>
            <w:vMerge w:val="continue"/>
            <w:tcBorders>
              <w:tl2br w:val="nil"/>
              <w:tr2bl w:val="nil"/>
            </w:tcBorders>
          </w:tcPr>
          <w:p>
            <w:pPr>
              <w:rPr>
                <w:sz w:val="2"/>
                <w:szCs w:val="2"/>
              </w:rPr>
            </w:pPr>
          </w:p>
        </w:tc>
        <w:tc>
          <w:tcPr>
            <w:tcW w:w="1207" w:type="dxa"/>
            <w:vMerge w:val="continue"/>
            <w:tcBorders>
              <w:tl2br w:val="nil"/>
              <w:tr2bl w:val="nil"/>
            </w:tcBorders>
          </w:tcPr>
          <w:p>
            <w:pPr>
              <w:rPr>
                <w:sz w:val="2"/>
                <w:szCs w:val="2"/>
              </w:rPr>
            </w:pPr>
          </w:p>
        </w:tc>
        <w:tc>
          <w:tcPr>
            <w:tcW w:w="862" w:type="dxa"/>
            <w:tcBorders>
              <w:tl2br w:val="nil"/>
              <w:tr2bl w:val="nil"/>
            </w:tcBorders>
          </w:tcPr>
          <w:p>
            <w:pPr>
              <w:pStyle w:val="19"/>
              <w:spacing w:before="61"/>
              <w:ind w:left="211" w:right="201"/>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94" w:type="dxa"/>
            <w:tcBorders>
              <w:tl2br w:val="nil"/>
              <w:tr2bl w:val="nil"/>
            </w:tcBorders>
          </w:tcPr>
          <w:p>
            <w:pPr>
              <w:pStyle w:val="19"/>
              <w:spacing w:before="64"/>
              <w:ind w:left="283"/>
              <w:jc w:val="left"/>
              <w:rPr>
                <w:rFonts w:ascii="Times New Roman"/>
                <w:sz w:val="21"/>
              </w:rPr>
            </w:pPr>
            <w:r>
              <w:rPr>
                <w:rFonts w:ascii="Times New Roman"/>
                <w:sz w:val="21"/>
              </w:rPr>
              <w:t>0.00306</w:t>
            </w:r>
          </w:p>
        </w:tc>
        <w:tc>
          <w:tcPr>
            <w:tcW w:w="1702" w:type="dxa"/>
            <w:vMerge w:val="continue"/>
            <w:tcBorders>
              <w:tl2br w:val="nil"/>
              <w:tr2bl w:val="nil"/>
            </w:tcBorders>
          </w:tcPr>
          <w:p>
            <w:pPr>
              <w:rPr>
                <w:sz w:val="2"/>
                <w:szCs w:val="2"/>
              </w:rPr>
            </w:pPr>
          </w:p>
        </w:tc>
        <w:tc>
          <w:tcPr>
            <w:tcW w:w="1182" w:type="dxa"/>
            <w:tcBorders>
              <w:tl2br w:val="nil"/>
              <w:tr2bl w:val="nil"/>
            </w:tcBorders>
          </w:tcPr>
          <w:p>
            <w:pPr>
              <w:pStyle w:val="19"/>
              <w:spacing w:before="64"/>
              <w:ind w:left="141" w:right="132"/>
              <w:rPr>
                <w:rFonts w:ascii="Times New Roman" w:hAnsi="Times New Roman"/>
                <w:sz w:val="13"/>
              </w:rPr>
            </w:pPr>
            <w:r>
              <w:rPr>
                <w:rFonts w:ascii="Times New Roman" w:hAnsi="Times New Roman"/>
                <w:sz w:val="21"/>
              </w:rPr>
              <w:t>10μg/m</w:t>
            </w:r>
            <w:r>
              <w:rPr>
                <w:rFonts w:ascii="Times New Roman" w:hAnsi="Times New Roman"/>
                <w:position w:val="7"/>
                <w:sz w:val="13"/>
              </w:rPr>
              <w:t>3</w:t>
            </w:r>
          </w:p>
        </w:tc>
        <w:tc>
          <w:tcPr>
            <w:tcW w:w="2031" w:type="dxa"/>
            <w:vMerge w:val="continue"/>
            <w:tcBorders>
              <w:tl2br w:val="nil"/>
              <w:tr2bl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9" w:type="dxa"/>
            <w:vMerge w:val="continue"/>
            <w:tcBorders>
              <w:tl2br w:val="nil"/>
              <w:tr2bl w:val="nil"/>
            </w:tcBorders>
          </w:tcPr>
          <w:p>
            <w:pPr>
              <w:rPr>
                <w:sz w:val="2"/>
                <w:szCs w:val="2"/>
              </w:rPr>
            </w:pPr>
          </w:p>
        </w:tc>
        <w:tc>
          <w:tcPr>
            <w:tcW w:w="1207" w:type="dxa"/>
            <w:vMerge w:val="restart"/>
            <w:tcBorders>
              <w:tl2br w:val="nil"/>
              <w:tr2bl w:val="nil"/>
            </w:tcBorders>
          </w:tcPr>
          <w:p>
            <w:pPr>
              <w:pStyle w:val="19"/>
              <w:spacing w:before="7"/>
              <w:jc w:val="left"/>
              <w:rPr>
                <w:b/>
                <w:sz w:val="17"/>
              </w:rPr>
            </w:pPr>
          </w:p>
          <w:p>
            <w:pPr>
              <w:pStyle w:val="19"/>
              <w:ind w:left="268"/>
              <w:jc w:val="left"/>
              <w:rPr>
                <w:sz w:val="21"/>
              </w:rPr>
            </w:pPr>
            <w:r>
              <w:rPr>
                <w:sz w:val="21"/>
              </w:rPr>
              <w:t>堆肥厂</w:t>
            </w:r>
          </w:p>
        </w:tc>
        <w:tc>
          <w:tcPr>
            <w:tcW w:w="862" w:type="dxa"/>
            <w:tcBorders>
              <w:tl2br w:val="nil"/>
              <w:tr2bl w:val="nil"/>
            </w:tcBorders>
          </w:tcPr>
          <w:p>
            <w:pPr>
              <w:pStyle w:val="19"/>
              <w:spacing w:before="46"/>
              <w:ind w:left="211" w:right="201"/>
              <w:rPr>
                <w:rFonts w:ascii="Times New Roman"/>
                <w:sz w:val="21"/>
              </w:rPr>
            </w:pPr>
            <w:r>
              <w:rPr>
                <w:rFonts w:ascii="Times New Roman"/>
                <w:position w:val="2"/>
                <w:sz w:val="21"/>
              </w:rPr>
              <w:t>NH</w:t>
            </w:r>
            <w:r>
              <w:rPr>
                <w:rFonts w:ascii="Times New Roman"/>
                <w:position w:val="2"/>
                <w:sz w:val="21"/>
                <w:vertAlign w:val="subscript"/>
              </w:rPr>
              <w:t>3</w:t>
            </w:r>
          </w:p>
        </w:tc>
        <w:tc>
          <w:tcPr>
            <w:tcW w:w="1294" w:type="dxa"/>
            <w:tcBorders>
              <w:tl2br w:val="nil"/>
              <w:tr2bl w:val="nil"/>
            </w:tcBorders>
          </w:tcPr>
          <w:p>
            <w:pPr>
              <w:pStyle w:val="19"/>
              <w:spacing w:before="49"/>
              <w:ind w:left="336"/>
              <w:jc w:val="left"/>
              <w:rPr>
                <w:rFonts w:ascii="Times New Roman"/>
                <w:sz w:val="21"/>
              </w:rPr>
            </w:pPr>
            <w:r>
              <w:rPr>
                <w:rFonts w:ascii="Times New Roman"/>
                <w:sz w:val="21"/>
              </w:rPr>
              <w:t>0.0026</w:t>
            </w:r>
          </w:p>
        </w:tc>
        <w:tc>
          <w:tcPr>
            <w:tcW w:w="1702" w:type="dxa"/>
            <w:vMerge w:val="restart"/>
            <w:tcBorders>
              <w:tl2br w:val="nil"/>
              <w:tr2bl w:val="nil"/>
            </w:tcBorders>
          </w:tcPr>
          <w:p>
            <w:pPr>
              <w:pStyle w:val="19"/>
              <w:spacing w:line="244" w:lineRule="exact"/>
              <w:ind w:left="108" w:right="-29"/>
              <w:jc w:val="left"/>
              <w:rPr>
                <w:sz w:val="21"/>
              </w:rPr>
            </w:pPr>
            <w:r>
              <w:rPr>
                <w:w w:val="95"/>
                <w:sz w:val="21"/>
              </w:rPr>
              <w:t>长</w:t>
            </w:r>
            <w:r>
              <w:rPr>
                <w:rFonts w:ascii="Times New Roman" w:hAnsi="Times New Roman" w:eastAsia="Times New Roman"/>
                <w:w w:val="95"/>
                <w:sz w:val="21"/>
              </w:rPr>
              <w:t>×</w:t>
            </w:r>
            <w:r>
              <w:rPr>
                <w:w w:val="95"/>
                <w:sz w:val="21"/>
              </w:rPr>
              <w:t>宽</w:t>
            </w:r>
            <w:r>
              <w:rPr>
                <w:rFonts w:ascii="Times New Roman" w:hAnsi="Times New Roman" w:eastAsia="Times New Roman"/>
                <w:w w:val="95"/>
                <w:sz w:val="21"/>
              </w:rPr>
              <w:t>×</w:t>
            </w:r>
            <w:r>
              <w:rPr>
                <w:spacing w:val="-51"/>
                <w:w w:val="95"/>
                <w:sz w:val="21"/>
              </w:rPr>
              <w:t>高</w:t>
            </w:r>
            <w:r>
              <w:rPr>
                <w:spacing w:val="-13"/>
                <w:w w:val="95"/>
                <w:sz w:val="21"/>
              </w:rPr>
              <w:t>（</w:t>
            </w:r>
            <w:r>
              <w:rPr>
                <w:rFonts w:ascii="Times New Roman" w:hAnsi="Times New Roman" w:eastAsia="Times New Roman"/>
                <w:spacing w:val="-13"/>
                <w:w w:val="95"/>
                <w:sz w:val="21"/>
              </w:rPr>
              <w:t>m</w:t>
            </w:r>
            <w:r>
              <w:rPr>
                <w:spacing w:val="-13"/>
                <w:w w:val="95"/>
                <w:sz w:val="21"/>
              </w:rPr>
              <w:t>）：</w:t>
            </w:r>
          </w:p>
          <w:p>
            <w:pPr>
              <w:pStyle w:val="19"/>
              <w:spacing w:line="226" w:lineRule="exact"/>
              <w:ind w:left="442"/>
              <w:jc w:val="left"/>
              <w:rPr>
                <w:rFonts w:ascii="Times New Roman" w:hAnsi="Times New Roman"/>
                <w:sz w:val="21"/>
              </w:rPr>
            </w:pPr>
            <w:r>
              <w:rPr>
                <w:rFonts w:ascii="Times New Roman" w:hAnsi="Times New Roman"/>
                <w:sz w:val="21"/>
              </w:rPr>
              <w:t>80×50×8</w:t>
            </w:r>
          </w:p>
          <w:p>
            <w:pPr>
              <w:pStyle w:val="19"/>
              <w:spacing w:line="229" w:lineRule="exact"/>
              <w:ind w:left="108"/>
              <w:jc w:val="left"/>
              <w:rPr>
                <w:sz w:val="21"/>
              </w:rPr>
            </w:pPr>
            <w:r>
              <w:rPr>
                <w:sz w:val="21"/>
              </w:rPr>
              <w:t>环境温度：</w:t>
            </w:r>
            <w:r>
              <w:rPr>
                <w:rFonts w:ascii="Times New Roman" w:hAnsi="Times New Roman" w:eastAsia="Times New Roman"/>
                <w:sz w:val="21"/>
              </w:rPr>
              <w:t>20</w:t>
            </w:r>
            <w:r>
              <w:rPr>
                <w:sz w:val="21"/>
              </w:rPr>
              <w:t>℃</w:t>
            </w:r>
          </w:p>
        </w:tc>
        <w:tc>
          <w:tcPr>
            <w:tcW w:w="1182" w:type="dxa"/>
            <w:tcBorders>
              <w:tl2br w:val="nil"/>
              <w:tr2bl w:val="nil"/>
            </w:tcBorders>
          </w:tcPr>
          <w:p>
            <w:pPr>
              <w:pStyle w:val="19"/>
              <w:spacing w:before="49"/>
              <w:ind w:left="143" w:right="132"/>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c>
          <w:tcPr>
            <w:tcW w:w="2031" w:type="dxa"/>
            <w:vMerge w:val="continue"/>
            <w:tcBorders>
              <w:tl2br w:val="nil"/>
              <w:tr2bl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519" w:type="dxa"/>
            <w:vMerge w:val="continue"/>
            <w:tcBorders>
              <w:tl2br w:val="nil"/>
              <w:tr2bl w:val="nil"/>
            </w:tcBorders>
          </w:tcPr>
          <w:p>
            <w:pPr>
              <w:rPr>
                <w:sz w:val="2"/>
                <w:szCs w:val="2"/>
              </w:rPr>
            </w:pPr>
          </w:p>
        </w:tc>
        <w:tc>
          <w:tcPr>
            <w:tcW w:w="1207" w:type="dxa"/>
            <w:vMerge w:val="continue"/>
            <w:tcBorders>
              <w:tl2br w:val="nil"/>
              <w:tr2bl w:val="nil"/>
            </w:tcBorders>
          </w:tcPr>
          <w:p>
            <w:pPr>
              <w:rPr>
                <w:sz w:val="2"/>
                <w:szCs w:val="2"/>
              </w:rPr>
            </w:pPr>
          </w:p>
        </w:tc>
        <w:tc>
          <w:tcPr>
            <w:tcW w:w="862" w:type="dxa"/>
            <w:tcBorders>
              <w:tl2br w:val="nil"/>
              <w:tr2bl w:val="nil"/>
            </w:tcBorders>
          </w:tcPr>
          <w:p>
            <w:pPr>
              <w:pStyle w:val="19"/>
              <w:spacing w:before="61"/>
              <w:ind w:left="211" w:right="201"/>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94" w:type="dxa"/>
            <w:tcBorders>
              <w:tl2br w:val="nil"/>
              <w:tr2bl w:val="nil"/>
            </w:tcBorders>
          </w:tcPr>
          <w:p>
            <w:pPr>
              <w:pStyle w:val="19"/>
              <w:spacing w:before="64"/>
              <w:ind w:left="283"/>
              <w:jc w:val="left"/>
              <w:rPr>
                <w:rFonts w:ascii="Times New Roman"/>
                <w:sz w:val="21"/>
              </w:rPr>
            </w:pPr>
            <w:r>
              <w:rPr>
                <w:rFonts w:ascii="Times New Roman"/>
                <w:sz w:val="21"/>
              </w:rPr>
              <w:t>0.00026</w:t>
            </w:r>
          </w:p>
        </w:tc>
        <w:tc>
          <w:tcPr>
            <w:tcW w:w="1702" w:type="dxa"/>
            <w:vMerge w:val="continue"/>
            <w:tcBorders>
              <w:tl2br w:val="nil"/>
              <w:tr2bl w:val="nil"/>
            </w:tcBorders>
          </w:tcPr>
          <w:p>
            <w:pPr>
              <w:rPr>
                <w:sz w:val="2"/>
                <w:szCs w:val="2"/>
              </w:rPr>
            </w:pPr>
          </w:p>
        </w:tc>
        <w:tc>
          <w:tcPr>
            <w:tcW w:w="1182" w:type="dxa"/>
            <w:tcBorders>
              <w:tl2br w:val="nil"/>
              <w:tr2bl w:val="nil"/>
            </w:tcBorders>
          </w:tcPr>
          <w:p>
            <w:pPr>
              <w:pStyle w:val="19"/>
              <w:spacing w:before="64"/>
              <w:ind w:left="141" w:right="132"/>
              <w:rPr>
                <w:rFonts w:ascii="Times New Roman" w:hAnsi="Times New Roman"/>
                <w:sz w:val="13"/>
              </w:rPr>
            </w:pPr>
            <w:r>
              <w:rPr>
                <w:rFonts w:ascii="Times New Roman" w:hAnsi="Times New Roman"/>
                <w:sz w:val="21"/>
              </w:rPr>
              <w:t>10μg/m</w:t>
            </w:r>
            <w:r>
              <w:rPr>
                <w:rFonts w:ascii="Times New Roman" w:hAnsi="Times New Roman"/>
                <w:position w:val="7"/>
                <w:sz w:val="13"/>
              </w:rPr>
              <w:t>3</w:t>
            </w:r>
          </w:p>
        </w:tc>
        <w:tc>
          <w:tcPr>
            <w:tcW w:w="2031" w:type="dxa"/>
            <w:vMerge w:val="continue"/>
            <w:tcBorders>
              <w:tl2br w:val="nil"/>
              <w:tr2bl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19" w:type="dxa"/>
            <w:vMerge w:val="restart"/>
            <w:tcBorders>
              <w:tl2br w:val="nil"/>
              <w:tr2bl w:val="nil"/>
            </w:tcBorders>
          </w:tcPr>
          <w:p>
            <w:pPr>
              <w:pStyle w:val="19"/>
              <w:spacing w:before="35"/>
              <w:ind w:left="145"/>
              <w:jc w:val="left"/>
              <w:rPr>
                <w:rFonts w:hint="default" w:eastAsia="宋体"/>
                <w:sz w:val="21"/>
                <w:lang w:val="en-US" w:eastAsia="zh-CN"/>
              </w:rPr>
            </w:pPr>
            <w:r>
              <w:rPr>
                <w:rFonts w:hint="eastAsia"/>
                <w:sz w:val="21"/>
                <w:lang w:val="en-US" w:eastAsia="zh-CN"/>
              </w:rPr>
              <w:t>点源</w:t>
            </w:r>
          </w:p>
        </w:tc>
        <w:tc>
          <w:tcPr>
            <w:tcW w:w="1207" w:type="dxa"/>
            <w:tcBorders>
              <w:tl2br w:val="nil"/>
              <w:tr2bl w:val="nil"/>
            </w:tcBorders>
          </w:tcPr>
          <w:p>
            <w:pPr>
              <w:pStyle w:val="19"/>
              <w:spacing w:before="33"/>
              <w:ind w:left="162"/>
              <w:jc w:val="left"/>
              <w:rPr>
                <w:sz w:val="21"/>
              </w:rPr>
            </w:pPr>
            <w:r>
              <w:rPr>
                <w:sz w:val="21"/>
              </w:rPr>
              <w:t>无害化处</w:t>
            </w:r>
          </w:p>
        </w:tc>
        <w:tc>
          <w:tcPr>
            <w:tcW w:w="862" w:type="dxa"/>
            <w:tcBorders>
              <w:tl2br w:val="nil"/>
              <w:tr2bl w:val="nil"/>
            </w:tcBorders>
          </w:tcPr>
          <w:p>
            <w:pPr>
              <w:pStyle w:val="19"/>
              <w:spacing w:before="46"/>
              <w:ind w:left="211" w:right="201"/>
              <w:rPr>
                <w:rFonts w:ascii="Times New Roman"/>
                <w:sz w:val="21"/>
              </w:rPr>
            </w:pPr>
            <w:r>
              <w:rPr>
                <w:rFonts w:ascii="Times New Roman"/>
                <w:position w:val="2"/>
                <w:sz w:val="21"/>
              </w:rPr>
              <w:t>NH</w:t>
            </w:r>
            <w:r>
              <w:rPr>
                <w:rFonts w:ascii="Times New Roman"/>
                <w:position w:val="2"/>
                <w:sz w:val="21"/>
                <w:vertAlign w:val="subscript"/>
              </w:rPr>
              <w:t>3</w:t>
            </w:r>
          </w:p>
        </w:tc>
        <w:tc>
          <w:tcPr>
            <w:tcW w:w="1294" w:type="dxa"/>
            <w:tcBorders>
              <w:tl2br w:val="nil"/>
              <w:tr2bl w:val="nil"/>
            </w:tcBorders>
          </w:tcPr>
          <w:p>
            <w:pPr>
              <w:pStyle w:val="19"/>
              <w:spacing w:before="49"/>
              <w:ind w:left="283"/>
              <w:jc w:val="left"/>
              <w:rPr>
                <w:rFonts w:ascii="Times New Roman"/>
                <w:sz w:val="21"/>
              </w:rPr>
            </w:pPr>
            <w:r>
              <w:rPr>
                <w:rFonts w:ascii="Times New Roman"/>
                <w:sz w:val="21"/>
              </w:rPr>
              <w:t>0.00125</w:t>
            </w:r>
          </w:p>
        </w:tc>
        <w:tc>
          <w:tcPr>
            <w:tcW w:w="1702" w:type="dxa"/>
            <w:tcBorders>
              <w:tl2br w:val="nil"/>
              <w:tr2bl w:val="nil"/>
            </w:tcBorders>
          </w:tcPr>
          <w:p>
            <w:pPr>
              <w:pStyle w:val="19"/>
              <w:spacing w:before="33"/>
              <w:ind w:left="171" w:right="167"/>
              <w:rPr>
                <w:sz w:val="21"/>
              </w:rPr>
            </w:pPr>
            <w:r>
              <w:rPr>
                <w:sz w:val="21"/>
              </w:rPr>
              <w:t>排气筒几何高</w:t>
            </w:r>
          </w:p>
        </w:tc>
        <w:tc>
          <w:tcPr>
            <w:tcW w:w="1182" w:type="dxa"/>
            <w:tcBorders>
              <w:tl2br w:val="nil"/>
              <w:tr2bl w:val="nil"/>
            </w:tcBorders>
          </w:tcPr>
          <w:p>
            <w:pPr>
              <w:pStyle w:val="19"/>
              <w:spacing w:before="49"/>
              <w:ind w:left="143" w:right="132"/>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c>
          <w:tcPr>
            <w:tcW w:w="2031" w:type="dxa"/>
            <w:vMerge w:val="continue"/>
            <w:tcBorders>
              <w:tl2br w:val="nil"/>
              <w:tr2bl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19" w:type="dxa"/>
            <w:vMerge w:val="continue"/>
            <w:tcBorders>
              <w:tl2br w:val="nil"/>
              <w:tr2bl w:val="nil"/>
            </w:tcBorders>
          </w:tcPr>
          <w:p>
            <w:pPr>
              <w:pStyle w:val="19"/>
              <w:spacing w:before="35"/>
              <w:ind w:left="145"/>
              <w:jc w:val="left"/>
              <w:rPr>
                <w:w w:val="99"/>
                <w:sz w:val="21"/>
              </w:rPr>
            </w:pPr>
          </w:p>
        </w:tc>
        <w:tc>
          <w:tcPr>
            <w:tcW w:w="1207" w:type="dxa"/>
            <w:tcBorders>
              <w:tl2br w:val="nil"/>
              <w:tr2bl w:val="nil"/>
            </w:tcBorders>
          </w:tcPr>
          <w:p>
            <w:pPr>
              <w:pStyle w:val="19"/>
              <w:spacing w:before="33"/>
              <w:ind w:left="162"/>
              <w:jc w:val="left"/>
              <w:rPr>
                <w:rFonts w:hint="eastAsia" w:eastAsia="宋体"/>
                <w:sz w:val="21"/>
                <w:lang w:val="en-US" w:eastAsia="zh-CN"/>
              </w:rPr>
            </w:pPr>
            <w:r>
              <w:rPr>
                <w:rFonts w:hint="eastAsia"/>
                <w:sz w:val="21"/>
                <w:lang w:val="en-US" w:eastAsia="zh-CN"/>
              </w:rPr>
              <w:t>处理车间</w:t>
            </w:r>
          </w:p>
        </w:tc>
        <w:tc>
          <w:tcPr>
            <w:tcW w:w="862" w:type="dxa"/>
            <w:tcBorders>
              <w:tl2br w:val="nil"/>
              <w:tr2bl w:val="nil"/>
            </w:tcBorders>
          </w:tcPr>
          <w:p>
            <w:pPr>
              <w:pStyle w:val="19"/>
              <w:spacing w:before="46"/>
              <w:ind w:left="211" w:right="201"/>
              <w:rPr>
                <w:rFonts w:ascii="Times New Roman"/>
                <w:position w:val="2"/>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94" w:type="dxa"/>
            <w:tcBorders>
              <w:tl2br w:val="nil"/>
              <w:tr2bl w:val="nil"/>
            </w:tcBorders>
          </w:tcPr>
          <w:p>
            <w:pPr>
              <w:pStyle w:val="19"/>
              <w:spacing w:before="49"/>
              <w:ind w:left="283"/>
              <w:jc w:val="left"/>
              <w:rPr>
                <w:rFonts w:ascii="Times New Roman"/>
                <w:sz w:val="21"/>
              </w:rPr>
            </w:pPr>
            <w:r>
              <w:rPr>
                <w:rFonts w:ascii="Times New Roman"/>
                <w:sz w:val="21"/>
              </w:rPr>
              <w:t>0.000125</w:t>
            </w:r>
          </w:p>
        </w:tc>
        <w:tc>
          <w:tcPr>
            <w:tcW w:w="1702" w:type="dxa"/>
            <w:tcBorders>
              <w:tl2br w:val="nil"/>
              <w:tr2bl w:val="nil"/>
            </w:tcBorders>
          </w:tcPr>
          <w:p>
            <w:pPr>
              <w:pStyle w:val="19"/>
              <w:spacing w:before="33"/>
              <w:ind w:left="171" w:right="167"/>
              <w:rPr>
                <w:sz w:val="21"/>
              </w:rPr>
            </w:pPr>
            <w:r>
              <w:rPr>
                <w:sz w:val="21"/>
              </w:rPr>
              <w:t>度</w:t>
            </w:r>
            <w:r>
              <w:rPr>
                <w:rFonts w:ascii="Times New Roman" w:eastAsia="Times New Roman"/>
                <w:sz w:val="21"/>
              </w:rPr>
              <w:t>15m</w:t>
            </w:r>
          </w:p>
        </w:tc>
        <w:tc>
          <w:tcPr>
            <w:tcW w:w="1182" w:type="dxa"/>
            <w:tcBorders>
              <w:tl2br w:val="nil"/>
              <w:tr2bl w:val="nil"/>
            </w:tcBorders>
          </w:tcPr>
          <w:p>
            <w:pPr>
              <w:pStyle w:val="19"/>
              <w:spacing w:before="49"/>
              <w:ind w:left="143" w:right="132"/>
              <w:rPr>
                <w:rFonts w:ascii="Times New Roman" w:hAnsi="Times New Roman"/>
                <w:sz w:val="21"/>
              </w:rPr>
            </w:pPr>
            <w:r>
              <w:rPr>
                <w:rFonts w:ascii="Times New Roman" w:hAnsi="Times New Roman"/>
                <w:sz w:val="21"/>
              </w:rPr>
              <w:t>10μg/m</w:t>
            </w:r>
            <w:r>
              <w:rPr>
                <w:rFonts w:ascii="Times New Roman" w:hAnsi="Times New Roman"/>
                <w:position w:val="7"/>
                <w:sz w:val="13"/>
              </w:rPr>
              <w:t>3</w:t>
            </w:r>
          </w:p>
        </w:tc>
        <w:tc>
          <w:tcPr>
            <w:tcW w:w="2031" w:type="dxa"/>
            <w:tcBorders>
              <w:tl2br w:val="nil"/>
              <w:tr2bl w:val="nil"/>
            </w:tcBorders>
          </w:tcPr>
          <w:p>
            <w:pPr>
              <w:rPr>
                <w:sz w:val="2"/>
                <w:szCs w:val="2"/>
              </w:rPr>
            </w:pPr>
          </w:p>
        </w:tc>
      </w:tr>
    </w:tbl>
    <w:p>
      <w:pPr>
        <w:tabs>
          <w:tab w:val="left" w:pos="3892"/>
        </w:tabs>
        <w:spacing w:before="160" w:line="427" w:lineRule="auto"/>
        <w:ind w:right="1525"/>
        <w:jc w:val="both"/>
        <w:rPr>
          <w:rFonts w:hint="eastAsia" w:eastAsia="宋体"/>
          <w:sz w:val="24"/>
          <w:lang w:val="en-US" w:eastAsia="zh-CN"/>
        </w:rP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sectPr>
      </w:pPr>
    </w:p>
    <w:p>
      <w:pPr>
        <w:pStyle w:val="7"/>
        <w:spacing w:before="11"/>
        <w:ind w:left="0"/>
        <w:rPr>
          <w:b/>
          <w:sz w:val="4"/>
        </w:rPr>
      </w:pPr>
    </w:p>
    <w:p>
      <w:pPr>
        <w:pStyle w:val="7"/>
        <w:spacing w:before="7"/>
        <w:ind w:left="0"/>
        <w:rPr>
          <w:b/>
          <w:sz w:val="6"/>
        </w:rPr>
      </w:pPr>
    </w:p>
    <w:p>
      <w:pPr>
        <w:pStyle w:val="7"/>
        <w:bidi w:val="0"/>
        <w:jc w:val="center"/>
      </w:pPr>
      <w:r>
        <w:t>表</w:t>
      </w:r>
      <w:r>
        <w:rPr>
          <w:rFonts w:ascii="Times New Roman" w:eastAsia="Times New Roman"/>
        </w:rPr>
        <w:t>2.6-3</w:t>
      </w:r>
      <w:r>
        <w:rPr>
          <w:rFonts w:ascii="Times New Roman" w:eastAsia="Times New Roman"/>
        </w:rPr>
        <w:tab/>
      </w:r>
      <w:r>
        <w:t>估算模型参数表</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391" w:type="dxa"/>
            <w:gridSpan w:val="2"/>
          </w:tcPr>
          <w:p>
            <w:pPr>
              <w:pStyle w:val="19"/>
              <w:spacing w:before="31"/>
              <w:ind w:left="2409" w:right="2400"/>
              <w:rPr>
                <w:b/>
                <w:sz w:val="21"/>
              </w:rPr>
            </w:pPr>
            <w:r>
              <w:rPr>
                <w:b/>
                <w:sz w:val="21"/>
              </w:rPr>
              <w:t>参数</w:t>
            </w:r>
          </w:p>
        </w:tc>
        <w:tc>
          <w:tcPr>
            <w:tcW w:w="2131" w:type="dxa"/>
          </w:tcPr>
          <w:p>
            <w:pPr>
              <w:pStyle w:val="19"/>
              <w:spacing w:before="31"/>
              <w:ind w:left="29" w:right="22"/>
              <w:rPr>
                <w:b/>
                <w:sz w:val="21"/>
              </w:rPr>
            </w:pPr>
            <w:r>
              <w:rPr>
                <w:b/>
                <w:sz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restart"/>
          </w:tcPr>
          <w:p>
            <w:pPr>
              <w:pStyle w:val="19"/>
              <w:spacing w:before="7"/>
              <w:jc w:val="left"/>
              <w:rPr>
                <w:b/>
                <w:sz w:val="15"/>
              </w:rPr>
            </w:pPr>
          </w:p>
          <w:p>
            <w:pPr>
              <w:pStyle w:val="19"/>
              <w:ind w:left="1394"/>
              <w:jc w:val="left"/>
              <w:rPr>
                <w:sz w:val="21"/>
              </w:rPr>
            </w:pPr>
            <w:r>
              <w:rPr>
                <w:sz w:val="21"/>
              </w:rPr>
              <w:t>城市、农村选项</w:t>
            </w:r>
          </w:p>
        </w:tc>
        <w:tc>
          <w:tcPr>
            <w:tcW w:w="2131" w:type="dxa"/>
          </w:tcPr>
          <w:p>
            <w:pPr>
              <w:pStyle w:val="19"/>
              <w:spacing w:before="29"/>
              <w:ind w:left="29" w:right="22"/>
              <w:rPr>
                <w:sz w:val="21"/>
              </w:rPr>
            </w:pPr>
            <w:r>
              <w:rPr>
                <w:sz w:val="21"/>
              </w:rPr>
              <w:t>城市、农村</w:t>
            </w:r>
          </w:p>
        </w:tc>
        <w:tc>
          <w:tcPr>
            <w:tcW w:w="2131" w:type="dxa"/>
          </w:tcPr>
          <w:p>
            <w:pPr>
              <w:pStyle w:val="19"/>
              <w:spacing w:before="29"/>
              <w:ind w:left="27" w:right="22"/>
              <w:rPr>
                <w:sz w:val="21"/>
              </w:rPr>
            </w:pPr>
            <w:r>
              <w:rPr>
                <w:sz w:val="21"/>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continue"/>
            <w:tcBorders>
              <w:top w:val="nil"/>
            </w:tcBorders>
          </w:tcPr>
          <w:p>
            <w:pPr>
              <w:rPr>
                <w:sz w:val="2"/>
                <w:szCs w:val="2"/>
              </w:rPr>
            </w:pPr>
          </w:p>
        </w:tc>
        <w:tc>
          <w:tcPr>
            <w:tcW w:w="2131" w:type="dxa"/>
          </w:tcPr>
          <w:p>
            <w:pPr>
              <w:pStyle w:val="19"/>
              <w:spacing w:before="30"/>
              <w:ind w:left="144" w:right="22"/>
              <w:rPr>
                <w:sz w:val="21"/>
              </w:rPr>
            </w:pPr>
            <w:r>
              <w:rPr>
                <w:spacing w:val="-27"/>
                <w:w w:val="95"/>
                <w:sz w:val="21"/>
              </w:rPr>
              <w:t>人口数</w:t>
            </w:r>
            <w:r>
              <w:rPr>
                <w:w w:val="95"/>
                <w:sz w:val="21"/>
              </w:rPr>
              <w:t>（城市选项时）</w:t>
            </w:r>
          </w:p>
        </w:tc>
        <w:tc>
          <w:tcPr>
            <w:tcW w:w="2131" w:type="dxa"/>
          </w:tcPr>
          <w:p>
            <w:pPr>
              <w:pStyle w:val="19"/>
              <w:spacing w:before="44"/>
              <w:ind w:left="10"/>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391" w:type="dxa"/>
            <w:gridSpan w:val="2"/>
          </w:tcPr>
          <w:p>
            <w:pPr>
              <w:pStyle w:val="19"/>
              <w:spacing w:before="31"/>
              <w:ind w:left="2409" w:right="2402"/>
              <w:rPr>
                <w:sz w:val="21"/>
              </w:rPr>
            </w:pPr>
            <w:r>
              <w:rPr>
                <w:sz w:val="21"/>
              </w:rPr>
              <w:t>最高环境温度</w:t>
            </w:r>
            <w:r>
              <w:rPr>
                <w:rFonts w:ascii="Times New Roman" w:hAnsi="Times New Roman" w:eastAsia="Times New Roman"/>
                <w:sz w:val="21"/>
              </w:rPr>
              <w:t>/</w:t>
            </w:r>
            <w:r>
              <w:rPr>
                <w:sz w:val="21"/>
              </w:rPr>
              <w:t>℃</w:t>
            </w:r>
          </w:p>
        </w:tc>
        <w:tc>
          <w:tcPr>
            <w:tcW w:w="2131" w:type="dxa"/>
          </w:tcPr>
          <w:p>
            <w:pPr>
              <w:pStyle w:val="19"/>
              <w:spacing w:before="44"/>
              <w:ind w:left="31" w:right="22"/>
              <w:rPr>
                <w:rFonts w:hint="default" w:ascii="Times New Roman" w:eastAsia="宋体"/>
                <w:sz w:val="21"/>
                <w:lang w:val="en-US" w:eastAsia="zh-CN"/>
              </w:rPr>
            </w:pPr>
            <w:r>
              <w:rPr>
                <w:rFonts w:hint="eastAsia" w:ascii="Times New Roman"/>
                <w:sz w:val="21"/>
                <w:lang w:val="en-US" w:eastAsia="zh-CN"/>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391" w:type="dxa"/>
            <w:gridSpan w:val="2"/>
          </w:tcPr>
          <w:p>
            <w:pPr>
              <w:pStyle w:val="19"/>
              <w:spacing w:before="29"/>
              <w:ind w:left="2409" w:right="2402"/>
              <w:rPr>
                <w:sz w:val="21"/>
              </w:rPr>
            </w:pPr>
            <w:r>
              <w:rPr>
                <w:sz w:val="21"/>
              </w:rPr>
              <w:t>最低环境温度</w:t>
            </w:r>
            <w:r>
              <w:rPr>
                <w:rFonts w:ascii="Times New Roman" w:hAnsi="Times New Roman" w:eastAsia="Times New Roman"/>
                <w:sz w:val="21"/>
              </w:rPr>
              <w:t>/</w:t>
            </w:r>
            <w:r>
              <w:rPr>
                <w:sz w:val="21"/>
              </w:rPr>
              <w:t>℃</w:t>
            </w:r>
          </w:p>
        </w:tc>
        <w:tc>
          <w:tcPr>
            <w:tcW w:w="2131" w:type="dxa"/>
          </w:tcPr>
          <w:p>
            <w:pPr>
              <w:pStyle w:val="19"/>
              <w:spacing w:before="29"/>
              <w:ind w:left="33" w:right="22"/>
              <w:rPr>
                <w:rFonts w:hint="default" w:ascii="Times New Roman" w:eastAsia="宋体"/>
                <w:sz w:val="21"/>
                <w:lang w:val="en-US" w:eastAsia="zh-CN"/>
              </w:rPr>
            </w:pPr>
            <w:r>
              <w:rPr>
                <w:rFonts w:hint="eastAsia" w:eastAsia="宋体"/>
                <w:sz w:val="21"/>
                <w:lang w:val="en-US"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391" w:type="dxa"/>
            <w:gridSpan w:val="2"/>
          </w:tcPr>
          <w:p>
            <w:pPr>
              <w:pStyle w:val="19"/>
              <w:spacing w:before="30"/>
              <w:ind w:left="2409" w:right="2402"/>
              <w:rPr>
                <w:sz w:val="21"/>
              </w:rPr>
            </w:pPr>
            <w:r>
              <w:rPr>
                <w:sz w:val="21"/>
              </w:rPr>
              <w:t>土地利用类型</w:t>
            </w:r>
          </w:p>
        </w:tc>
        <w:tc>
          <w:tcPr>
            <w:tcW w:w="2131" w:type="dxa"/>
          </w:tcPr>
          <w:p>
            <w:pPr>
              <w:pStyle w:val="19"/>
              <w:spacing w:before="30"/>
              <w:ind w:right="530"/>
              <w:jc w:val="right"/>
              <w:rPr>
                <w:sz w:val="21"/>
              </w:rPr>
            </w:pPr>
            <w:r>
              <w:rPr>
                <w:w w:val="95"/>
                <w:sz w:val="21"/>
              </w:rPr>
              <w:t>沙漠化荒地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391" w:type="dxa"/>
            <w:gridSpan w:val="2"/>
          </w:tcPr>
          <w:p>
            <w:pPr>
              <w:pStyle w:val="19"/>
              <w:spacing w:before="31"/>
              <w:ind w:left="2409" w:right="2402"/>
              <w:rPr>
                <w:sz w:val="21"/>
              </w:rPr>
            </w:pPr>
            <w:r>
              <w:rPr>
                <w:sz w:val="21"/>
              </w:rPr>
              <w:t>区域湿度条件</w:t>
            </w:r>
          </w:p>
        </w:tc>
        <w:tc>
          <w:tcPr>
            <w:tcW w:w="2131" w:type="dxa"/>
          </w:tcPr>
          <w:p>
            <w:pPr>
              <w:pStyle w:val="19"/>
              <w:spacing w:before="31"/>
              <w:ind w:right="635"/>
              <w:jc w:val="right"/>
              <w:rPr>
                <w:sz w:val="21"/>
              </w:rPr>
            </w:pPr>
            <w:r>
              <w:rPr>
                <w:w w:val="95"/>
                <w:sz w:val="21"/>
              </w:rPr>
              <w:t>干燥气候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restart"/>
          </w:tcPr>
          <w:p>
            <w:pPr>
              <w:pStyle w:val="19"/>
              <w:spacing w:before="7"/>
              <w:jc w:val="left"/>
              <w:rPr>
                <w:b/>
                <w:sz w:val="15"/>
              </w:rPr>
            </w:pPr>
          </w:p>
          <w:p>
            <w:pPr>
              <w:pStyle w:val="19"/>
              <w:ind w:left="1478" w:right="1471"/>
              <w:rPr>
                <w:sz w:val="21"/>
              </w:rPr>
            </w:pPr>
            <w:r>
              <w:rPr>
                <w:sz w:val="21"/>
              </w:rPr>
              <w:t>是否考虑地形</w:t>
            </w:r>
          </w:p>
        </w:tc>
        <w:tc>
          <w:tcPr>
            <w:tcW w:w="2131" w:type="dxa"/>
          </w:tcPr>
          <w:p>
            <w:pPr>
              <w:pStyle w:val="19"/>
              <w:spacing w:before="29"/>
              <w:ind w:left="29" w:right="22"/>
              <w:rPr>
                <w:sz w:val="21"/>
              </w:rPr>
            </w:pPr>
            <w:r>
              <w:rPr>
                <w:sz w:val="21"/>
              </w:rPr>
              <w:t>考虑地形</w:t>
            </w:r>
          </w:p>
        </w:tc>
        <w:tc>
          <w:tcPr>
            <w:tcW w:w="2131" w:type="dxa"/>
          </w:tcPr>
          <w:p>
            <w:pPr>
              <w:pStyle w:val="19"/>
              <w:tabs>
                <w:tab w:val="left" w:pos="578"/>
              </w:tabs>
              <w:spacing w:before="31"/>
              <w:ind w:right="570"/>
              <w:jc w:val="right"/>
              <w:rPr>
                <w:sz w:val="21"/>
              </w:rPr>
            </w:pPr>
            <w:r>
              <w:rPr>
                <w:rFonts w:ascii="Wingdings 2" w:hAnsi="Wingdings 2" w:eastAsia="Wingdings 2"/>
                <w:spacing w:val="-3"/>
                <w:sz w:val="18"/>
              </w:rPr>
              <w:t></w:t>
            </w:r>
            <w:r>
              <w:rPr>
                <w:sz w:val="21"/>
              </w:rPr>
              <w:t>是</w:t>
            </w:r>
            <w:r>
              <w:rPr>
                <w:sz w:val="21"/>
              </w:rPr>
              <w:tab/>
            </w:r>
            <w:r>
              <w:rPr>
                <w:w w:val="95"/>
                <w:sz w:val="18"/>
              </w:rPr>
              <w:t>□</w:t>
            </w:r>
            <w:r>
              <w:rPr>
                <w:w w:val="95"/>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continue"/>
            <w:tcBorders>
              <w:top w:val="nil"/>
            </w:tcBorders>
          </w:tcPr>
          <w:p>
            <w:pPr>
              <w:rPr>
                <w:sz w:val="2"/>
                <w:szCs w:val="2"/>
              </w:rPr>
            </w:pPr>
          </w:p>
        </w:tc>
        <w:tc>
          <w:tcPr>
            <w:tcW w:w="2131" w:type="dxa"/>
          </w:tcPr>
          <w:p>
            <w:pPr>
              <w:pStyle w:val="19"/>
              <w:spacing w:before="30"/>
              <w:ind w:left="31" w:right="22"/>
              <w:rPr>
                <w:rFonts w:ascii="Times New Roman" w:eastAsia="Times New Roman"/>
                <w:sz w:val="21"/>
              </w:rPr>
            </w:pPr>
            <w:r>
              <w:rPr>
                <w:sz w:val="21"/>
              </w:rPr>
              <w:t>地形数据分辨率</w:t>
            </w:r>
            <w:r>
              <w:rPr>
                <w:rFonts w:ascii="Times New Roman" w:eastAsia="Times New Roman"/>
                <w:sz w:val="21"/>
              </w:rPr>
              <w:t>/m</w:t>
            </w:r>
          </w:p>
        </w:tc>
        <w:tc>
          <w:tcPr>
            <w:tcW w:w="2131" w:type="dxa"/>
          </w:tcPr>
          <w:p>
            <w:pPr>
              <w:pStyle w:val="19"/>
              <w:spacing w:before="44"/>
              <w:ind w:left="31" w:right="22"/>
              <w:rPr>
                <w:rFonts w:ascii="Times New Roman"/>
                <w:sz w:val="21"/>
              </w:rPr>
            </w:pPr>
            <w:r>
              <w:rPr>
                <w:rFonts w:ascii="Times New Roman"/>
                <w:sz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restart"/>
          </w:tcPr>
          <w:p>
            <w:pPr>
              <w:pStyle w:val="19"/>
              <w:spacing w:before="10"/>
              <w:jc w:val="left"/>
              <w:rPr>
                <w:b/>
                <w:sz w:val="28"/>
              </w:rPr>
            </w:pPr>
          </w:p>
          <w:p>
            <w:pPr>
              <w:pStyle w:val="19"/>
              <w:ind w:left="1288"/>
              <w:jc w:val="left"/>
              <w:rPr>
                <w:sz w:val="21"/>
              </w:rPr>
            </w:pPr>
            <w:r>
              <w:rPr>
                <w:sz w:val="21"/>
              </w:rPr>
              <w:t>是否考虑岸线熏烟</w:t>
            </w:r>
          </w:p>
        </w:tc>
        <w:tc>
          <w:tcPr>
            <w:tcW w:w="2131" w:type="dxa"/>
          </w:tcPr>
          <w:p>
            <w:pPr>
              <w:pStyle w:val="19"/>
              <w:spacing w:before="31"/>
              <w:ind w:left="27" w:right="22"/>
              <w:rPr>
                <w:sz w:val="21"/>
              </w:rPr>
            </w:pPr>
            <w:r>
              <w:rPr>
                <w:sz w:val="21"/>
              </w:rPr>
              <w:t>考虑岸线熏烟</w:t>
            </w:r>
          </w:p>
        </w:tc>
        <w:tc>
          <w:tcPr>
            <w:tcW w:w="2131" w:type="dxa"/>
          </w:tcPr>
          <w:p>
            <w:pPr>
              <w:pStyle w:val="19"/>
              <w:tabs>
                <w:tab w:val="left" w:pos="599"/>
              </w:tabs>
              <w:spacing w:before="31"/>
              <w:ind w:right="570"/>
              <w:jc w:val="right"/>
              <w:rPr>
                <w:sz w:val="21"/>
              </w:rPr>
            </w:pPr>
            <w:r>
              <w:rPr>
                <w:sz w:val="18"/>
              </w:rPr>
              <w:t>□</w:t>
            </w:r>
            <w:r>
              <w:rPr>
                <w:sz w:val="21"/>
              </w:rPr>
              <w:t>是</w:t>
            </w:r>
            <w:r>
              <w:rPr>
                <w:sz w:val="21"/>
              </w:rPr>
              <w:tab/>
            </w:r>
            <w:r>
              <w:rPr>
                <w:rFonts w:ascii="Wingdings 2" w:hAnsi="Wingdings 2" w:eastAsia="Wingdings 2"/>
                <w:spacing w:val="-3"/>
                <w:w w:val="95"/>
                <w:sz w:val="18"/>
              </w:rPr>
              <w:t></w:t>
            </w:r>
            <w:r>
              <w:rPr>
                <w:w w:val="95"/>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continue"/>
            <w:tcBorders>
              <w:top w:val="nil"/>
            </w:tcBorders>
          </w:tcPr>
          <w:p>
            <w:pPr>
              <w:rPr>
                <w:sz w:val="2"/>
                <w:szCs w:val="2"/>
              </w:rPr>
            </w:pPr>
          </w:p>
        </w:tc>
        <w:tc>
          <w:tcPr>
            <w:tcW w:w="2131" w:type="dxa"/>
          </w:tcPr>
          <w:p>
            <w:pPr>
              <w:pStyle w:val="19"/>
              <w:spacing w:before="29"/>
              <w:ind w:left="28" w:right="22"/>
              <w:rPr>
                <w:rFonts w:ascii="Times New Roman" w:eastAsia="Times New Roman"/>
                <w:sz w:val="21"/>
              </w:rPr>
            </w:pPr>
            <w:r>
              <w:rPr>
                <w:sz w:val="21"/>
              </w:rPr>
              <w:t>岸线距离</w:t>
            </w:r>
            <w:r>
              <w:rPr>
                <w:rFonts w:ascii="Times New Roman" w:eastAsia="Times New Roman"/>
                <w:sz w:val="21"/>
              </w:rPr>
              <w:t>/km</w:t>
            </w:r>
          </w:p>
        </w:tc>
        <w:tc>
          <w:tcPr>
            <w:tcW w:w="2131" w:type="dxa"/>
          </w:tcPr>
          <w:p>
            <w:pPr>
              <w:pStyle w:val="19"/>
              <w:spacing w:before="43"/>
              <w:ind w:left="10"/>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60" w:type="dxa"/>
            <w:vMerge w:val="continue"/>
            <w:tcBorders>
              <w:top w:val="nil"/>
            </w:tcBorders>
          </w:tcPr>
          <w:p>
            <w:pPr>
              <w:rPr>
                <w:sz w:val="2"/>
                <w:szCs w:val="2"/>
              </w:rPr>
            </w:pPr>
          </w:p>
        </w:tc>
        <w:tc>
          <w:tcPr>
            <w:tcW w:w="2131" w:type="dxa"/>
          </w:tcPr>
          <w:p>
            <w:pPr>
              <w:pStyle w:val="19"/>
              <w:spacing w:before="30"/>
              <w:ind w:left="33" w:right="22"/>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2131" w:type="dxa"/>
          </w:tcPr>
          <w:p>
            <w:pPr>
              <w:pStyle w:val="19"/>
              <w:spacing w:before="44"/>
              <w:ind w:left="10"/>
              <w:rPr>
                <w:rFonts w:ascii="Times New Roman"/>
                <w:sz w:val="21"/>
              </w:rPr>
            </w:pPr>
            <w:r>
              <w:rPr>
                <w:rFonts w:ascii="Times New Roman"/>
                <w:w w:val="99"/>
                <w:sz w:val="21"/>
              </w:rPr>
              <w:t>/</w:t>
            </w:r>
          </w:p>
        </w:tc>
      </w:tr>
    </w:tbl>
    <w:p>
      <w:pPr>
        <w:pStyle w:val="7"/>
        <w:spacing w:before="80"/>
        <w:ind w:left="1020"/>
      </w:pPr>
      <w:r>
        <w:t>②估算结果</w:t>
      </w:r>
    </w:p>
    <w:p>
      <w:pPr>
        <w:pStyle w:val="7"/>
        <w:spacing w:before="160"/>
        <w:ind w:left="1020"/>
      </w:pPr>
      <w:r>
        <w:t>估算结果见表</w:t>
      </w:r>
      <w:r>
        <w:rPr>
          <w:rFonts w:ascii="Times New Roman" w:eastAsia="Times New Roman"/>
        </w:rPr>
        <w:t>2.6-</w:t>
      </w:r>
      <w:r>
        <w:rPr>
          <w:rFonts w:hint="eastAsia" w:ascii="Times New Roman" w:eastAsia="宋体"/>
          <w:lang w:val="en-US" w:eastAsia="zh-CN"/>
        </w:rPr>
        <w:t>3</w:t>
      </w:r>
      <w:r>
        <w:t>。</w:t>
      </w:r>
    </w:p>
    <w:p>
      <w:pPr>
        <w:pStyle w:val="7"/>
        <w:spacing w:before="161" w:line="364" w:lineRule="auto"/>
        <w:ind w:right="452" w:firstLine="480"/>
      </w:pPr>
      <w:r>
        <w:rPr>
          <w:spacing w:val="-13"/>
        </w:rPr>
        <w:t>根据表</w:t>
      </w:r>
      <w:r>
        <w:rPr>
          <w:rFonts w:ascii="Times New Roman" w:hAnsi="Times New Roman" w:eastAsia="Times New Roman"/>
        </w:rPr>
        <w:t>2.6-</w:t>
      </w:r>
      <w:r>
        <w:rPr>
          <w:rFonts w:hint="eastAsia" w:ascii="Times New Roman" w:hAnsi="Times New Roman" w:eastAsia="宋体"/>
          <w:lang w:val="en-US" w:eastAsia="zh-CN"/>
        </w:rPr>
        <w:t>3</w:t>
      </w:r>
      <w:r>
        <w:rPr>
          <w:spacing w:val="-12"/>
        </w:rPr>
        <w:t>的计算结果和《环境影响评价技术导则</w:t>
      </w:r>
      <w:r>
        <w:rPr>
          <w:rFonts w:ascii="Times New Roman" w:hAnsi="Times New Roman" w:eastAsia="Times New Roman"/>
        </w:rPr>
        <w:t>·</w:t>
      </w:r>
      <w:r>
        <w:t>大气环境</w:t>
      </w:r>
      <w:r>
        <w:rPr>
          <w:spacing w:val="-238"/>
        </w:rPr>
        <w:t>》</w:t>
      </w:r>
      <w:r>
        <w:rPr>
          <w:spacing w:val="-3"/>
        </w:rPr>
        <w:t>（</w:t>
      </w:r>
      <w:r>
        <w:rPr>
          <w:rFonts w:ascii="Times New Roman" w:hAnsi="Times New Roman" w:eastAsia="Times New Roman"/>
          <w:spacing w:val="-3"/>
        </w:rPr>
        <w:t>HJ2.2-2018</w:t>
      </w:r>
      <w:r>
        <w:rPr>
          <w:spacing w:val="-3"/>
        </w:rPr>
        <w:t>）</w:t>
      </w:r>
      <w:r>
        <w:t>相关要求，本次确定养殖场大气环境影响评价工作等级为二级。</w:t>
      </w:r>
    </w:p>
    <w:p>
      <w:pPr>
        <w:pStyle w:val="18"/>
        <w:numPr>
          <w:ilvl w:val="3"/>
          <w:numId w:val="14"/>
        </w:numPr>
        <w:tabs>
          <w:tab w:val="left" w:pos="1621"/>
        </w:tabs>
        <w:spacing w:before="1" w:after="0" w:line="240" w:lineRule="auto"/>
        <w:ind w:left="1621" w:right="0" w:hanging="601"/>
        <w:jc w:val="left"/>
        <w:rPr>
          <w:sz w:val="24"/>
        </w:rPr>
      </w:pPr>
      <w:r>
        <w:rPr>
          <w:sz w:val="24"/>
        </w:rPr>
        <w:t>地表水环境影响评价工作等级</w:t>
      </w:r>
    </w:p>
    <w:p>
      <w:pPr>
        <w:pStyle w:val="7"/>
        <w:spacing w:before="161" w:line="364" w:lineRule="auto"/>
        <w:ind w:right="577" w:firstLine="480"/>
        <w:jc w:val="both"/>
      </w:pPr>
      <w:r>
        <w:t>根据《环境影响评价技术导则地表水环境》（</w:t>
      </w:r>
      <w:r>
        <w:rPr>
          <w:rFonts w:ascii="Times New Roman" w:eastAsia="Times New Roman"/>
        </w:rPr>
        <w:t>HJ2.3-2018</w:t>
      </w:r>
      <w:r>
        <w:t>）中规定：水环</w:t>
      </w:r>
      <w:r>
        <w:rPr>
          <w:spacing w:val="-7"/>
        </w:rPr>
        <w:t>境影响评价工作等级的确定，按照建设项目的影响类型、排放方式、排放量或影</w:t>
      </w:r>
      <w:r>
        <w:rPr>
          <w:spacing w:val="-10"/>
        </w:rPr>
        <w:t>响情况、受纳水体环境质量现状、水环境保护目标等综合确定，具体判定依据内</w:t>
      </w:r>
      <w:r>
        <w:rPr>
          <w:spacing w:val="-15"/>
        </w:rPr>
        <w:t>容见表</w:t>
      </w:r>
      <w:r>
        <w:rPr>
          <w:rFonts w:ascii="Times New Roman" w:eastAsia="Times New Roman"/>
        </w:rPr>
        <w:t>2.6-</w:t>
      </w:r>
      <w:r>
        <w:rPr>
          <w:rFonts w:hint="eastAsia" w:ascii="Times New Roman" w:eastAsia="宋体"/>
          <w:lang w:val="en-US" w:eastAsia="zh-CN"/>
        </w:rPr>
        <w:t>4</w:t>
      </w:r>
      <w:r>
        <w:t>。</w:t>
      </w:r>
    </w:p>
    <w:p>
      <w:pPr>
        <w:pStyle w:val="7"/>
        <w:bidi w:val="0"/>
        <w:jc w:val="center"/>
      </w:pPr>
      <w:r>
        <w:t>表</w:t>
      </w:r>
      <w:r>
        <w:rPr>
          <w:rFonts w:ascii="Times New Roman" w:eastAsia="Times New Roman"/>
        </w:rPr>
        <w:t>2.6-</w:t>
      </w:r>
      <w:r>
        <w:rPr>
          <w:rFonts w:hint="eastAsia" w:ascii="Times New Roman" w:eastAsia="宋体"/>
          <w:lang w:val="en-US" w:eastAsia="zh-CN"/>
        </w:rPr>
        <w:t>4</w:t>
      </w:r>
      <w:r>
        <w:rPr>
          <w:rFonts w:ascii="Times New Roman" w:eastAsia="Times New Roman"/>
        </w:rPr>
        <w:tab/>
      </w:r>
      <w:r>
        <w:t>水污染影响评价工作等级划分</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9"/>
        <w:gridCol w:w="3490"/>
        <w:gridCol w:w="3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vMerge w:val="restart"/>
          </w:tcPr>
          <w:p>
            <w:pPr>
              <w:pStyle w:val="19"/>
              <w:spacing w:before="10"/>
              <w:jc w:val="left"/>
              <w:rPr>
                <w:b/>
                <w:sz w:val="21"/>
              </w:rPr>
            </w:pPr>
          </w:p>
          <w:p>
            <w:pPr>
              <w:pStyle w:val="19"/>
              <w:spacing w:before="1"/>
              <w:ind w:left="349"/>
              <w:jc w:val="left"/>
              <w:rPr>
                <w:b/>
                <w:sz w:val="21"/>
              </w:rPr>
            </w:pPr>
            <w:r>
              <w:rPr>
                <w:b/>
                <w:sz w:val="21"/>
              </w:rPr>
              <w:t>评价等级</w:t>
            </w:r>
          </w:p>
        </w:tc>
        <w:tc>
          <w:tcPr>
            <w:tcW w:w="6980" w:type="dxa"/>
            <w:gridSpan w:val="2"/>
          </w:tcPr>
          <w:p>
            <w:pPr>
              <w:pStyle w:val="19"/>
              <w:spacing w:before="35"/>
              <w:ind w:left="3049" w:right="3037"/>
              <w:rPr>
                <w:b/>
                <w:sz w:val="21"/>
              </w:rPr>
            </w:pPr>
            <w:r>
              <w:rPr>
                <w:b/>
                <w:sz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39" w:type="dxa"/>
            <w:vMerge w:val="continue"/>
            <w:tcBorders>
              <w:top w:val="nil"/>
            </w:tcBorders>
          </w:tcPr>
          <w:p>
            <w:pPr>
              <w:rPr>
                <w:sz w:val="2"/>
                <w:szCs w:val="2"/>
              </w:rPr>
            </w:pPr>
          </w:p>
        </w:tc>
        <w:tc>
          <w:tcPr>
            <w:tcW w:w="3490" w:type="dxa"/>
          </w:tcPr>
          <w:p>
            <w:pPr>
              <w:pStyle w:val="19"/>
              <w:spacing w:before="105"/>
              <w:ind w:left="274" w:right="261"/>
              <w:rPr>
                <w:b/>
                <w:sz w:val="21"/>
              </w:rPr>
            </w:pPr>
            <w:r>
              <w:rPr>
                <w:b/>
                <w:sz w:val="21"/>
              </w:rPr>
              <w:t>排放方式</w:t>
            </w:r>
          </w:p>
        </w:tc>
        <w:tc>
          <w:tcPr>
            <w:tcW w:w="3490" w:type="dxa"/>
          </w:tcPr>
          <w:p>
            <w:pPr>
              <w:pStyle w:val="19"/>
              <w:spacing w:line="237" w:lineRule="exact"/>
              <w:ind w:left="275" w:right="261"/>
              <w:rPr>
                <w:b/>
                <w:sz w:val="21"/>
              </w:rPr>
            </w:pPr>
            <w:r>
              <w:rPr>
                <w:b/>
                <w:sz w:val="21"/>
              </w:rPr>
              <w:t>废水排放量</w:t>
            </w:r>
            <w:r>
              <w:rPr>
                <w:rFonts w:ascii="Times New Roman" w:eastAsia="Times New Roman"/>
                <w:b/>
                <w:sz w:val="21"/>
              </w:rPr>
              <w:t>Q/</w:t>
            </w:r>
            <w:r>
              <w:rPr>
                <w:b/>
                <w:sz w:val="21"/>
              </w:rPr>
              <w:t>（</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/d</w:t>
            </w:r>
            <w:r>
              <w:rPr>
                <w:b/>
                <w:sz w:val="21"/>
              </w:rPr>
              <w:t>）</w:t>
            </w:r>
          </w:p>
          <w:p>
            <w:pPr>
              <w:pStyle w:val="19"/>
              <w:spacing w:line="223" w:lineRule="exact"/>
              <w:ind w:left="275" w:right="261"/>
              <w:rPr>
                <w:b/>
                <w:sz w:val="21"/>
              </w:rPr>
            </w:pPr>
            <w:r>
              <w:rPr>
                <w:b/>
                <w:sz w:val="21"/>
              </w:rPr>
              <w:t>水污染物当量数</w:t>
            </w:r>
            <w:r>
              <w:rPr>
                <w:rFonts w:ascii="Times New Roman" w:eastAsia="Times New Roman"/>
                <w:b/>
                <w:sz w:val="21"/>
              </w:rPr>
              <w:t>W/</w:t>
            </w:r>
            <w:r>
              <w:rPr>
                <w:b/>
                <w:sz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tcPr>
          <w:p>
            <w:pPr>
              <w:pStyle w:val="19"/>
              <w:spacing w:before="35"/>
              <w:ind w:left="405" w:right="401"/>
              <w:rPr>
                <w:sz w:val="21"/>
              </w:rPr>
            </w:pPr>
            <w:r>
              <w:rPr>
                <w:sz w:val="21"/>
              </w:rPr>
              <w:t>一级</w:t>
            </w:r>
          </w:p>
        </w:tc>
        <w:tc>
          <w:tcPr>
            <w:tcW w:w="3490" w:type="dxa"/>
          </w:tcPr>
          <w:p>
            <w:pPr>
              <w:pStyle w:val="19"/>
              <w:spacing w:before="35"/>
              <w:ind w:left="269" w:right="261"/>
              <w:rPr>
                <w:sz w:val="21"/>
              </w:rPr>
            </w:pPr>
            <w:r>
              <w:rPr>
                <w:sz w:val="21"/>
              </w:rPr>
              <w:t>直接排放</w:t>
            </w:r>
          </w:p>
        </w:tc>
        <w:tc>
          <w:tcPr>
            <w:tcW w:w="3490" w:type="dxa"/>
          </w:tcPr>
          <w:p>
            <w:pPr>
              <w:pStyle w:val="19"/>
              <w:spacing w:before="35"/>
              <w:ind w:left="272" w:right="261"/>
              <w:rPr>
                <w:rFonts w:ascii="Times New Roman" w:hAnsi="Times New Roman" w:eastAsia="Times New Roman"/>
                <w:sz w:val="21"/>
              </w:rPr>
            </w:pPr>
            <w:r>
              <w:rPr>
                <w:rFonts w:ascii="Times New Roman" w:hAnsi="Times New Roman" w:eastAsia="Times New Roman"/>
                <w:sz w:val="21"/>
              </w:rPr>
              <w:t>Q</w:t>
            </w:r>
            <w:r>
              <w:rPr>
                <w:sz w:val="21"/>
              </w:rPr>
              <w:t>≥</w:t>
            </w:r>
            <w:r>
              <w:rPr>
                <w:rFonts w:ascii="Times New Roman" w:hAnsi="Times New Roman" w:eastAsia="Times New Roman"/>
                <w:sz w:val="21"/>
              </w:rPr>
              <w:t>20000</w:t>
            </w:r>
            <w:r>
              <w:rPr>
                <w:sz w:val="21"/>
              </w:rPr>
              <w:t>或</w:t>
            </w:r>
            <w:r>
              <w:rPr>
                <w:rFonts w:ascii="Times New Roman" w:hAnsi="Times New Roman" w:eastAsia="Times New Roman"/>
                <w:sz w:val="21"/>
              </w:rPr>
              <w:t>W</w:t>
            </w:r>
            <w:r>
              <w:rPr>
                <w:sz w:val="21"/>
              </w:rPr>
              <w:t>≥</w:t>
            </w:r>
            <w:r>
              <w:rPr>
                <w:rFonts w:ascii="Times New Roman" w:hAnsi="Times New Roman" w:eastAsia="Times New Roman"/>
                <w:sz w:val="21"/>
              </w:rPr>
              <w:t>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tcPr>
          <w:p>
            <w:pPr>
              <w:pStyle w:val="19"/>
              <w:spacing w:before="35"/>
              <w:ind w:left="405" w:right="401"/>
              <w:rPr>
                <w:sz w:val="21"/>
              </w:rPr>
            </w:pPr>
            <w:r>
              <w:rPr>
                <w:sz w:val="21"/>
              </w:rPr>
              <w:t>二级</w:t>
            </w:r>
          </w:p>
        </w:tc>
        <w:tc>
          <w:tcPr>
            <w:tcW w:w="3490" w:type="dxa"/>
          </w:tcPr>
          <w:p>
            <w:pPr>
              <w:pStyle w:val="19"/>
              <w:spacing w:before="35"/>
              <w:ind w:left="269" w:right="261"/>
              <w:rPr>
                <w:sz w:val="21"/>
              </w:rPr>
            </w:pPr>
            <w:r>
              <w:rPr>
                <w:sz w:val="21"/>
              </w:rPr>
              <w:t>直接排放</w:t>
            </w:r>
          </w:p>
        </w:tc>
        <w:tc>
          <w:tcPr>
            <w:tcW w:w="3490" w:type="dxa"/>
          </w:tcPr>
          <w:p>
            <w:pPr>
              <w:pStyle w:val="19"/>
              <w:spacing w:before="35"/>
              <w:ind w:left="266" w:right="261"/>
              <w:rPr>
                <w:sz w:val="21"/>
              </w:rPr>
            </w:pPr>
            <w:r>
              <w:rPr>
                <w:sz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tcPr>
          <w:p>
            <w:pPr>
              <w:pStyle w:val="19"/>
              <w:spacing w:before="36"/>
              <w:ind w:left="410" w:right="401"/>
              <w:rPr>
                <w:rFonts w:ascii="Times New Roman" w:eastAsia="Times New Roman"/>
                <w:sz w:val="21"/>
              </w:rPr>
            </w:pPr>
            <w:r>
              <w:rPr>
                <w:sz w:val="21"/>
              </w:rPr>
              <w:t>三级</w:t>
            </w:r>
            <w:r>
              <w:rPr>
                <w:rFonts w:ascii="Times New Roman" w:eastAsia="Times New Roman"/>
                <w:sz w:val="21"/>
              </w:rPr>
              <w:t>A</w:t>
            </w:r>
          </w:p>
        </w:tc>
        <w:tc>
          <w:tcPr>
            <w:tcW w:w="3490" w:type="dxa"/>
          </w:tcPr>
          <w:p>
            <w:pPr>
              <w:pStyle w:val="19"/>
              <w:spacing w:before="36"/>
              <w:ind w:left="269" w:right="261"/>
              <w:rPr>
                <w:sz w:val="21"/>
              </w:rPr>
            </w:pPr>
            <w:r>
              <w:rPr>
                <w:sz w:val="21"/>
              </w:rPr>
              <w:t>直接排放</w:t>
            </w:r>
          </w:p>
        </w:tc>
        <w:tc>
          <w:tcPr>
            <w:tcW w:w="3490" w:type="dxa"/>
          </w:tcPr>
          <w:p>
            <w:pPr>
              <w:pStyle w:val="19"/>
              <w:spacing w:before="36"/>
              <w:ind w:left="272" w:right="261"/>
              <w:rPr>
                <w:rFonts w:ascii="Times New Roman" w:eastAsia="Times New Roman"/>
                <w:sz w:val="21"/>
              </w:rPr>
            </w:pPr>
            <w:r>
              <w:rPr>
                <w:rFonts w:ascii="Times New Roman" w:eastAsia="Times New Roman"/>
                <w:sz w:val="21"/>
              </w:rPr>
              <w:t>Q</w:t>
            </w:r>
            <w:r>
              <w:rPr>
                <w:sz w:val="21"/>
              </w:rPr>
              <w:t>＜</w:t>
            </w:r>
            <w:r>
              <w:rPr>
                <w:rFonts w:ascii="Times New Roman" w:eastAsia="Times New Roman"/>
                <w:sz w:val="21"/>
              </w:rPr>
              <w:t>200</w:t>
            </w:r>
            <w:r>
              <w:rPr>
                <w:sz w:val="21"/>
              </w:rPr>
              <w:t>或</w:t>
            </w:r>
            <w:r>
              <w:rPr>
                <w:rFonts w:ascii="Times New Roman" w:eastAsia="Times New Roman"/>
                <w:sz w:val="21"/>
              </w:rPr>
              <w:t>W</w:t>
            </w:r>
            <w:r>
              <w:rPr>
                <w:sz w:val="21"/>
              </w:rPr>
              <w:t>＜</w:t>
            </w:r>
            <w:r>
              <w:rPr>
                <w:rFonts w:ascii="Times New Roman" w:eastAsia="Times New Roman"/>
                <w:sz w:val="21"/>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tcPr>
          <w:p>
            <w:pPr>
              <w:pStyle w:val="19"/>
              <w:spacing w:before="34"/>
              <w:ind w:left="408" w:right="401"/>
              <w:rPr>
                <w:rFonts w:ascii="Times New Roman" w:eastAsia="Times New Roman"/>
                <w:sz w:val="21"/>
              </w:rPr>
            </w:pPr>
            <w:r>
              <w:rPr>
                <w:sz w:val="21"/>
              </w:rPr>
              <w:t>三级</w:t>
            </w:r>
            <w:r>
              <w:rPr>
                <w:rFonts w:ascii="Times New Roman" w:eastAsia="Times New Roman"/>
                <w:sz w:val="21"/>
              </w:rPr>
              <w:t>B</w:t>
            </w:r>
          </w:p>
        </w:tc>
        <w:tc>
          <w:tcPr>
            <w:tcW w:w="3490" w:type="dxa"/>
          </w:tcPr>
          <w:p>
            <w:pPr>
              <w:pStyle w:val="19"/>
              <w:spacing w:before="34"/>
              <w:ind w:left="269" w:right="261"/>
              <w:rPr>
                <w:sz w:val="21"/>
              </w:rPr>
            </w:pPr>
            <w:r>
              <w:rPr>
                <w:sz w:val="21"/>
              </w:rPr>
              <w:t>间接排放</w:t>
            </w:r>
          </w:p>
        </w:tc>
        <w:tc>
          <w:tcPr>
            <w:tcW w:w="3490" w:type="dxa"/>
          </w:tcPr>
          <w:p>
            <w:pPr>
              <w:pStyle w:val="19"/>
              <w:spacing w:before="34"/>
              <w:ind w:left="7"/>
              <w:rPr>
                <w:sz w:val="21"/>
              </w:rPr>
            </w:pPr>
            <w:r>
              <w:rPr>
                <w:w w:val="99"/>
                <w:sz w:val="21"/>
              </w:rPr>
              <w:t>—</w:t>
            </w:r>
          </w:p>
        </w:tc>
      </w:tr>
    </w:tbl>
    <w:p>
      <w:pPr>
        <w:pStyle w:val="7"/>
        <w:spacing w:before="6"/>
        <w:ind w:left="0"/>
        <w:rPr>
          <w:b/>
          <w:sz w:val="18"/>
        </w:rPr>
      </w:pPr>
    </w:p>
    <w:p>
      <w:pPr>
        <w:pStyle w:val="7"/>
        <w:spacing w:before="143" w:line="364" w:lineRule="auto"/>
        <w:ind w:right="577"/>
        <w:jc w:val="both"/>
      </w:pPr>
      <w:r>
        <w:rPr>
          <w:spacing w:val="-5"/>
        </w:rPr>
        <w:t>根据工程分析，本项目废水主要包括养殖废水</w:t>
      </w:r>
      <w:r>
        <w:t>（</w:t>
      </w:r>
      <w:r>
        <w:rPr>
          <w:spacing w:val="-5"/>
        </w:rPr>
        <w:t>羊尿、羊舍冲洗废水</w:t>
      </w:r>
      <w:r>
        <w:rPr>
          <w:spacing w:val="-25"/>
        </w:rPr>
        <w:t>）</w:t>
      </w:r>
      <w:r>
        <w:t>和职</w:t>
      </w:r>
      <w:r>
        <w:rPr>
          <w:spacing w:val="-14"/>
        </w:rPr>
        <w:t>工生活污水。本项目养殖场每栋羊舍地面为混凝土地面，上端覆盖</w:t>
      </w:r>
      <w:r>
        <w:rPr>
          <w:rFonts w:ascii="Times New Roman" w:eastAsia="Times New Roman"/>
        </w:rPr>
        <w:t>35cm</w:t>
      </w:r>
      <w:r>
        <w:rPr>
          <w:spacing w:val="-4"/>
        </w:rPr>
        <w:t>厚垫料，</w:t>
      </w:r>
      <w:r>
        <w:rPr>
          <w:spacing w:val="-6"/>
        </w:rPr>
        <w:t>铺设垫床一般采用废气杂草、农作物秸秆粉、锯末等农业材料，羊排泄的尿液被</w:t>
      </w:r>
      <w:r>
        <w:rPr>
          <w:spacing w:val="-11"/>
        </w:rPr>
        <w:t>垫料吸收、蒸发，项目定期对垫料层和粪便进行清理更换，不需要对畜舍进行冲洗，无冲栏废水产生。垫料层与羊粪一起进入堆肥厂堆肥发酵，废水实现综合利</w:t>
      </w:r>
      <w:r>
        <w:rPr>
          <w:spacing w:val="-10"/>
        </w:rPr>
        <w:t>用，不外排。本项目</w:t>
      </w:r>
      <w:r>
        <w:rPr>
          <w:rFonts w:hint="eastAsia"/>
          <w:spacing w:val="-10"/>
          <w:lang w:val="en-US" w:eastAsia="zh-CN"/>
        </w:rPr>
        <w:t>运行人员为30人</w:t>
      </w:r>
      <w:r>
        <w:rPr>
          <w:spacing w:val="-10"/>
        </w:rPr>
        <w:t>，</w:t>
      </w:r>
      <w:r>
        <w:rPr>
          <w:rFonts w:hint="eastAsia"/>
          <w:spacing w:val="-10"/>
          <w:lang w:val="en-US" w:eastAsia="zh-CN"/>
        </w:rPr>
        <w:t>设置</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r>
        <w:t>。</w:t>
      </w:r>
    </w:p>
    <w:p>
      <w:pPr>
        <w:pStyle w:val="7"/>
        <w:spacing w:before="2" w:line="364" w:lineRule="auto"/>
        <w:ind w:right="572" w:firstLine="480"/>
        <w:jc w:val="both"/>
      </w:pPr>
      <w:r>
        <w:rPr>
          <w:spacing w:val="-16"/>
        </w:rPr>
        <w:t>根据</w:t>
      </w:r>
      <w:r>
        <w:rPr>
          <w:rFonts w:ascii="Times New Roman" w:eastAsia="Times New Roman"/>
        </w:rPr>
        <w:t>HJ2.3-2018</w:t>
      </w:r>
      <w:r>
        <w:t>地表水环境影响评价分级判据标准，本项目废水不外排外</w:t>
      </w:r>
      <w:r>
        <w:rPr>
          <w:spacing w:val="-8"/>
        </w:rPr>
        <w:t>排总废水量</w:t>
      </w:r>
      <w:r>
        <w:rPr>
          <w:rFonts w:ascii="Times New Roman" w:eastAsia="Times New Roman"/>
          <w:spacing w:val="-4"/>
        </w:rPr>
        <w:t>Q=0mm</w:t>
      </w:r>
      <w:r>
        <w:rPr>
          <w:rFonts w:ascii="Times New Roman" w:eastAsia="Times New Roman"/>
          <w:spacing w:val="-4"/>
          <w:position w:val="8"/>
          <w:sz w:val="15"/>
        </w:rPr>
        <w:t>3</w:t>
      </w:r>
      <w:r>
        <w:rPr>
          <w:rFonts w:ascii="Times New Roman" w:eastAsia="Times New Roman"/>
          <w:spacing w:val="-4"/>
        </w:rPr>
        <w:t>/d</w:t>
      </w:r>
      <w:r>
        <w:rPr>
          <w:spacing w:val="-4"/>
        </w:rPr>
        <w:t>＜</w:t>
      </w:r>
      <w:r>
        <w:rPr>
          <w:rFonts w:ascii="Times New Roman" w:eastAsia="Times New Roman"/>
          <w:spacing w:val="-4"/>
        </w:rPr>
        <w:t>200m</w:t>
      </w:r>
      <w:r>
        <w:rPr>
          <w:rFonts w:ascii="Times New Roman" w:eastAsia="Times New Roman"/>
          <w:spacing w:val="-4"/>
          <w:position w:val="8"/>
          <w:sz w:val="15"/>
        </w:rPr>
        <w:t>3</w:t>
      </w:r>
      <w:r>
        <w:rPr>
          <w:rFonts w:ascii="Times New Roman" w:eastAsia="Times New Roman"/>
          <w:spacing w:val="-4"/>
        </w:rPr>
        <w:t>/d</w:t>
      </w:r>
      <w:r>
        <w:rPr>
          <w:spacing w:val="-9"/>
        </w:rPr>
        <w:t>，项目区周边无地表水，不涉及地表水环境保护</w:t>
      </w:r>
      <w:r>
        <w:rPr>
          <w:spacing w:val="-3"/>
        </w:rPr>
        <w:t>目标，因此，判定本项目地面水环境评价级别为三级</w:t>
      </w:r>
      <w:r>
        <w:rPr>
          <w:rFonts w:ascii="Times New Roman" w:eastAsia="Times New Roman"/>
        </w:rPr>
        <w:t>B</w:t>
      </w:r>
      <w:r>
        <w:t>。</w:t>
      </w:r>
    </w:p>
    <w:p>
      <w:pPr>
        <w:pStyle w:val="18"/>
        <w:numPr>
          <w:ilvl w:val="3"/>
          <w:numId w:val="14"/>
        </w:numPr>
        <w:tabs>
          <w:tab w:val="left" w:pos="1621"/>
        </w:tabs>
        <w:spacing w:before="1" w:after="0" w:line="240" w:lineRule="auto"/>
        <w:ind w:left="1621" w:right="0" w:hanging="601"/>
        <w:jc w:val="left"/>
        <w:rPr>
          <w:sz w:val="24"/>
        </w:rPr>
      </w:pPr>
      <w:r>
        <w:rPr>
          <w:sz w:val="24"/>
        </w:rPr>
        <w:t>地下水环境影响评价工作等级</w:t>
      </w:r>
    </w:p>
    <w:p>
      <w:pPr>
        <w:pStyle w:val="7"/>
        <w:spacing w:before="161" w:line="364" w:lineRule="auto"/>
        <w:ind w:right="575" w:firstLine="480"/>
        <w:jc w:val="both"/>
      </w:pPr>
      <w:r>
        <w:t>根据建设项目对地下水环境影响的程度，参照《环境影响评价技术导则</w:t>
      </w:r>
      <w:r>
        <w:rPr>
          <w:rFonts w:ascii="Times New Roman" w:hAnsi="Times New Roman" w:eastAsia="Times New Roman"/>
        </w:rPr>
        <w:t>·</w:t>
      </w:r>
      <w:r>
        <w:t>地</w:t>
      </w:r>
      <w:r>
        <w:rPr>
          <w:spacing w:val="-9"/>
        </w:rPr>
        <w:t>下水环境》</w:t>
      </w:r>
      <w:r>
        <w:rPr>
          <w:spacing w:val="-4"/>
        </w:rPr>
        <w:t>（</w:t>
      </w:r>
      <w:r>
        <w:rPr>
          <w:rFonts w:ascii="Times New Roman" w:hAnsi="Times New Roman" w:eastAsia="Times New Roman"/>
          <w:spacing w:val="-4"/>
        </w:rPr>
        <w:t>HJ610-2016</w:t>
      </w:r>
      <w:r>
        <w:rPr>
          <w:spacing w:val="-4"/>
        </w:rPr>
        <w:t>）</w:t>
      </w:r>
      <w:r>
        <w:rPr>
          <w:spacing w:val="-3"/>
        </w:rPr>
        <w:t>，建设项目地下水环境影响评价工作等级划分主要根</w:t>
      </w:r>
      <w:r>
        <w:t>据建设项目所属的地下水环境影响评价项目类别以及地下水环境敏感程度两项指标确定。</w:t>
      </w:r>
    </w:p>
    <w:p>
      <w:pPr>
        <w:pStyle w:val="7"/>
        <w:spacing w:before="2"/>
        <w:ind w:left="1020"/>
      </w:pPr>
      <w:r>
        <w:t>本项目地下水环境影响评价工作等级的判定依据如下：</w:t>
      </w:r>
    </w:p>
    <w:p>
      <w:pPr>
        <w:pStyle w:val="7"/>
        <w:spacing w:before="161"/>
        <w:ind w:left="1020"/>
        <w:jc w:val="both"/>
      </w:pPr>
      <w:r>
        <w:t>①建设项目所属的地下水环境影响评价项目类别</w:t>
      </w:r>
    </w:p>
    <w:p>
      <w:pPr>
        <w:pStyle w:val="7"/>
        <w:spacing w:before="160" w:line="364" w:lineRule="auto"/>
        <w:ind w:right="572" w:firstLine="480"/>
        <w:jc w:val="both"/>
      </w:pPr>
      <w:r>
        <w:t>根据《环境影响评价技术导则</w:t>
      </w:r>
      <w:r>
        <w:rPr>
          <w:rFonts w:ascii="Times New Roman" w:hAnsi="Times New Roman" w:eastAsia="Times New Roman"/>
        </w:rPr>
        <w:t>·</w:t>
      </w:r>
      <w:r>
        <w:t>地下水环境》（</w:t>
      </w:r>
      <w:r>
        <w:rPr>
          <w:rFonts w:ascii="Times New Roman" w:hAnsi="Times New Roman" w:eastAsia="Times New Roman"/>
        </w:rPr>
        <w:t>HJ 610-2016</w:t>
      </w:r>
      <w:r>
        <w:t>）</w:t>
      </w:r>
      <w:r>
        <w:rPr>
          <w:spacing w:val="-17"/>
        </w:rPr>
        <w:t>附录</w:t>
      </w:r>
      <w:r>
        <w:rPr>
          <w:rFonts w:ascii="Times New Roman" w:hAnsi="Times New Roman" w:eastAsia="Times New Roman"/>
        </w:rPr>
        <w:t>A</w:t>
      </w:r>
      <w:r>
        <w:t>，本项</w:t>
      </w:r>
      <w:r>
        <w:rPr>
          <w:spacing w:val="-1"/>
        </w:rPr>
        <w:t>目行业类别为：</w:t>
      </w:r>
      <w:r>
        <w:rPr>
          <w:rFonts w:ascii="Times New Roman" w:hAnsi="Times New Roman" w:eastAsia="Times New Roman"/>
          <w:spacing w:val="-4"/>
        </w:rPr>
        <w:t>B</w:t>
      </w:r>
      <w:r>
        <w:rPr>
          <w:spacing w:val="-6"/>
        </w:rPr>
        <w:t>农、林、牧、渔、海洋，</w:t>
      </w:r>
      <w:r>
        <w:rPr>
          <w:rFonts w:ascii="Times New Roman" w:hAnsi="Times New Roman" w:eastAsia="Times New Roman"/>
          <w:spacing w:val="-4"/>
        </w:rPr>
        <w:t>14</w:t>
      </w:r>
      <w:r>
        <w:rPr>
          <w:spacing w:val="-6"/>
        </w:rPr>
        <w:t>、畜禽养殖场、养殖小区，环评类</w:t>
      </w:r>
      <w:r>
        <w:t>别属于地下水环境影响评价项目类别Ⅲ类。</w:t>
      </w:r>
    </w:p>
    <w:p>
      <w:pPr>
        <w:pStyle w:val="7"/>
        <w:spacing w:before="2"/>
        <w:ind w:left="1020"/>
        <w:jc w:val="both"/>
      </w:pPr>
      <w:r>
        <w:t>②建设项目地下水环境敏感程度</w:t>
      </w:r>
    </w:p>
    <w:p>
      <w:pPr>
        <w:pStyle w:val="7"/>
        <w:spacing w:before="161" w:line="364" w:lineRule="auto"/>
        <w:ind w:right="577" w:firstLine="480"/>
        <w:jc w:val="both"/>
      </w:pPr>
      <w:r>
        <w:rPr>
          <w:spacing w:val="-7"/>
        </w:rPr>
        <w:t>建设项目的地下水环境敏感程度分为敏感、较敏感、不敏感三级，分级原则</w:t>
      </w:r>
      <w:r>
        <w:rPr>
          <w:spacing w:val="-20"/>
        </w:rPr>
        <w:t>见表</w:t>
      </w:r>
      <w:r>
        <w:rPr>
          <w:rFonts w:ascii="Times New Roman" w:eastAsia="Times New Roman"/>
        </w:rPr>
        <w:t>2.6-5</w:t>
      </w:r>
      <w:r>
        <w:t>。</w:t>
      </w:r>
    </w:p>
    <w:p>
      <w:pPr>
        <w:pStyle w:val="7"/>
        <w:bidi w:val="0"/>
        <w:jc w:val="center"/>
      </w:pPr>
      <w:r>
        <w:t>表</w:t>
      </w:r>
      <w:r>
        <w:rPr>
          <w:rFonts w:ascii="Times New Roman" w:eastAsia="Times New Roman"/>
        </w:rPr>
        <w:t>2.6-5</w:t>
      </w:r>
      <w:r>
        <w:rPr>
          <w:rFonts w:ascii="Times New Roman" w:eastAsia="Times New Roman"/>
        </w:rPr>
        <w:tab/>
      </w:r>
      <w:r>
        <w:t>地下水环境敏感程度分级</w:t>
      </w:r>
    </w:p>
    <w:tbl>
      <w:tblPr>
        <w:tblStyle w:val="15"/>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6"/>
        <w:gridCol w:w="7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96" w:type="dxa"/>
          </w:tcPr>
          <w:p>
            <w:pPr>
              <w:pStyle w:val="19"/>
              <w:spacing w:before="33"/>
              <w:ind w:left="211" w:right="203"/>
              <w:rPr>
                <w:b/>
                <w:sz w:val="21"/>
              </w:rPr>
            </w:pPr>
            <w:r>
              <w:rPr>
                <w:b/>
                <w:sz w:val="21"/>
              </w:rPr>
              <w:t>分级</w:t>
            </w:r>
          </w:p>
        </w:tc>
        <w:tc>
          <w:tcPr>
            <w:tcW w:w="7289" w:type="dxa"/>
          </w:tcPr>
          <w:p>
            <w:pPr>
              <w:pStyle w:val="19"/>
              <w:spacing w:before="33"/>
              <w:ind w:left="2153" w:right="2134"/>
              <w:rPr>
                <w:b/>
                <w:sz w:val="21"/>
              </w:rPr>
            </w:pPr>
            <w:r>
              <w:rPr>
                <w:b/>
                <w:sz w:val="21"/>
              </w:rPr>
              <w:t>项目场地的地下水环境敏感特征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96" w:type="dxa"/>
          </w:tcPr>
          <w:p>
            <w:pPr>
              <w:pStyle w:val="19"/>
              <w:spacing w:before="4"/>
              <w:jc w:val="left"/>
              <w:rPr>
                <w:b/>
                <w:sz w:val="21"/>
              </w:rPr>
            </w:pPr>
          </w:p>
          <w:p>
            <w:pPr>
              <w:pStyle w:val="19"/>
              <w:ind w:left="211" w:right="205"/>
              <w:rPr>
                <w:sz w:val="21"/>
              </w:rPr>
            </w:pPr>
            <w:r>
              <w:rPr>
                <w:sz w:val="21"/>
              </w:rPr>
              <w:t>敏感</w:t>
            </w:r>
          </w:p>
        </w:tc>
        <w:tc>
          <w:tcPr>
            <w:tcW w:w="7289" w:type="dxa"/>
          </w:tcPr>
          <w:p>
            <w:pPr>
              <w:pStyle w:val="19"/>
              <w:ind w:left="107"/>
              <w:jc w:val="left"/>
              <w:rPr>
                <w:sz w:val="21"/>
              </w:rPr>
            </w:pPr>
            <w:r>
              <w:rPr>
                <w:sz w:val="21"/>
              </w:rPr>
              <w:t>集中式饮用水水源（包括已建成的在用、备用、应急水源地，在建和规划的饮</w:t>
            </w:r>
          </w:p>
          <w:p>
            <w:pPr>
              <w:pStyle w:val="19"/>
              <w:spacing w:before="3" w:line="270" w:lineRule="atLeast"/>
              <w:ind w:left="107" w:right="-15"/>
              <w:jc w:val="left"/>
              <w:rPr>
                <w:sz w:val="21"/>
              </w:rPr>
            </w:pPr>
            <w:r>
              <w:rPr>
                <w:sz w:val="21"/>
              </w:rPr>
              <w:t>用水水源</w:t>
            </w:r>
            <w:r>
              <w:rPr>
                <w:spacing w:val="-34"/>
                <w:sz w:val="21"/>
              </w:rPr>
              <w:t>）</w:t>
            </w:r>
            <w:r>
              <w:rPr>
                <w:spacing w:val="-6"/>
                <w:sz w:val="21"/>
              </w:rPr>
              <w:t>准保护区；除集中式饮用水水源以外的国家或地方政府设定的与地</w:t>
            </w:r>
            <w:r>
              <w:rPr>
                <w:spacing w:val="-16"/>
                <w:sz w:val="21"/>
              </w:rPr>
              <w:t>下水环境相关的其它保护区，如热水、矿泉水、温泉等特殊地下水资源保护区。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1096" w:type="dxa"/>
          </w:tcPr>
          <w:p>
            <w:pPr>
              <w:pStyle w:val="19"/>
              <w:jc w:val="left"/>
              <w:rPr>
                <w:b/>
                <w:sz w:val="20"/>
              </w:rPr>
            </w:pPr>
          </w:p>
          <w:p>
            <w:pPr>
              <w:pStyle w:val="19"/>
              <w:spacing w:before="152"/>
              <w:ind w:left="211" w:right="205"/>
              <w:rPr>
                <w:sz w:val="21"/>
              </w:rPr>
            </w:pPr>
            <w:r>
              <w:rPr>
                <w:sz w:val="21"/>
              </w:rPr>
              <w:t>较敏感</w:t>
            </w:r>
          </w:p>
        </w:tc>
        <w:tc>
          <w:tcPr>
            <w:tcW w:w="7289" w:type="dxa"/>
          </w:tcPr>
          <w:p>
            <w:pPr>
              <w:pStyle w:val="19"/>
              <w:spacing w:before="1" w:line="242" w:lineRule="auto"/>
              <w:ind w:left="107" w:right="-15"/>
              <w:jc w:val="both"/>
              <w:rPr>
                <w:sz w:val="21"/>
              </w:rPr>
            </w:pPr>
            <w:r>
              <w:rPr>
                <w:spacing w:val="-2"/>
                <w:sz w:val="21"/>
              </w:rPr>
              <w:t>集中式饮用水水源</w:t>
            </w:r>
            <w:r>
              <w:rPr>
                <w:sz w:val="21"/>
              </w:rPr>
              <w:t>（</w:t>
            </w:r>
            <w:r>
              <w:rPr>
                <w:spacing w:val="-5"/>
                <w:sz w:val="21"/>
              </w:rPr>
              <w:t>包括已建成的在用、备用、应急水源，在建和规划的饮用水水源）准保护区以外的补给径流区；未划定准保护区的集中式饮用水水源，</w:t>
            </w:r>
            <w:r>
              <w:rPr>
                <w:spacing w:val="-14"/>
                <w:sz w:val="21"/>
              </w:rPr>
              <w:t>其保护区以外的补给径流区；分散式饮用水水源地；特殊地下水资源</w:t>
            </w:r>
            <w:r>
              <w:rPr>
                <w:sz w:val="21"/>
              </w:rPr>
              <w:t>（矿泉水、</w:t>
            </w:r>
          </w:p>
          <w:p>
            <w:pPr>
              <w:pStyle w:val="19"/>
              <w:spacing w:line="252" w:lineRule="exact"/>
              <w:ind w:left="107"/>
              <w:jc w:val="left"/>
              <w:rPr>
                <w:sz w:val="21"/>
              </w:rPr>
            </w:pPr>
            <w:r>
              <w:rPr>
                <w:sz w:val="21"/>
              </w:rPr>
              <w:t>温泉等）保护区以外的分布区等其它未列入上述敏感分级的环境敏感区。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96" w:type="dxa"/>
          </w:tcPr>
          <w:p>
            <w:pPr>
              <w:pStyle w:val="19"/>
              <w:spacing w:before="35"/>
              <w:ind w:left="211" w:right="205"/>
              <w:rPr>
                <w:sz w:val="21"/>
              </w:rPr>
            </w:pPr>
            <w:r>
              <w:rPr>
                <w:sz w:val="21"/>
              </w:rPr>
              <w:t>不敏感</w:t>
            </w:r>
          </w:p>
        </w:tc>
        <w:tc>
          <w:tcPr>
            <w:tcW w:w="7289" w:type="dxa"/>
          </w:tcPr>
          <w:p>
            <w:pPr>
              <w:pStyle w:val="19"/>
              <w:spacing w:before="35"/>
              <w:ind w:left="2138" w:right="2134"/>
              <w:rPr>
                <w:sz w:val="21"/>
              </w:rPr>
            </w:pPr>
            <w:r>
              <w:rPr>
                <w:sz w:val="21"/>
              </w:rPr>
              <w:t>上述地区之外的其它地区。</w:t>
            </w:r>
          </w:p>
        </w:tc>
      </w:tr>
    </w:tbl>
    <w:p>
      <w:pPr>
        <w:spacing w:before="21" w:line="278" w:lineRule="auto"/>
        <w:ind w:left="540" w:right="579" w:firstLine="420"/>
        <w:jc w:val="left"/>
        <w:rPr>
          <w:sz w:val="21"/>
        </w:rPr>
      </w:pPr>
      <w:r>
        <w:rPr>
          <w:spacing w:val="-11"/>
          <w:w w:val="95"/>
          <w:sz w:val="21"/>
        </w:rPr>
        <w:t>注：“环境敏感区”是指《建设项目环境影响评价分类管理名录》中界定的涉及地下水</w:t>
      </w:r>
      <w:r>
        <w:rPr>
          <w:spacing w:val="-11"/>
          <w:sz w:val="21"/>
        </w:rPr>
        <w:t>的环境敏感区。</w:t>
      </w:r>
    </w:p>
    <w:p>
      <w:pPr>
        <w:pStyle w:val="7"/>
        <w:keepNext w:val="0"/>
        <w:keepLines w:val="0"/>
        <w:pageBreakBefore w:val="0"/>
        <w:widowControl w:val="0"/>
        <w:kinsoku/>
        <w:wordWrap/>
        <w:overflowPunct/>
        <w:topLinePunct w:val="0"/>
        <w:autoSpaceDE w:val="0"/>
        <w:autoSpaceDN w:val="0"/>
        <w:bidi w:val="0"/>
        <w:adjustRightInd/>
        <w:snapToGrid/>
        <w:spacing w:before="143" w:line="360" w:lineRule="auto"/>
        <w:ind w:left="539" w:firstLine="480" w:firstLineChars="200"/>
        <w:textAlignment w:val="auto"/>
      </w:pPr>
      <w:r>
        <w:t>根据实地调查及咨询当地有关部门，本项目场地不属于集中式饮用水源地、集中式饮用水源地准保护区以外的补给径流区和国家或地方政府设定的与地下水环境相关的其它保护区。因此，地下水环境敏感程度为“不敏感”。</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539" w:right="577" w:firstLine="480"/>
        <w:textAlignment w:val="auto"/>
      </w:pPr>
      <w:r>
        <w:t>根据《环境影响评价技术导则地下水环境》（</w:t>
      </w:r>
      <w:r>
        <w:rPr>
          <w:rFonts w:ascii="Times New Roman" w:eastAsia="Times New Roman"/>
        </w:rPr>
        <w:t>HJ60-2016</w:t>
      </w:r>
      <w:r>
        <w:t>）的分级判据，建设项目地下水环境影响评价工作等级划分见表</w:t>
      </w:r>
      <w:r>
        <w:rPr>
          <w:rFonts w:ascii="Times New Roman" w:eastAsia="Times New Roman"/>
        </w:rPr>
        <w:t>2.6-6</w:t>
      </w:r>
      <w:r>
        <w:t>。</w:t>
      </w:r>
    </w:p>
    <w:p>
      <w:pPr>
        <w:pStyle w:val="7"/>
        <w:bidi w:val="0"/>
        <w:jc w:val="center"/>
      </w:pPr>
      <w:r>
        <w:pict>
          <v:line id="_x0000_s1057" o:spid="_x0000_s1057" o:spt="20" style="position:absolute;left:0pt;margin-left:86.65pt;margin-top:19.85pt;height:30.75pt;width:101.8pt;mso-position-horizontal-relative:page;z-index:-271071232;mso-width-relative:page;mso-height-relative:page;" stroked="t" coordsize="21600,21600">
            <v:path arrowok="t"/>
            <v:fill focussize="0,0"/>
            <v:stroke weight="0.5pt" color="#000000"/>
            <v:imagedata o:title=""/>
            <o:lock v:ext="edit"/>
          </v:line>
        </w:pict>
      </w:r>
      <w:r>
        <w:t>表</w:t>
      </w:r>
      <w:r>
        <w:rPr>
          <w:rFonts w:ascii="Times New Roman" w:eastAsia="Times New Roman"/>
        </w:rPr>
        <w:t>2.6-6</w:t>
      </w:r>
      <w:r>
        <w:rPr>
          <w:rFonts w:ascii="Times New Roman" w:eastAsia="Times New Roman"/>
        </w:rPr>
        <w:tab/>
      </w:r>
      <w:r>
        <w:t>地下水环境影响评价工作等级</w:t>
      </w:r>
    </w:p>
    <w:tbl>
      <w:tblPr>
        <w:tblStyle w:val="15"/>
        <w:tblW w:w="0" w:type="auto"/>
        <w:tblInd w:w="4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2"/>
        <w:gridCol w:w="2293"/>
        <w:gridCol w:w="2294"/>
        <w:gridCol w:w="18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2042" w:type="dxa"/>
          </w:tcPr>
          <w:p>
            <w:pPr>
              <w:pStyle w:val="19"/>
              <w:spacing w:before="21"/>
              <w:ind w:left="1093"/>
              <w:jc w:val="left"/>
              <w:rPr>
                <w:b/>
                <w:sz w:val="21"/>
              </w:rPr>
            </w:pPr>
            <w:r>
              <w:rPr>
                <w:b/>
                <w:sz w:val="21"/>
              </w:rPr>
              <w:t>项目类别</w:t>
            </w:r>
          </w:p>
          <w:p>
            <w:pPr>
              <w:pStyle w:val="19"/>
              <w:spacing w:before="43" w:line="257" w:lineRule="exact"/>
              <w:ind w:left="107"/>
              <w:jc w:val="left"/>
              <w:rPr>
                <w:b/>
                <w:sz w:val="21"/>
              </w:rPr>
            </w:pPr>
            <w:r>
              <w:rPr>
                <w:b/>
                <w:sz w:val="21"/>
              </w:rPr>
              <w:t>环境敏感程度</w:t>
            </w:r>
          </w:p>
        </w:tc>
        <w:tc>
          <w:tcPr>
            <w:tcW w:w="2293" w:type="dxa"/>
          </w:tcPr>
          <w:p>
            <w:pPr>
              <w:pStyle w:val="19"/>
              <w:spacing w:before="170"/>
              <w:ind w:left="704" w:right="694"/>
              <w:rPr>
                <w:b/>
                <w:sz w:val="21"/>
              </w:rPr>
            </w:pPr>
            <w:r>
              <w:rPr>
                <w:b/>
                <w:sz w:val="21"/>
              </w:rPr>
              <w:t>Ⅰ类项目</w:t>
            </w:r>
          </w:p>
        </w:tc>
        <w:tc>
          <w:tcPr>
            <w:tcW w:w="2294" w:type="dxa"/>
          </w:tcPr>
          <w:p>
            <w:pPr>
              <w:pStyle w:val="19"/>
              <w:spacing w:before="170"/>
              <w:ind w:left="705" w:right="695"/>
              <w:rPr>
                <w:b/>
                <w:sz w:val="21"/>
              </w:rPr>
            </w:pPr>
            <w:r>
              <w:rPr>
                <w:b/>
                <w:sz w:val="21"/>
              </w:rPr>
              <w:t>Ⅱ类项目</w:t>
            </w:r>
          </w:p>
        </w:tc>
        <w:tc>
          <w:tcPr>
            <w:tcW w:w="1814" w:type="dxa"/>
          </w:tcPr>
          <w:p>
            <w:pPr>
              <w:pStyle w:val="19"/>
              <w:spacing w:before="170"/>
              <w:ind w:left="465" w:right="455"/>
              <w:rPr>
                <w:b/>
                <w:sz w:val="21"/>
              </w:rPr>
            </w:pPr>
            <w:r>
              <w:rPr>
                <w:b/>
                <w:sz w:val="21"/>
              </w:rPr>
              <w:t>Ⅲ类项目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42" w:type="dxa"/>
          </w:tcPr>
          <w:p>
            <w:pPr>
              <w:pStyle w:val="19"/>
              <w:spacing w:before="30"/>
              <w:ind w:left="684" w:right="678"/>
              <w:rPr>
                <w:sz w:val="21"/>
              </w:rPr>
            </w:pPr>
            <w:r>
              <w:rPr>
                <w:sz w:val="21"/>
              </w:rPr>
              <w:t>敏感</w:t>
            </w:r>
          </w:p>
        </w:tc>
        <w:tc>
          <w:tcPr>
            <w:tcW w:w="2293" w:type="dxa"/>
          </w:tcPr>
          <w:p>
            <w:pPr>
              <w:pStyle w:val="19"/>
              <w:spacing w:before="30"/>
              <w:ind w:left="8"/>
              <w:rPr>
                <w:sz w:val="21"/>
              </w:rPr>
            </w:pPr>
            <w:r>
              <w:rPr>
                <w:w w:val="99"/>
                <w:sz w:val="21"/>
              </w:rPr>
              <w:t>一</w:t>
            </w:r>
          </w:p>
        </w:tc>
        <w:tc>
          <w:tcPr>
            <w:tcW w:w="2294" w:type="dxa"/>
          </w:tcPr>
          <w:p>
            <w:pPr>
              <w:pStyle w:val="19"/>
              <w:spacing w:before="30"/>
              <w:ind w:left="10"/>
              <w:rPr>
                <w:sz w:val="21"/>
              </w:rPr>
            </w:pPr>
            <w:r>
              <w:rPr>
                <w:w w:val="99"/>
                <w:sz w:val="21"/>
              </w:rPr>
              <w:t>一</w:t>
            </w:r>
          </w:p>
        </w:tc>
        <w:tc>
          <w:tcPr>
            <w:tcW w:w="1814" w:type="dxa"/>
          </w:tcPr>
          <w:p>
            <w:pPr>
              <w:pStyle w:val="19"/>
              <w:spacing w:before="30"/>
              <w:ind w:left="6"/>
              <w:rPr>
                <w:sz w:val="21"/>
              </w:rPr>
            </w:pPr>
            <w:r>
              <w:rPr>
                <w:w w:val="99"/>
                <w:sz w:val="21"/>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42" w:type="dxa"/>
          </w:tcPr>
          <w:p>
            <w:pPr>
              <w:pStyle w:val="19"/>
              <w:spacing w:before="30"/>
              <w:ind w:left="684" w:right="678"/>
              <w:rPr>
                <w:sz w:val="21"/>
              </w:rPr>
            </w:pPr>
            <w:r>
              <w:rPr>
                <w:sz w:val="21"/>
              </w:rPr>
              <w:t>较敏感</w:t>
            </w:r>
          </w:p>
        </w:tc>
        <w:tc>
          <w:tcPr>
            <w:tcW w:w="2293" w:type="dxa"/>
          </w:tcPr>
          <w:p>
            <w:pPr>
              <w:pStyle w:val="19"/>
              <w:spacing w:before="30"/>
              <w:ind w:left="8"/>
              <w:rPr>
                <w:sz w:val="21"/>
              </w:rPr>
            </w:pPr>
            <w:r>
              <w:rPr>
                <w:w w:val="99"/>
                <w:sz w:val="21"/>
              </w:rPr>
              <w:t>一</w:t>
            </w:r>
          </w:p>
        </w:tc>
        <w:tc>
          <w:tcPr>
            <w:tcW w:w="2294" w:type="dxa"/>
          </w:tcPr>
          <w:p>
            <w:pPr>
              <w:pStyle w:val="19"/>
              <w:spacing w:before="30"/>
              <w:ind w:left="10"/>
              <w:rPr>
                <w:sz w:val="21"/>
              </w:rPr>
            </w:pPr>
            <w:r>
              <w:rPr>
                <w:w w:val="99"/>
                <w:sz w:val="21"/>
              </w:rPr>
              <w:t>二</w:t>
            </w:r>
          </w:p>
        </w:tc>
        <w:tc>
          <w:tcPr>
            <w:tcW w:w="1814" w:type="dxa"/>
          </w:tcPr>
          <w:p>
            <w:pPr>
              <w:pStyle w:val="19"/>
              <w:spacing w:before="30"/>
              <w:ind w:left="6"/>
              <w:rPr>
                <w:sz w:val="21"/>
              </w:rPr>
            </w:pPr>
            <w:r>
              <w:rPr>
                <w:w w:val="99"/>
                <w:sz w:val="21"/>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42" w:type="dxa"/>
          </w:tcPr>
          <w:p>
            <w:pPr>
              <w:pStyle w:val="19"/>
              <w:spacing w:before="29"/>
              <w:ind w:left="684" w:right="678"/>
              <w:rPr>
                <w:sz w:val="21"/>
              </w:rPr>
            </w:pPr>
            <w:r>
              <w:rPr>
                <w:sz w:val="21"/>
              </w:rPr>
              <w:t>不敏感</w:t>
            </w:r>
          </w:p>
        </w:tc>
        <w:tc>
          <w:tcPr>
            <w:tcW w:w="2293" w:type="dxa"/>
          </w:tcPr>
          <w:p>
            <w:pPr>
              <w:pStyle w:val="19"/>
              <w:spacing w:before="29"/>
              <w:ind w:left="8"/>
              <w:rPr>
                <w:sz w:val="21"/>
              </w:rPr>
            </w:pPr>
            <w:r>
              <w:rPr>
                <w:w w:val="99"/>
                <w:sz w:val="21"/>
              </w:rPr>
              <w:t>二</w:t>
            </w:r>
          </w:p>
        </w:tc>
        <w:tc>
          <w:tcPr>
            <w:tcW w:w="2294" w:type="dxa"/>
          </w:tcPr>
          <w:p>
            <w:pPr>
              <w:pStyle w:val="19"/>
              <w:spacing w:before="29"/>
              <w:ind w:left="10"/>
              <w:rPr>
                <w:sz w:val="21"/>
              </w:rPr>
            </w:pPr>
            <w:r>
              <w:rPr>
                <w:w w:val="99"/>
                <w:sz w:val="21"/>
              </w:rPr>
              <w:t>三</w:t>
            </w:r>
          </w:p>
        </w:tc>
        <w:tc>
          <w:tcPr>
            <w:tcW w:w="1814" w:type="dxa"/>
          </w:tcPr>
          <w:p>
            <w:pPr>
              <w:pStyle w:val="19"/>
              <w:spacing w:before="29"/>
              <w:ind w:left="6"/>
              <w:rPr>
                <w:sz w:val="21"/>
              </w:rPr>
            </w:pPr>
            <w:r>
              <w:rPr>
                <w:w w:val="99"/>
                <w:sz w:val="21"/>
              </w:rPr>
              <w:t>三</w:t>
            </w:r>
          </w:p>
        </w:tc>
      </w:tr>
    </w:tbl>
    <w:p>
      <w:pPr>
        <w:pStyle w:val="7"/>
        <w:spacing w:before="7"/>
        <w:ind w:left="0"/>
        <w:rPr>
          <w:b/>
          <w:sz w:val="18"/>
        </w:rPr>
      </w:pPr>
    </w:p>
    <w:p>
      <w:pPr>
        <w:pStyle w:val="7"/>
        <w:spacing w:line="364" w:lineRule="auto"/>
        <w:ind w:right="577" w:firstLine="480"/>
      </w:pPr>
      <w:r>
        <w:t>本项目地下水环境影响评价项目类别为Ⅲ类，地下水环境敏感程度为不敏感，根据表</w:t>
      </w:r>
      <w:r>
        <w:rPr>
          <w:rFonts w:ascii="Times New Roman" w:hAnsi="Times New Roman" w:eastAsia="Times New Roman"/>
        </w:rPr>
        <w:t>2.6-6</w:t>
      </w:r>
      <w:r>
        <w:t>，判定本次地下水环境影响评价等级为三级。</w:t>
      </w:r>
    </w:p>
    <w:p>
      <w:pPr>
        <w:pStyle w:val="18"/>
        <w:numPr>
          <w:ilvl w:val="3"/>
          <w:numId w:val="14"/>
        </w:numPr>
        <w:tabs>
          <w:tab w:val="left" w:pos="1621"/>
        </w:tabs>
        <w:spacing w:before="1" w:after="0" w:line="240" w:lineRule="auto"/>
        <w:ind w:left="1621" w:right="0" w:hanging="601"/>
        <w:jc w:val="left"/>
        <w:rPr>
          <w:sz w:val="24"/>
        </w:rPr>
      </w:pPr>
      <w:r>
        <w:rPr>
          <w:sz w:val="24"/>
        </w:rPr>
        <w:t>声环境影响评价工作等级</w:t>
      </w:r>
    </w:p>
    <w:p>
      <w:pPr>
        <w:pStyle w:val="7"/>
        <w:spacing w:before="161" w:line="364" w:lineRule="auto"/>
        <w:ind w:right="572" w:firstLine="480"/>
        <w:jc w:val="both"/>
        <w:rPr>
          <w:color w:val="0000FF"/>
        </w:rPr>
      </w:pPr>
      <w:r>
        <w:rPr>
          <w:color w:val="0000FF"/>
          <w:spacing w:val="-5"/>
        </w:rPr>
        <w:t>根据《环境影响评价技术导则</w:t>
      </w:r>
      <w:r>
        <w:rPr>
          <w:rFonts w:ascii="Times New Roman" w:hAnsi="Times New Roman" w:eastAsia="Times New Roman"/>
          <w:color w:val="0000FF"/>
        </w:rPr>
        <w:t>·</w:t>
      </w:r>
      <w:r>
        <w:rPr>
          <w:color w:val="0000FF"/>
          <w:spacing w:val="-10"/>
        </w:rPr>
        <w:t>声环境》</w:t>
      </w:r>
      <w:r>
        <w:rPr>
          <w:color w:val="0000FF"/>
          <w:spacing w:val="-4"/>
        </w:rPr>
        <w:t>（</w:t>
      </w:r>
      <w:r>
        <w:rPr>
          <w:rFonts w:ascii="Times New Roman" w:hAnsi="Times New Roman" w:eastAsia="Times New Roman"/>
          <w:color w:val="0000FF"/>
          <w:spacing w:val="-4"/>
        </w:rPr>
        <w:t>HJ2.4-2009</w:t>
      </w:r>
      <w:r>
        <w:rPr>
          <w:color w:val="0000FF"/>
          <w:spacing w:val="-4"/>
        </w:rPr>
        <w:t>），项目位于新疆</w:t>
      </w:r>
      <w:r>
        <w:rPr>
          <w:rFonts w:hint="eastAsia"/>
          <w:color w:val="0000FF"/>
          <w:spacing w:val="-4"/>
          <w:lang w:val="en-US" w:eastAsia="zh-CN"/>
        </w:rPr>
        <w:t>喀什</w:t>
      </w:r>
      <w:r>
        <w:rPr>
          <w:color w:val="0000FF"/>
          <w:spacing w:val="-1"/>
        </w:rPr>
        <w:t>地区</w:t>
      </w:r>
      <w:r>
        <w:rPr>
          <w:rFonts w:hint="eastAsia"/>
          <w:color w:val="0000FF"/>
          <w:spacing w:val="-1"/>
          <w:lang w:val="en-US" w:eastAsia="zh-CN"/>
        </w:rPr>
        <w:t>莎车</w:t>
      </w:r>
      <w:r>
        <w:rPr>
          <w:color w:val="0000FF"/>
          <w:spacing w:val="-1"/>
        </w:rPr>
        <w:t>县</w:t>
      </w:r>
      <w:r>
        <w:rPr>
          <w:rFonts w:hint="eastAsia"/>
          <w:color w:val="0000FF"/>
          <w:spacing w:val="-1"/>
          <w:lang w:val="en-US" w:eastAsia="zh-CN"/>
        </w:rPr>
        <w:t>萨依吾斯塘村</w:t>
      </w:r>
      <w:r>
        <w:rPr>
          <w:color w:val="0000FF"/>
          <w:spacing w:val="-1"/>
        </w:rPr>
        <w:t>村东侧约</w:t>
      </w:r>
      <w:r>
        <w:rPr>
          <w:rFonts w:hint="eastAsia"/>
          <w:color w:val="0000FF"/>
          <w:spacing w:val="-1"/>
          <w:lang w:val="en-US" w:eastAsia="zh-CN"/>
        </w:rPr>
        <w:t>1.6</w:t>
      </w:r>
      <w:r>
        <w:rPr>
          <w:rFonts w:ascii="Times New Roman" w:hAnsi="Times New Roman" w:eastAsia="Times New Roman"/>
          <w:color w:val="0000FF"/>
        </w:rPr>
        <w:t>km</w:t>
      </w:r>
      <w:r>
        <w:rPr>
          <w:color w:val="0000FF"/>
          <w:spacing w:val="-1"/>
        </w:rPr>
        <w:t>处，独立于村庄和集镇之外，属于</w:t>
      </w:r>
      <w:r>
        <w:rPr>
          <w:rFonts w:ascii="Times New Roman" w:hAnsi="Times New Roman" w:eastAsia="Times New Roman"/>
          <w:color w:val="0000FF"/>
        </w:rPr>
        <w:t>2</w:t>
      </w:r>
      <w:r>
        <w:rPr>
          <w:color w:val="0000FF"/>
          <w:spacing w:val="-11"/>
        </w:rPr>
        <w:t>类声环境功能区。项目工程项目建成后运营期主要噪声源是畜禽叫声以及水泵等</w:t>
      </w:r>
      <w:r>
        <w:rPr>
          <w:color w:val="0000FF"/>
          <w:spacing w:val="-9"/>
        </w:rPr>
        <w:t>设备运行时产生的噪声，经墙体隔声、基础减震以及距离衰减后对厂界贡献值较</w:t>
      </w:r>
      <w:r>
        <w:rPr>
          <w:color w:val="0000FF"/>
          <w:spacing w:val="-7"/>
        </w:rPr>
        <w:t>小，敏感目标噪声级增高量在</w:t>
      </w:r>
      <w:r>
        <w:rPr>
          <w:rFonts w:ascii="Times New Roman" w:hAnsi="Times New Roman" w:eastAsia="Times New Roman"/>
          <w:color w:val="0000FF"/>
        </w:rPr>
        <w:t>3dB</w:t>
      </w:r>
      <w:r>
        <w:rPr>
          <w:color w:val="0000FF"/>
        </w:rPr>
        <w:t>（</w:t>
      </w:r>
      <w:r>
        <w:rPr>
          <w:rFonts w:ascii="Times New Roman" w:hAnsi="Times New Roman" w:eastAsia="Times New Roman"/>
          <w:color w:val="0000FF"/>
        </w:rPr>
        <w:t>A</w:t>
      </w:r>
      <w:r>
        <w:rPr>
          <w:color w:val="0000FF"/>
        </w:rPr>
        <w:t>）</w:t>
      </w:r>
      <w:r>
        <w:rPr>
          <w:color w:val="0000FF"/>
          <w:spacing w:val="-1"/>
        </w:rPr>
        <w:t>以下，并且评价范围为设施农用地，无</w:t>
      </w:r>
      <w:r>
        <w:rPr>
          <w:color w:val="0000FF"/>
        </w:rPr>
        <w:t>常驻人口，受影响人口数量无变化。</w:t>
      </w:r>
    </w:p>
    <w:p>
      <w:pPr>
        <w:pStyle w:val="7"/>
        <w:spacing w:before="3"/>
        <w:ind w:left="1020"/>
        <w:jc w:val="both"/>
        <w:rPr>
          <w:color w:val="0000FF"/>
        </w:rPr>
      </w:pPr>
      <w:r>
        <w:rPr>
          <w:color w:val="0000FF"/>
        </w:rPr>
        <w:t>根据该项目的污染特征、环境特征和《环境影响评价技术导则</w:t>
      </w:r>
      <w:r>
        <w:rPr>
          <w:rFonts w:ascii="Times New Roman" w:hAnsi="Times New Roman" w:eastAsia="Times New Roman"/>
          <w:color w:val="0000FF"/>
        </w:rPr>
        <w:t>·</w:t>
      </w:r>
      <w:r>
        <w:rPr>
          <w:color w:val="0000FF"/>
        </w:rPr>
        <w:t>声环境》</w:t>
      </w:r>
    </w:p>
    <w:p>
      <w:pPr>
        <w:pStyle w:val="7"/>
        <w:spacing w:before="161" w:line="364" w:lineRule="auto"/>
        <w:ind w:right="529"/>
        <w:jc w:val="both"/>
        <w:rPr>
          <w:color w:val="0000FF"/>
        </w:rPr>
      </w:pPr>
      <w:r>
        <w:rPr>
          <w:color w:val="0000FF"/>
        </w:rPr>
        <w:t>（</w:t>
      </w:r>
      <w:r>
        <w:rPr>
          <w:rFonts w:ascii="Times New Roman" w:eastAsia="Times New Roman"/>
          <w:color w:val="0000FF"/>
        </w:rPr>
        <w:t>HJ2.4-2009</w:t>
      </w:r>
      <w:r>
        <w:rPr>
          <w:color w:val="0000FF"/>
        </w:rPr>
        <w:t>）中有关评价工作分级的规定，噪声环境影响评价级别的划分是根据建设项目类型、所在功能区及项目建设前后噪声级变化情况确定级别。</w:t>
      </w:r>
    </w:p>
    <w:p>
      <w:pPr>
        <w:pStyle w:val="7"/>
        <w:spacing w:before="1"/>
        <w:ind w:left="1020"/>
      </w:pPr>
      <w:r>
        <w:t>本次声环境影响评价等级详见表</w:t>
      </w:r>
      <w:r>
        <w:rPr>
          <w:rFonts w:ascii="Times New Roman" w:eastAsia="Times New Roman"/>
        </w:rPr>
        <w:t>2.6-7</w:t>
      </w:r>
      <w:r>
        <w:t>和表</w:t>
      </w:r>
      <w:r>
        <w:rPr>
          <w:rFonts w:ascii="Times New Roman" w:eastAsia="Times New Roman"/>
        </w:rPr>
        <w:t>2.6-8</w:t>
      </w:r>
      <w:r>
        <w:t>。</w:t>
      </w:r>
    </w:p>
    <w:p>
      <w:pPr>
        <w:pStyle w:val="7"/>
        <w:spacing w:before="6"/>
        <w:ind w:left="0"/>
        <w:rPr>
          <w:sz w:val="18"/>
        </w:rPr>
      </w:pPr>
    </w:p>
    <w:p>
      <w:pPr>
        <w:pStyle w:val="7"/>
        <w:bidi w:val="0"/>
        <w:jc w:val="center"/>
      </w:pPr>
      <w:r>
        <w:pict>
          <v:line id="_x0000_s1058" o:spid="_x0000_s1058" o:spt="20" style="position:absolute;left:0pt;margin-left:84.8pt;margin-top:15.9pt;height:27.45pt;width:85.55pt;mso-position-horizontal-relative:page;z-index:-271070208;mso-width-relative:page;mso-height-relative:page;" stroked="t" coordsize="21600,21600">
            <v:path arrowok="t"/>
            <v:fill focussize="0,0"/>
            <v:stroke weight="0.5pt" color="#000000"/>
            <v:imagedata o:title=""/>
            <o:lock v:ext="edit"/>
          </v:line>
        </w:pict>
      </w:r>
      <w:r>
        <w:t>表</w:t>
      </w:r>
      <w:r>
        <w:rPr>
          <w:rFonts w:ascii="Times New Roman" w:eastAsia="Times New Roman"/>
        </w:rPr>
        <w:t>2.6-7</w:t>
      </w:r>
      <w:r>
        <w:rPr>
          <w:rFonts w:ascii="Times New Roman" w:eastAsia="Times New Roman"/>
        </w:rPr>
        <w:tab/>
      </w:r>
      <w:r>
        <w:t>声评价工作等级判定表</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7"/>
        <w:gridCol w:w="1441"/>
        <w:gridCol w:w="2334"/>
        <w:gridCol w:w="1716"/>
        <w:gridCol w:w="1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717" w:type="dxa"/>
          </w:tcPr>
          <w:p>
            <w:pPr>
              <w:pStyle w:val="19"/>
              <w:spacing w:before="1"/>
              <w:ind w:left="752"/>
              <w:jc w:val="left"/>
              <w:rPr>
                <w:b/>
                <w:sz w:val="21"/>
              </w:rPr>
            </w:pPr>
            <w:r>
              <w:rPr>
                <w:b/>
                <w:sz w:val="21"/>
              </w:rPr>
              <w:t>影响因素</w:t>
            </w:r>
          </w:p>
          <w:p>
            <w:pPr>
              <w:pStyle w:val="19"/>
              <w:spacing w:before="2" w:line="253" w:lineRule="exact"/>
              <w:ind w:left="106"/>
              <w:jc w:val="left"/>
              <w:rPr>
                <w:b/>
                <w:sz w:val="21"/>
              </w:rPr>
            </w:pPr>
            <w:r>
              <w:rPr>
                <w:b/>
                <w:sz w:val="21"/>
              </w:rPr>
              <w:t>评价等级</w:t>
            </w:r>
          </w:p>
        </w:tc>
        <w:tc>
          <w:tcPr>
            <w:tcW w:w="1441" w:type="dxa"/>
          </w:tcPr>
          <w:p>
            <w:pPr>
              <w:pStyle w:val="19"/>
              <w:spacing w:before="1"/>
              <w:ind w:left="172" w:right="163"/>
              <w:rPr>
                <w:b/>
                <w:sz w:val="21"/>
              </w:rPr>
            </w:pPr>
            <w:r>
              <w:rPr>
                <w:b/>
                <w:sz w:val="21"/>
              </w:rPr>
              <w:t>声环境功能</w:t>
            </w:r>
          </w:p>
          <w:p>
            <w:pPr>
              <w:pStyle w:val="19"/>
              <w:spacing w:before="2" w:line="253" w:lineRule="exact"/>
              <w:ind w:left="172" w:right="161"/>
              <w:rPr>
                <w:b/>
                <w:sz w:val="21"/>
              </w:rPr>
            </w:pPr>
            <w:r>
              <w:rPr>
                <w:b/>
                <w:sz w:val="21"/>
              </w:rPr>
              <w:t>区类别</w:t>
            </w:r>
          </w:p>
        </w:tc>
        <w:tc>
          <w:tcPr>
            <w:tcW w:w="2334" w:type="dxa"/>
          </w:tcPr>
          <w:p>
            <w:pPr>
              <w:pStyle w:val="19"/>
              <w:spacing w:before="137"/>
              <w:ind w:left="92" w:right="76"/>
              <w:rPr>
                <w:b/>
                <w:sz w:val="21"/>
              </w:rPr>
            </w:pPr>
            <w:r>
              <w:rPr>
                <w:b/>
                <w:sz w:val="21"/>
              </w:rPr>
              <w:t>敏感目标声级增加量</w:t>
            </w:r>
          </w:p>
        </w:tc>
        <w:tc>
          <w:tcPr>
            <w:tcW w:w="1716" w:type="dxa"/>
          </w:tcPr>
          <w:p>
            <w:pPr>
              <w:pStyle w:val="19"/>
              <w:spacing w:before="137"/>
              <w:ind w:left="207" w:right="194"/>
              <w:rPr>
                <w:b/>
                <w:sz w:val="21"/>
              </w:rPr>
            </w:pPr>
            <w:r>
              <w:rPr>
                <w:b/>
                <w:sz w:val="21"/>
              </w:rPr>
              <w:t>影响人口变化</w:t>
            </w:r>
          </w:p>
        </w:tc>
        <w:tc>
          <w:tcPr>
            <w:tcW w:w="1311" w:type="dxa"/>
          </w:tcPr>
          <w:p>
            <w:pPr>
              <w:pStyle w:val="19"/>
              <w:spacing w:before="137"/>
              <w:ind w:left="292" w:right="285"/>
              <w:rPr>
                <w:b/>
                <w:sz w:val="21"/>
              </w:rPr>
            </w:pPr>
            <w:r>
              <w:rPr>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7" w:type="dxa"/>
          </w:tcPr>
          <w:p>
            <w:pPr>
              <w:pStyle w:val="19"/>
              <w:spacing w:before="29"/>
              <w:ind w:left="646"/>
              <w:jc w:val="left"/>
              <w:rPr>
                <w:sz w:val="21"/>
              </w:rPr>
            </w:pPr>
            <w:r>
              <w:rPr>
                <w:sz w:val="21"/>
              </w:rPr>
              <w:t>一级</w:t>
            </w:r>
          </w:p>
        </w:tc>
        <w:tc>
          <w:tcPr>
            <w:tcW w:w="1441" w:type="dxa"/>
          </w:tcPr>
          <w:p>
            <w:pPr>
              <w:pStyle w:val="19"/>
              <w:spacing w:before="29"/>
              <w:ind w:left="172" w:right="163"/>
              <w:rPr>
                <w:sz w:val="21"/>
              </w:rPr>
            </w:pPr>
            <w:r>
              <w:rPr>
                <w:rFonts w:ascii="Times New Roman" w:eastAsia="Times New Roman"/>
                <w:sz w:val="21"/>
              </w:rPr>
              <w:t>0</w:t>
            </w:r>
            <w:r>
              <w:rPr>
                <w:sz w:val="21"/>
              </w:rPr>
              <w:t>类</w:t>
            </w:r>
          </w:p>
        </w:tc>
        <w:tc>
          <w:tcPr>
            <w:tcW w:w="2334" w:type="dxa"/>
          </w:tcPr>
          <w:p>
            <w:pPr>
              <w:pStyle w:val="19"/>
              <w:spacing w:before="29"/>
              <w:ind w:left="89" w:right="80"/>
              <w:rPr>
                <w:sz w:val="21"/>
              </w:rPr>
            </w:pPr>
            <w:r>
              <w:rPr>
                <w:rFonts w:ascii="Times New Roman" w:eastAsia="Times New Roman"/>
                <w:sz w:val="21"/>
              </w:rPr>
              <w:t>&gt;5dB</w:t>
            </w:r>
            <w:r>
              <w:rPr>
                <w:sz w:val="21"/>
              </w:rPr>
              <w:t>（</w:t>
            </w:r>
            <w:r>
              <w:rPr>
                <w:rFonts w:ascii="Times New Roman" w:eastAsia="Times New Roman"/>
                <w:sz w:val="21"/>
              </w:rPr>
              <w:t>A</w:t>
            </w:r>
            <w:r>
              <w:rPr>
                <w:sz w:val="21"/>
              </w:rPr>
              <w:t>）</w:t>
            </w:r>
          </w:p>
        </w:tc>
        <w:tc>
          <w:tcPr>
            <w:tcW w:w="1716" w:type="dxa"/>
          </w:tcPr>
          <w:p>
            <w:pPr>
              <w:pStyle w:val="19"/>
              <w:spacing w:before="29"/>
              <w:ind w:left="202" w:right="194"/>
              <w:rPr>
                <w:sz w:val="21"/>
              </w:rPr>
            </w:pPr>
            <w:r>
              <w:rPr>
                <w:sz w:val="21"/>
              </w:rPr>
              <w:t>显著</w:t>
            </w:r>
          </w:p>
        </w:tc>
        <w:tc>
          <w:tcPr>
            <w:tcW w:w="1311" w:type="dxa"/>
            <w:vMerge w:val="restart"/>
          </w:tcPr>
          <w:p>
            <w:pPr>
              <w:pStyle w:val="19"/>
              <w:spacing w:before="148" w:line="213" w:lineRule="auto"/>
              <w:ind w:left="129" w:right="120"/>
              <w:jc w:val="both"/>
              <w:rPr>
                <w:sz w:val="21"/>
              </w:rPr>
            </w:pPr>
            <w:r>
              <w:rPr>
                <w:sz w:val="21"/>
              </w:rPr>
              <w:t>三个因素独立，只要满足任意项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7" w:type="dxa"/>
          </w:tcPr>
          <w:p>
            <w:pPr>
              <w:pStyle w:val="19"/>
              <w:spacing w:before="30"/>
              <w:ind w:left="646"/>
              <w:jc w:val="left"/>
              <w:rPr>
                <w:sz w:val="21"/>
              </w:rPr>
            </w:pPr>
            <w:r>
              <w:rPr>
                <w:sz w:val="21"/>
              </w:rPr>
              <w:t>二级</w:t>
            </w:r>
          </w:p>
        </w:tc>
        <w:tc>
          <w:tcPr>
            <w:tcW w:w="1441" w:type="dxa"/>
          </w:tcPr>
          <w:p>
            <w:pPr>
              <w:pStyle w:val="19"/>
              <w:spacing w:before="30"/>
              <w:ind w:left="170" w:right="163"/>
              <w:rPr>
                <w:sz w:val="21"/>
              </w:rPr>
            </w:pPr>
            <w:r>
              <w:rPr>
                <w:rFonts w:ascii="Times New Roman" w:eastAsia="Times New Roman"/>
                <w:sz w:val="21"/>
              </w:rPr>
              <w:t>0</w:t>
            </w:r>
            <w:r>
              <w:rPr>
                <w:sz w:val="21"/>
              </w:rPr>
              <w:t>类、</w:t>
            </w:r>
            <w:r>
              <w:rPr>
                <w:rFonts w:ascii="Times New Roman" w:eastAsia="Times New Roman"/>
                <w:sz w:val="21"/>
              </w:rPr>
              <w:t>2</w:t>
            </w:r>
            <w:r>
              <w:rPr>
                <w:sz w:val="21"/>
              </w:rPr>
              <w:t>类</w:t>
            </w:r>
          </w:p>
        </w:tc>
        <w:tc>
          <w:tcPr>
            <w:tcW w:w="2334" w:type="dxa"/>
          </w:tcPr>
          <w:p>
            <w:pPr>
              <w:pStyle w:val="19"/>
              <w:spacing w:before="20"/>
              <w:ind w:left="92" w:right="80"/>
              <w:rPr>
                <w:rFonts w:ascii="Times New Roman" w:eastAsia="Times New Roman"/>
                <w:sz w:val="21"/>
              </w:rPr>
            </w:pPr>
            <w:r>
              <w:rPr>
                <w:rFonts w:ascii="Times New Roman" w:eastAsia="Times New Roman"/>
                <w:sz w:val="21"/>
              </w:rPr>
              <w:t>3</w:t>
            </w:r>
            <w:r>
              <w:rPr>
                <w:sz w:val="21"/>
              </w:rPr>
              <w:t>～</w:t>
            </w:r>
            <w:r>
              <w:rPr>
                <w:rFonts w:ascii="Times New Roman" w:eastAsia="Times New Roman"/>
                <w:sz w:val="21"/>
              </w:rPr>
              <w:t>5dB</w:t>
            </w:r>
            <w:r>
              <w:rPr>
                <w:sz w:val="21"/>
              </w:rPr>
              <w:t>（</w:t>
            </w:r>
            <w:r>
              <w:rPr>
                <w:rFonts w:ascii="Times New Roman" w:eastAsia="Times New Roman"/>
                <w:sz w:val="21"/>
              </w:rPr>
              <w:t>A</w:t>
            </w:r>
            <w:r>
              <w:rPr>
                <w:sz w:val="21"/>
              </w:rPr>
              <w:t>）（含</w:t>
            </w:r>
            <w:r>
              <w:rPr>
                <w:rFonts w:ascii="Times New Roman" w:eastAsia="Times New Roman"/>
                <w:sz w:val="21"/>
              </w:rPr>
              <w:t>5dB</w:t>
            </w:r>
          </w:p>
        </w:tc>
        <w:tc>
          <w:tcPr>
            <w:tcW w:w="1716" w:type="dxa"/>
          </w:tcPr>
          <w:p>
            <w:pPr>
              <w:pStyle w:val="19"/>
              <w:spacing w:before="30"/>
              <w:ind w:left="202" w:right="194"/>
              <w:rPr>
                <w:sz w:val="21"/>
              </w:rPr>
            </w:pPr>
            <w:r>
              <w:rPr>
                <w:sz w:val="21"/>
              </w:rPr>
              <w:t>较多</w:t>
            </w:r>
          </w:p>
        </w:tc>
        <w:tc>
          <w:tcPr>
            <w:tcW w:w="13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7" w:type="dxa"/>
          </w:tcPr>
          <w:p>
            <w:pPr>
              <w:pStyle w:val="19"/>
              <w:spacing w:before="28"/>
              <w:ind w:left="646"/>
              <w:jc w:val="left"/>
              <w:rPr>
                <w:sz w:val="21"/>
              </w:rPr>
            </w:pPr>
            <w:r>
              <w:rPr>
                <w:sz w:val="21"/>
              </w:rPr>
              <w:t>三级</w:t>
            </w:r>
          </w:p>
        </w:tc>
        <w:tc>
          <w:tcPr>
            <w:tcW w:w="1441" w:type="dxa"/>
          </w:tcPr>
          <w:p>
            <w:pPr>
              <w:pStyle w:val="19"/>
              <w:spacing w:before="28"/>
              <w:ind w:left="170" w:right="163"/>
              <w:rPr>
                <w:sz w:val="21"/>
              </w:rPr>
            </w:pPr>
            <w:r>
              <w:rPr>
                <w:rFonts w:ascii="Times New Roman" w:eastAsia="Times New Roman"/>
                <w:sz w:val="21"/>
              </w:rPr>
              <w:t>3</w:t>
            </w:r>
            <w:r>
              <w:rPr>
                <w:sz w:val="21"/>
              </w:rPr>
              <w:t>类、</w:t>
            </w:r>
            <w:r>
              <w:rPr>
                <w:rFonts w:ascii="Times New Roman" w:eastAsia="Times New Roman"/>
                <w:sz w:val="21"/>
              </w:rPr>
              <w:t>4</w:t>
            </w:r>
            <w:r>
              <w:rPr>
                <w:sz w:val="21"/>
              </w:rPr>
              <w:t>类</w:t>
            </w:r>
          </w:p>
        </w:tc>
        <w:tc>
          <w:tcPr>
            <w:tcW w:w="2334" w:type="dxa"/>
          </w:tcPr>
          <w:p>
            <w:pPr>
              <w:pStyle w:val="19"/>
              <w:spacing w:before="28"/>
              <w:ind w:left="89" w:right="80"/>
              <w:rPr>
                <w:sz w:val="21"/>
              </w:rPr>
            </w:pPr>
            <w:r>
              <w:rPr>
                <w:rFonts w:ascii="Times New Roman" w:eastAsia="Times New Roman"/>
                <w:sz w:val="21"/>
              </w:rPr>
              <w:t>&lt;3dB</w:t>
            </w:r>
            <w:r>
              <w:rPr>
                <w:sz w:val="21"/>
              </w:rPr>
              <w:t>（</w:t>
            </w:r>
            <w:r>
              <w:rPr>
                <w:rFonts w:ascii="Times New Roman" w:eastAsia="Times New Roman"/>
                <w:sz w:val="21"/>
              </w:rPr>
              <w:t>A</w:t>
            </w:r>
            <w:r>
              <w:rPr>
                <w:sz w:val="21"/>
              </w:rPr>
              <w:t>）</w:t>
            </w:r>
          </w:p>
        </w:tc>
        <w:tc>
          <w:tcPr>
            <w:tcW w:w="1716" w:type="dxa"/>
          </w:tcPr>
          <w:p>
            <w:pPr>
              <w:pStyle w:val="19"/>
              <w:spacing w:before="28"/>
              <w:ind w:left="202" w:right="194"/>
              <w:rPr>
                <w:sz w:val="21"/>
              </w:rPr>
            </w:pPr>
            <w:r>
              <w:rPr>
                <w:sz w:val="21"/>
              </w:rPr>
              <w:t>不大</w:t>
            </w:r>
          </w:p>
        </w:tc>
        <w:tc>
          <w:tcPr>
            <w:tcW w:w="1311" w:type="dxa"/>
            <w:vMerge w:val="continue"/>
            <w:tcBorders>
              <w:top w:val="nil"/>
            </w:tcBorders>
          </w:tcPr>
          <w:p>
            <w:pPr>
              <w:rPr>
                <w:sz w:val="2"/>
                <w:szCs w:val="2"/>
              </w:rPr>
            </w:pPr>
          </w:p>
        </w:tc>
      </w:tr>
    </w:tbl>
    <w:p>
      <w:pPr>
        <w:tabs>
          <w:tab w:val="left" w:pos="1519"/>
        </w:tabs>
        <w:spacing w:before="157" w:after="4"/>
        <w:ind w:left="0" w:right="28" w:firstLine="0"/>
        <w:jc w:val="center"/>
        <w:rPr>
          <w:b/>
          <w:sz w:val="24"/>
        </w:rPr>
      </w:pPr>
      <w:r>
        <w:rPr>
          <w:b/>
          <w:sz w:val="24"/>
        </w:rPr>
        <w:t>表</w:t>
      </w:r>
      <w:r>
        <w:rPr>
          <w:rFonts w:ascii="Times New Roman" w:eastAsia="Times New Roman"/>
          <w:b/>
          <w:sz w:val="24"/>
        </w:rPr>
        <w:t>2.6-8</w:t>
      </w:r>
      <w:r>
        <w:rPr>
          <w:rFonts w:ascii="Times New Roman" w:eastAsia="Times New Roman"/>
          <w:b/>
          <w:sz w:val="24"/>
        </w:rPr>
        <w:tab/>
      </w:r>
      <w:r>
        <w:rPr>
          <w:b/>
          <w:sz w:val="24"/>
        </w:rPr>
        <w:t>项目声环境影响评价等级表</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0"/>
        <w:gridCol w:w="2793"/>
        <w:gridCol w:w="3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13" w:type="dxa"/>
            <w:gridSpan w:val="2"/>
          </w:tcPr>
          <w:p>
            <w:pPr>
              <w:pStyle w:val="19"/>
              <w:spacing w:before="33"/>
              <w:ind w:left="2164" w:right="2155"/>
              <w:rPr>
                <w:b/>
                <w:sz w:val="21"/>
              </w:rPr>
            </w:pPr>
            <w:r>
              <w:rPr>
                <w:b/>
                <w:sz w:val="21"/>
              </w:rPr>
              <w:t>环境要素</w:t>
            </w:r>
          </w:p>
        </w:tc>
        <w:tc>
          <w:tcPr>
            <w:tcW w:w="3306" w:type="dxa"/>
          </w:tcPr>
          <w:p>
            <w:pPr>
              <w:pStyle w:val="19"/>
              <w:spacing w:before="33"/>
              <w:ind w:left="1111" w:right="1101"/>
              <w:rPr>
                <w:b/>
                <w:sz w:val="21"/>
              </w:rPr>
            </w:pPr>
            <w:r>
              <w:rPr>
                <w:b/>
                <w:sz w:val="21"/>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0" w:type="dxa"/>
            <w:vMerge w:val="restart"/>
          </w:tcPr>
          <w:p>
            <w:pPr>
              <w:pStyle w:val="19"/>
              <w:spacing w:before="12"/>
              <w:jc w:val="left"/>
              <w:rPr>
                <w:b/>
                <w:sz w:val="29"/>
              </w:rPr>
            </w:pPr>
          </w:p>
          <w:p>
            <w:pPr>
              <w:pStyle w:val="19"/>
              <w:ind w:left="873" w:right="867"/>
              <w:rPr>
                <w:sz w:val="21"/>
              </w:rPr>
            </w:pPr>
            <w:r>
              <w:rPr>
                <w:sz w:val="21"/>
              </w:rPr>
              <w:t>声环境</w:t>
            </w:r>
          </w:p>
        </w:tc>
        <w:tc>
          <w:tcPr>
            <w:tcW w:w="2793" w:type="dxa"/>
          </w:tcPr>
          <w:p>
            <w:pPr>
              <w:pStyle w:val="19"/>
              <w:spacing w:before="34"/>
              <w:ind w:left="219" w:right="213"/>
              <w:rPr>
                <w:sz w:val="21"/>
              </w:rPr>
            </w:pPr>
            <w:r>
              <w:rPr>
                <w:sz w:val="21"/>
              </w:rPr>
              <w:t>功能区</w:t>
            </w:r>
          </w:p>
        </w:tc>
        <w:tc>
          <w:tcPr>
            <w:tcW w:w="3306" w:type="dxa"/>
          </w:tcPr>
          <w:p>
            <w:pPr>
              <w:pStyle w:val="19"/>
              <w:spacing w:before="34"/>
              <w:ind w:left="1109" w:right="1103"/>
              <w:rPr>
                <w:sz w:val="21"/>
              </w:rPr>
            </w:pPr>
            <w:r>
              <w:rPr>
                <w:rFonts w:ascii="Times New Roman" w:eastAsia="Times New Roman"/>
                <w:sz w:val="21"/>
              </w:rPr>
              <w:t>2</w:t>
            </w:r>
            <w:r>
              <w:rPr>
                <w:sz w:val="21"/>
              </w:rPr>
              <w:t>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0" w:type="dxa"/>
            <w:vMerge w:val="continue"/>
            <w:tcBorders>
              <w:top w:val="nil"/>
            </w:tcBorders>
          </w:tcPr>
          <w:p>
            <w:pPr>
              <w:rPr>
                <w:sz w:val="2"/>
                <w:szCs w:val="2"/>
              </w:rPr>
            </w:pPr>
          </w:p>
        </w:tc>
        <w:tc>
          <w:tcPr>
            <w:tcW w:w="2793" w:type="dxa"/>
          </w:tcPr>
          <w:p>
            <w:pPr>
              <w:pStyle w:val="19"/>
              <w:spacing w:before="34"/>
              <w:ind w:left="217" w:right="213"/>
              <w:rPr>
                <w:sz w:val="21"/>
              </w:rPr>
            </w:pPr>
            <w:r>
              <w:rPr>
                <w:sz w:val="21"/>
              </w:rPr>
              <w:t>影响人口</w:t>
            </w:r>
          </w:p>
        </w:tc>
        <w:tc>
          <w:tcPr>
            <w:tcW w:w="3306" w:type="dxa"/>
          </w:tcPr>
          <w:p>
            <w:pPr>
              <w:pStyle w:val="19"/>
              <w:spacing w:before="34"/>
              <w:ind w:left="1111" w:right="1103"/>
              <w:rPr>
                <w:sz w:val="21"/>
              </w:rPr>
            </w:pPr>
            <w:r>
              <w:rPr>
                <w:sz w:val="21"/>
              </w:rPr>
              <w:t>较少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420" w:type="dxa"/>
            <w:vMerge w:val="continue"/>
            <w:tcBorders>
              <w:top w:val="nil"/>
            </w:tcBorders>
          </w:tcPr>
          <w:p>
            <w:pPr>
              <w:rPr>
                <w:sz w:val="2"/>
                <w:szCs w:val="2"/>
              </w:rPr>
            </w:pPr>
          </w:p>
        </w:tc>
        <w:tc>
          <w:tcPr>
            <w:tcW w:w="2793" w:type="dxa"/>
          </w:tcPr>
          <w:p>
            <w:pPr>
              <w:pStyle w:val="19"/>
              <w:spacing w:before="34"/>
              <w:ind w:left="219" w:right="213"/>
              <w:rPr>
                <w:sz w:val="21"/>
              </w:rPr>
            </w:pPr>
            <w:r>
              <w:rPr>
                <w:sz w:val="21"/>
              </w:rPr>
              <w:t>预计敏感目标噪声增加值</w:t>
            </w:r>
          </w:p>
        </w:tc>
        <w:tc>
          <w:tcPr>
            <w:tcW w:w="3306" w:type="dxa"/>
          </w:tcPr>
          <w:p>
            <w:pPr>
              <w:pStyle w:val="19"/>
              <w:spacing w:before="34"/>
              <w:ind w:left="1111" w:right="1103"/>
              <w:rPr>
                <w:sz w:val="21"/>
              </w:rPr>
            </w:pPr>
            <w:r>
              <w:rPr>
                <w:rFonts w:ascii="Times New Roman" w:eastAsia="Times New Roman"/>
                <w:sz w:val="21"/>
              </w:rPr>
              <w:t>&lt;3dB</w:t>
            </w:r>
            <w:r>
              <w:rPr>
                <w:sz w:val="21"/>
              </w:rPr>
              <w:t>（</w:t>
            </w:r>
            <w:r>
              <w:rPr>
                <w:rFonts w:ascii="Times New Roman" w:eastAsia="Times New Roman"/>
                <w:sz w:val="21"/>
              </w:rPr>
              <w:t>A</w:t>
            </w:r>
            <w:r>
              <w:rPr>
                <w:sz w:val="21"/>
              </w:rPr>
              <w:t>）</w:t>
            </w:r>
          </w:p>
        </w:tc>
      </w:tr>
    </w:tbl>
    <w:p>
      <w:pPr>
        <w:spacing w:after="0"/>
        <w:rPr>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1"/>
        <w:ind w:left="0"/>
        <w:rPr>
          <w:b/>
          <w:sz w:val="4"/>
        </w:rPr>
      </w:pP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0"/>
        <w:gridCol w:w="2793"/>
        <w:gridCol w:w="3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0" w:type="dxa"/>
          </w:tcPr>
          <w:p>
            <w:pPr>
              <w:pStyle w:val="19"/>
              <w:jc w:val="left"/>
              <w:rPr>
                <w:rFonts w:ascii="Times New Roman"/>
                <w:sz w:val="22"/>
              </w:rPr>
            </w:pPr>
          </w:p>
        </w:tc>
        <w:tc>
          <w:tcPr>
            <w:tcW w:w="2793" w:type="dxa"/>
          </w:tcPr>
          <w:p>
            <w:pPr>
              <w:pStyle w:val="19"/>
              <w:spacing w:before="35"/>
              <w:ind w:left="217" w:right="213"/>
              <w:rPr>
                <w:sz w:val="21"/>
              </w:rPr>
            </w:pPr>
            <w:r>
              <w:rPr>
                <w:sz w:val="21"/>
              </w:rPr>
              <w:t>评价等级</w:t>
            </w:r>
          </w:p>
        </w:tc>
        <w:tc>
          <w:tcPr>
            <w:tcW w:w="3306" w:type="dxa"/>
          </w:tcPr>
          <w:p>
            <w:pPr>
              <w:pStyle w:val="19"/>
              <w:spacing w:before="35"/>
              <w:ind w:left="1111" w:right="1103"/>
              <w:rPr>
                <w:sz w:val="21"/>
              </w:rPr>
            </w:pPr>
            <w:r>
              <w:rPr>
                <w:sz w:val="21"/>
              </w:rPr>
              <w:t>二级</w:t>
            </w:r>
          </w:p>
        </w:tc>
      </w:tr>
    </w:tbl>
    <w:p>
      <w:pPr>
        <w:pStyle w:val="7"/>
        <w:spacing w:before="4"/>
        <w:ind w:left="0"/>
        <w:rPr>
          <w:b/>
          <w:sz w:val="13"/>
        </w:rPr>
      </w:pPr>
    </w:p>
    <w:p>
      <w:pPr>
        <w:pStyle w:val="7"/>
        <w:spacing w:before="66"/>
        <w:ind w:left="1020"/>
      </w:pPr>
      <w:r>
        <w:t>本项目声环境影响评价等级定为二级。</w:t>
      </w:r>
    </w:p>
    <w:p>
      <w:pPr>
        <w:pStyle w:val="18"/>
        <w:numPr>
          <w:ilvl w:val="3"/>
          <w:numId w:val="14"/>
        </w:numPr>
        <w:tabs>
          <w:tab w:val="left" w:pos="1621"/>
        </w:tabs>
        <w:spacing w:before="161" w:after="0" w:line="240" w:lineRule="auto"/>
        <w:ind w:left="1621" w:right="0" w:hanging="601"/>
        <w:jc w:val="left"/>
        <w:rPr>
          <w:sz w:val="24"/>
        </w:rPr>
      </w:pPr>
      <w:r>
        <w:rPr>
          <w:sz w:val="24"/>
        </w:rPr>
        <w:t>土壤环境评价工作等级</w:t>
      </w:r>
    </w:p>
    <w:p>
      <w:pPr>
        <w:pStyle w:val="7"/>
        <w:spacing w:before="160" w:line="364" w:lineRule="auto"/>
        <w:ind w:right="570" w:firstLine="480"/>
        <w:jc w:val="both"/>
        <w:rPr>
          <w:color w:val="0000FF"/>
        </w:rPr>
      </w:pPr>
      <w:r>
        <w:rPr>
          <w:color w:val="0000FF"/>
        </w:rPr>
        <w:t>根据《环境影响评价技术导则土壤环境（试行）》（</w:t>
      </w:r>
      <w:r>
        <w:rPr>
          <w:rFonts w:ascii="Times New Roman" w:hAnsi="Times New Roman" w:eastAsia="Times New Roman"/>
          <w:color w:val="0000FF"/>
        </w:rPr>
        <w:t>HJ964-2018</w:t>
      </w:r>
      <w:r>
        <w:rPr>
          <w:color w:val="0000FF"/>
        </w:rPr>
        <w:t>），污染</w:t>
      </w:r>
      <w:r>
        <w:rPr>
          <w:color w:val="0000FF"/>
          <w:spacing w:val="-1"/>
        </w:rPr>
        <w:t>影响型建设项目占地规模分为大型</w:t>
      </w:r>
      <w:r>
        <w:rPr>
          <w:color w:val="0000FF"/>
        </w:rPr>
        <w:t>（≥</w:t>
      </w:r>
      <w:r>
        <w:rPr>
          <w:rFonts w:ascii="Times New Roman" w:hAnsi="Times New Roman" w:eastAsia="Times New Roman"/>
          <w:color w:val="0000FF"/>
        </w:rPr>
        <w:t>50hm</w:t>
      </w:r>
      <w:r>
        <w:rPr>
          <w:rFonts w:ascii="Times New Roman" w:hAnsi="Times New Roman" w:eastAsia="Times New Roman"/>
          <w:color w:val="0000FF"/>
          <w:position w:val="8"/>
          <w:sz w:val="15"/>
        </w:rPr>
        <w:t>2</w:t>
      </w:r>
      <w:r>
        <w:rPr>
          <w:color w:val="0000FF"/>
        </w:rPr>
        <w:t>）</w:t>
      </w:r>
      <w:r>
        <w:rPr>
          <w:color w:val="0000FF"/>
          <w:spacing w:val="-3"/>
        </w:rPr>
        <w:t>、中型</w:t>
      </w:r>
      <w:r>
        <w:rPr>
          <w:color w:val="0000FF"/>
        </w:rPr>
        <w:t>（</w:t>
      </w:r>
      <w:r>
        <w:rPr>
          <w:rFonts w:ascii="Times New Roman" w:hAnsi="Times New Roman" w:eastAsia="Times New Roman"/>
          <w:color w:val="0000FF"/>
        </w:rPr>
        <w:t>5</w:t>
      </w:r>
      <w:r>
        <w:rPr>
          <w:color w:val="0000FF"/>
        </w:rPr>
        <w:t>～</w:t>
      </w:r>
      <w:r>
        <w:rPr>
          <w:rFonts w:ascii="Times New Roman" w:hAnsi="Times New Roman" w:eastAsia="Times New Roman"/>
          <w:color w:val="0000FF"/>
        </w:rPr>
        <w:t>50hm</w:t>
      </w:r>
      <w:r>
        <w:rPr>
          <w:rFonts w:ascii="Times New Roman" w:hAnsi="Times New Roman" w:eastAsia="Times New Roman"/>
          <w:color w:val="0000FF"/>
          <w:position w:val="8"/>
          <w:sz w:val="15"/>
        </w:rPr>
        <w:t>2</w:t>
      </w:r>
      <w:r>
        <w:rPr>
          <w:color w:val="0000FF"/>
        </w:rPr>
        <w:t>）</w:t>
      </w:r>
      <w:r>
        <w:rPr>
          <w:color w:val="0000FF"/>
          <w:spacing w:val="-3"/>
        </w:rPr>
        <w:t>、小型</w:t>
      </w:r>
      <w:r>
        <w:rPr>
          <w:color w:val="0000FF"/>
          <w:spacing w:val="-6"/>
        </w:rPr>
        <w:t>（≤</w:t>
      </w:r>
      <w:r>
        <w:rPr>
          <w:rFonts w:ascii="Times New Roman" w:hAnsi="Times New Roman" w:eastAsia="Times New Roman"/>
          <w:color w:val="0000FF"/>
          <w:spacing w:val="-3"/>
        </w:rPr>
        <w:t>5hm</w:t>
      </w:r>
      <w:r>
        <w:rPr>
          <w:rFonts w:ascii="Times New Roman" w:hAnsi="Times New Roman" w:eastAsia="Times New Roman"/>
          <w:color w:val="0000FF"/>
          <w:spacing w:val="-3"/>
          <w:position w:val="8"/>
          <w:sz w:val="15"/>
        </w:rPr>
        <w:t>2</w:t>
      </w:r>
      <w:r>
        <w:rPr>
          <w:color w:val="0000FF"/>
          <w:spacing w:val="-3"/>
        </w:rPr>
        <w:t>）</w:t>
      </w:r>
      <w:r>
        <w:rPr>
          <w:color w:val="0000FF"/>
          <w:spacing w:val="-6"/>
        </w:rPr>
        <w:t>，建设项目占地主要为永久占地。</w:t>
      </w:r>
      <w:r>
        <w:rPr>
          <w:rFonts w:hint="eastAsia" w:ascii="Times New Roman" w:hAnsi="Times New Roman" w:eastAsia="宋体" w:cs="Times New Roman"/>
          <w:color w:val="0000FF"/>
          <w:sz w:val="24"/>
          <w:lang w:val="en-US" w:eastAsia="zh-CN"/>
        </w:rPr>
        <w:t>本项目永久占地面积</w:t>
      </w:r>
      <w:r>
        <w:rPr>
          <w:rFonts w:hint="eastAsia" w:ascii="Times New Roman" w:hAnsi="Times New Roman" w:cs="Times New Roman"/>
          <w:color w:val="0000FF"/>
          <w:sz w:val="24"/>
          <w:lang w:val="en-US" w:eastAsia="zh-CN"/>
        </w:rPr>
        <w:t>2.073</w:t>
      </w:r>
      <w:r>
        <w:rPr>
          <w:rFonts w:hint="eastAsia" w:ascii="Times New Roman" w:hAnsi="Times New Roman" w:eastAsia="宋体" w:cs="Times New Roman"/>
          <w:color w:val="0000FF"/>
          <w:sz w:val="24"/>
          <w:lang w:val="en-US" w:eastAsia="zh-CN"/>
        </w:rPr>
        <w:t>hm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vertAlign w:val="baseline"/>
          <w:lang w:val="en-US" w:eastAsia="zh-CN"/>
        </w:rPr>
        <w:t>（</w:t>
      </w:r>
      <w:r>
        <w:rPr>
          <w:rFonts w:hint="eastAsia" w:ascii="Times New Roman" w:hAnsi="Times New Roman" w:cs="Times New Roman"/>
          <w:color w:val="0000FF"/>
          <w:sz w:val="24"/>
          <w:vertAlign w:val="baseline"/>
          <w:lang w:val="en-US" w:eastAsia="zh-CN"/>
        </w:rPr>
        <w:t>31.095</w:t>
      </w:r>
      <w:r>
        <w:rPr>
          <w:rFonts w:hint="eastAsia" w:ascii="Times New Roman" w:hAnsi="Times New Roman" w:eastAsia="宋体" w:cs="Times New Roman"/>
          <w:color w:val="0000FF"/>
          <w:sz w:val="24"/>
          <w:vertAlign w:val="baseline"/>
          <w:lang w:val="en-US" w:eastAsia="zh-CN"/>
        </w:rPr>
        <w:t>亩）</w:t>
      </w:r>
      <w:r>
        <w:rPr>
          <w:color w:val="0000FF"/>
        </w:rPr>
        <w:t>，属于</w:t>
      </w:r>
      <w:r>
        <w:rPr>
          <w:rFonts w:hint="eastAsia"/>
          <w:color w:val="0000FF"/>
          <w:lang w:val="en-US" w:eastAsia="zh-CN"/>
        </w:rPr>
        <w:t>小</w:t>
      </w:r>
      <w:r>
        <w:rPr>
          <w:color w:val="0000FF"/>
        </w:rPr>
        <w:t>型建设项目。</w:t>
      </w:r>
    </w:p>
    <w:p>
      <w:pPr>
        <w:pStyle w:val="7"/>
        <w:spacing w:before="3" w:line="364" w:lineRule="auto"/>
        <w:ind w:right="577" w:firstLine="480"/>
        <w:jc w:val="both"/>
        <w:rPr>
          <w:color w:val="0000FF"/>
        </w:rPr>
      </w:pPr>
      <w:r>
        <w:rPr>
          <w:color w:val="0000FF"/>
          <w:spacing w:val="-6"/>
        </w:rPr>
        <w:t>建设项目所在地周边的土壤环境敏感程度分为敏感、较敏感、不敏感，其敏</w:t>
      </w:r>
      <w:r>
        <w:rPr>
          <w:color w:val="0000FF"/>
          <w:spacing w:val="-7"/>
        </w:rPr>
        <w:t>感程度分级情况见表</w:t>
      </w:r>
      <w:r>
        <w:rPr>
          <w:rFonts w:ascii="Times New Roman" w:eastAsia="Times New Roman"/>
          <w:color w:val="0000FF"/>
        </w:rPr>
        <w:t>2.6-9</w:t>
      </w:r>
      <w:r>
        <w:rPr>
          <w:color w:val="0000FF"/>
        </w:rPr>
        <w:t>。</w:t>
      </w:r>
    </w:p>
    <w:p>
      <w:pPr>
        <w:pStyle w:val="7"/>
        <w:bidi w:val="0"/>
        <w:jc w:val="center"/>
        <w:rPr>
          <w:color w:val="0000FF"/>
        </w:rPr>
      </w:pPr>
      <w:r>
        <w:rPr>
          <w:color w:val="0000FF"/>
        </w:rPr>
        <w:t>表</w:t>
      </w:r>
      <w:r>
        <w:rPr>
          <w:rFonts w:ascii="Times New Roman" w:eastAsia="Times New Roman"/>
          <w:color w:val="0000FF"/>
        </w:rPr>
        <w:t>2.6-9</w:t>
      </w:r>
      <w:r>
        <w:rPr>
          <w:rFonts w:ascii="Times New Roman" w:eastAsia="Times New Roman"/>
          <w:color w:val="0000FF"/>
        </w:rPr>
        <w:tab/>
      </w:r>
      <w:r>
        <w:rPr>
          <w:color w:val="0000FF"/>
        </w:rPr>
        <w:t>污染影响型敏感程度分级表</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9"/>
        <w:gridCol w:w="6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9" w:type="dxa"/>
          </w:tcPr>
          <w:p>
            <w:pPr>
              <w:pStyle w:val="19"/>
              <w:spacing w:before="35"/>
              <w:ind w:left="372" w:right="362"/>
              <w:rPr>
                <w:b/>
                <w:color w:val="0000FF"/>
                <w:sz w:val="21"/>
              </w:rPr>
            </w:pPr>
            <w:r>
              <w:rPr>
                <w:b/>
                <w:color w:val="0000FF"/>
                <w:sz w:val="21"/>
              </w:rPr>
              <w:t>敏感程度</w:t>
            </w:r>
          </w:p>
        </w:tc>
        <w:tc>
          <w:tcPr>
            <w:tcW w:w="6893" w:type="dxa"/>
          </w:tcPr>
          <w:p>
            <w:pPr>
              <w:pStyle w:val="19"/>
              <w:spacing w:before="35"/>
              <w:ind w:left="3006" w:right="2993"/>
              <w:rPr>
                <w:b/>
                <w:color w:val="0000FF"/>
                <w:sz w:val="21"/>
              </w:rPr>
            </w:pPr>
            <w:r>
              <w:rPr>
                <w:b/>
                <w:color w:val="0000FF"/>
                <w:sz w:val="21"/>
              </w:rPr>
              <w:t>判别依据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629" w:type="dxa"/>
          </w:tcPr>
          <w:p>
            <w:pPr>
              <w:pStyle w:val="19"/>
              <w:spacing w:before="105"/>
              <w:ind w:left="369" w:right="362"/>
              <w:rPr>
                <w:color w:val="0000FF"/>
                <w:sz w:val="21"/>
              </w:rPr>
            </w:pPr>
            <w:r>
              <w:rPr>
                <w:color w:val="0000FF"/>
                <w:sz w:val="21"/>
              </w:rPr>
              <w:t>敏感</w:t>
            </w:r>
          </w:p>
        </w:tc>
        <w:tc>
          <w:tcPr>
            <w:tcW w:w="6893" w:type="dxa"/>
          </w:tcPr>
          <w:p>
            <w:pPr>
              <w:pStyle w:val="19"/>
              <w:spacing w:before="1" w:line="240" w:lineRule="exact"/>
              <w:ind w:left="108" w:right="54"/>
              <w:jc w:val="left"/>
              <w:rPr>
                <w:color w:val="0000FF"/>
                <w:sz w:val="21"/>
              </w:rPr>
            </w:pPr>
            <w:r>
              <w:rPr>
                <w:color w:val="0000FF"/>
                <w:w w:val="95"/>
                <w:sz w:val="21"/>
              </w:rPr>
              <w:t>建设项目周边存在耕地、园地、牧草地、饮用水水源地或居民区、学校、</w:t>
            </w:r>
            <w:r>
              <w:rPr>
                <w:color w:val="0000FF"/>
                <w:sz w:val="21"/>
              </w:rPr>
              <w:t>医院、疗养院、养老院等土壤环境敏感目标的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629" w:type="dxa"/>
          </w:tcPr>
          <w:p>
            <w:pPr>
              <w:pStyle w:val="19"/>
              <w:spacing w:before="34"/>
              <w:ind w:left="369" w:right="362"/>
              <w:rPr>
                <w:color w:val="0000FF"/>
                <w:sz w:val="21"/>
              </w:rPr>
            </w:pPr>
            <w:r>
              <w:rPr>
                <w:color w:val="0000FF"/>
                <w:sz w:val="21"/>
              </w:rPr>
              <w:t>较敏感</w:t>
            </w:r>
          </w:p>
        </w:tc>
        <w:tc>
          <w:tcPr>
            <w:tcW w:w="6893" w:type="dxa"/>
          </w:tcPr>
          <w:p>
            <w:pPr>
              <w:pStyle w:val="19"/>
              <w:spacing w:before="34"/>
              <w:ind w:left="108"/>
              <w:jc w:val="left"/>
              <w:rPr>
                <w:color w:val="0000FF"/>
                <w:sz w:val="21"/>
              </w:rPr>
            </w:pPr>
            <w:r>
              <w:rPr>
                <w:color w:val="0000FF"/>
                <w:sz w:val="21"/>
              </w:rPr>
              <w:t>建设项目周边存在其他土壤环境敏感目标的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9" w:type="dxa"/>
          </w:tcPr>
          <w:p>
            <w:pPr>
              <w:pStyle w:val="19"/>
              <w:spacing w:before="36"/>
              <w:ind w:left="369" w:right="362"/>
              <w:rPr>
                <w:color w:val="0000FF"/>
                <w:sz w:val="21"/>
              </w:rPr>
            </w:pPr>
            <w:r>
              <w:rPr>
                <w:color w:val="0000FF"/>
                <w:sz w:val="21"/>
              </w:rPr>
              <w:t>不敏感</w:t>
            </w:r>
          </w:p>
        </w:tc>
        <w:tc>
          <w:tcPr>
            <w:tcW w:w="6893" w:type="dxa"/>
          </w:tcPr>
          <w:p>
            <w:pPr>
              <w:pStyle w:val="19"/>
              <w:spacing w:before="36"/>
              <w:ind w:left="108"/>
              <w:jc w:val="left"/>
              <w:rPr>
                <w:color w:val="0000FF"/>
                <w:sz w:val="21"/>
              </w:rPr>
            </w:pPr>
            <w:r>
              <w:rPr>
                <w:color w:val="0000FF"/>
                <w:sz w:val="21"/>
              </w:rPr>
              <w:t>其他情况</w:t>
            </w:r>
          </w:p>
        </w:tc>
      </w:tr>
    </w:tbl>
    <w:p>
      <w:pPr>
        <w:pStyle w:val="7"/>
        <w:spacing w:before="6"/>
        <w:ind w:left="0"/>
        <w:rPr>
          <w:b/>
          <w:color w:val="0000FF"/>
          <w:sz w:val="18"/>
        </w:rPr>
      </w:pPr>
    </w:p>
    <w:p>
      <w:pPr>
        <w:pStyle w:val="7"/>
        <w:spacing w:line="364" w:lineRule="auto"/>
        <w:ind w:right="577" w:firstLine="480"/>
        <w:jc w:val="both"/>
        <w:rPr>
          <w:color w:val="0000FF"/>
        </w:rPr>
      </w:pPr>
      <w:r>
        <w:rPr>
          <w:color w:val="0000FF"/>
          <w:spacing w:val="-8"/>
        </w:rPr>
        <w:t>本项目周边为天然草场、农田，种植作物主要为饲草、玉米和苜蓿草，根据</w:t>
      </w:r>
      <w:r>
        <w:rPr>
          <w:color w:val="0000FF"/>
          <w:spacing w:val="-31"/>
        </w:rPr>
        <w:t>表</w:t>
      </w:r>
      <w:r>
        <w:rPr>
          <w:rFonts w:ascii="Times New Roman" w:eastAsia="Times New Roman"/>
          <w:color w:val="0000FF"/>
        </w:rPr>
        <w:t>2.6-9</w:t>
      </w:r>
      <w:r>
        <w:rPr>
          <w:color w:val="0000FF"/>
        </w:rPr>
        <w:t>，本项目土壤环境敏感程度为敏感。</w:t>
      </w:r>
    </w:p>
    <w:p>
      <w:pPr>
        <w:pStyle w:val="7"/>
        <w:spacing w:before="1"/>
        <w:ind w:left="1020"/>
        <w:rPr>
          <w:color w:val="0000FF"/>
        </w:rPr>
      </w:pPr>
      <w:r>
        <w:rPr>
          <w:color w:val="0000FF"/>
          <w:spacing w:val="-10"/>
        </w:rPr>
        <w:t>根据《环境影响评价技术导则土壤环境</w:t>
      </w:r>
      <w:r>
        <w:rPr>
          <w:color w:val="0000FF"/>
        </w:rPr>
        <w:t>（试行</w:t>
      </w:r>
      <w:r>
        <w:rPr>
          <w:color w:val="0000FF"/>
          <w:spacing w:val="-53"/>
        </w:rPr>
        <w:t>）</w:t>
      </w:r>
      <w:r>
        <w:rPr>
          <w:color w:val="0000FF"/>
          <w:spacing w:val="-104"/>
        </w:rPr>
        <w:t>》</w:t>
      </w:r>
      <w:r>
        <w:rPr>
          <w:color w:val="0000FF"/>
        </w:rPr>
        <w:t>（</w:t>
      </w:r>
      <w:r>
        <w:rPr>
          <w:rFonts w:ascii="Times New Roman" w:hAnsi="Times New Roman" w:eastAsia="Times New Roman"/>
          <w:color w:val="0000FF"/>
          <w:spacing w:val="-1"/>
        </w:rPr>
        <w:t>H</w:t>
      </w:r>
      <w:r>
        <w:rPr>
          <w:rFonts w:ascii="Times New Roman" w:hAnsi="Times New Roman" w:eastAsia="Times New Roman"/>
          <w:color w:val="0000FF"/>
          <w:spacing w:val="2"/>
        </w:rPr>
        <w:t>J</w:t>
      </w:r>
      <w:r>
        <w:rPr>
          <w:rFonts w:ascii="Times New Roman" w:hAnsi="Times New Roman" w:eastAsia="Times New Roman"/>
          <w:color w:val="0000FF"/>
        </w:rPr>
        <w:t>964</w:t>
      </w:r>
      <w:r>
        <w:rPr>
          <w:rFonts w:ascii="Times New Roman" w:hAnsi="Times New Roman" w:eastAsia="Times New Roman"/>
          <w:color w:val="0000FF"/>
          <w:spacing w:val="-1"/>
        </w:rPr>
        <w:t>-</w:t>
      </w:r>
      <w:r>
        <w:rPr>
          <w:rFonts w:ascii="Times New Roman" w:hAnsi="Times New Roman" w:eastAsia="Times New Roman"/>
          <w:color w:val="0000FF"/>
        </w:rPr>
        <w:t>201</w:t>
      </w:r>
      <w:r>
        <w:rPr>
          <w:rFonts w:ascii="Times New Roman" w:hAnsi="Times New Roman" w:eastAsia="Times New Roman"/>
          <w:color w:val="0000FF"/>
          <w:spacing w:val="-3"/>
        </w:rPr>
        <w:t>8</w:t>
      </w:r>
      <w:r>
        <w:rPr>
          <w:color w:val="0000FF"/>
          <w:spacing w:val="-53"/>
        </w:rPr>
        <w:t>）</w:t>
      </w:r>
      <w:r>
        <w:rPr>
          <w:color w:val="0000FF"/>
          <w:spacing w:val="-20"/>
        </w:rPr>
        <w:t>附录</w:t>
      </w:r>
      <w:r>
        <w:rPr>
          <w:rFonts w:ascii="Times New Roman" w:hAnsi="Times New Roman" w:eastAsia="Times New Roman"/>
          <w:color w:val="0000FF"/>
          <w:spacing w:val="-1"/>
        </w:rPr>
        <w:t>A</w:t>
      </w:r>
      <w:r>
        <w:rPr>
          <w:color w:val="0000FF"/>
          <w:spacing w:val="-120"/>
        </w:rPr>
        <w:t>·</w:t>
      </w:r>
      <w:r>
        <w:rPr>
          <w:color w:val="0000FF"/>
        </w:rPr>
        <w:t>表</w:t>
      </w:r>
    </w:p>
    <w:p>
      <w:pPr>
        <w:pStyle w:val="7"/>
        <w:spacing w:before="161"/>
        <w:rPr>
          <w:rFonts w:hint="default" w:ascii="Times New Roman" w:eastAsia="宋体"/>
          <w:color w:val="0000FF"/>
          <w:lang w:val="en-US" w:eastAsia="zh-CN"/>
        </w:rPr>
      </w:pPr>
      <w:r>
        <w:rPr>
          <w:rFonts w:ascii="Times New Roman" w:eastAsia="Times New Roman"/>
          <w:color w:val="0000FF"/>
        </w:rPr>
        <w:t>A.1</w:t>
      </w:r>
      <w:r>
        <w:rPr>
          <w:color w:val="0000FF"/>
        </w:rPr>
        <w:t>土壤环境影响评价项目类别，本项目为年出栏</w:t>
      </w:r>
      <w:r>
        <w:rPr>
          <w:rFonts w:hint="eastAsia"/>
          <w:color w:val="0000FF"/>
          <w:lang w:val="en-US" w:eastAsia="zh-CN"/>
        </w:rPr>
        <w:t>种公羊4万余</w:t>
      </w:r>
      <w:r>
        <w:rPr>
          <w:color w:val="0000FF"/>
        </w:rPr>
        <w:t>只（折合猪约</w:t>
      </w:r>
      <w:r>
        <w:rPr>
          <w:rFonts w:hint="eastAsia" w:ascii="Times New Roman" w:eastAsia="宋体"/>
          <w:color w:val="0000FF"/>
          <w:lang w:val="en-US" w:eastAsia="zh-CN"/>
        </w:rPr>
        <w:t>1.3</w:t>
      </w:r>
    </w:p>
    <w:p>
      <w:pPr>
        <w:pStyle w:val="7"/>
        <w:spacing w:before="160"/>
        <w:rPr>
          <w:color w:val="0000FF"/>
        </w:rPr>
      </w:pPr>
      <w:r>
        <w:rPr>
          <w:color w:val="0000FF"/>
        </w:rPr>
        <w:t>万头）的畜禽养殖场，属于Ⅲ类。</w:t>
      </w:r>
    </w:p>
    <w:p>
      <w:pPr>
        <w:pStyle w:val="7"/>
        <w:spacing w:before="161" w:line="364" w:lineRule="auto"/>
        <w:ind w:right="577" w:firstLine="480"/>
      </w:pPr>
      <w:r>
        <w:rPr>
          <w:spacing w:val="-7"/>
        </w:rPr>
        <w:t>污染影响型建设根据项目类别、占地规模与敏感程度划分评价工作等级，详</w:t>
      </w:r>
      <w:r>
        <w:rPr>
          <w:spacing w:val="-20"/>
        </w:rPr>
        <w:t>见表</w:t>
      </w:r>
      <w:r>
        <w:rPr>
          <w:rFonts w:ascii="Times New Roman" w:eastAsia="Times New Roman"/>
        </w:rPr>
        <w:t>2.6-10</w:t>
      </w:r>
      <w:r>
        <w:t>。</w:t>
      </w:r>
    </w:p>
    <w:p>
      <w:pPr>
        <w:pStyle w:val="7"/>
        <w:bidi w:val="0"/>
        <w:jc w:val="center"/>
      </w:pPr>
      <w:r>
        <w:pict>
          <v:shape id="_x0000_s1059" o:spid="_x0000_s1059" style="position:absolute;left:0pt;margin-left:151.35pt;margin-top:35pt;height:31.9pt;width:28.2pt;mso-position-horizontal-relative:page;z-index:-271069184;mso-width-relative:page;mso-height-relative:page;" fillcolor="#000000" filled="t" stroked="f" coordorigin="3027,700" coordsize="564,638" path="m3591,1314l3315,700,3301,706,3576,1318,3035,1006,3027,1019,3580,1338,3588,1325,3579,1320,3591,1314e">
            <v:path arrowok="t"/>
            <v:fill on="t" focussize="0,0"/>
            <v:stroke on="f"/>
            <v:imagedata o:title=""/>
            <o:lock v:ext="edit"/>
          </v:shape>
        </w:pict>
      </w:r>
      <w:r>
        <w:t>表</w:t>
      </w:r>
      <w:r>
        <w:rPr>
          <w:rFonts w:ascii="Times New Roman" w:eastAsia="Times New Roman"/>
        </w:rPr>
        <w:t>2.6-10</w:t>
      </w:r>
      <w:r>
        <w:rPr>
          <w:rFonts w:ascii="Times New Roman" w:eastAsia="Times New Roman"/>
        </w:rPr>
        <w:tab/>
      </w:r>
      <w:r>
        <w:t>污染影响型评价工作等级划分表</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7"/>
        <w:gridCol w:w="295"/>
        <w:gridCol w:w="267"/>
        <w:gridCol w:w="735"/>
        <w:gridCol w:w="735"/>
        <w:gridCol w:w="735"/>
        <w:gridCol w:w="735"/>
        <w:gridCol w:w="735"/>
        <w:gridCol w:w="735"/>
        <w:gridCol w:w="735"/>
        <w:gridCol w:w="735"/>
        <w:gridCol w:w="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632" w:type="dxa"/>
            <w:gridSpan w:val="2"/>
            <w:tcBorders>
              <w:bottom w:val="single" w:color="000000" w:sz="6" w:space="0"/>
              <w:right w:val="nil"/>
            </w:tcBorders>
          </w:tcPr>
          <w:p>
            <w:pPr>
              <w:pStyle w:val="19"/>
              <w:spacing w:before="21"/>
              <w:ind w:left="107"/>
              <w:jc w:val="left"/>
              <w:rPr>
                <w:b/>
                <w:sz w:val="21"/>
              </w:rPr>
            </w:pPr>
            <w:r>
              <w:rPr>
                <w:b/>
                <w:sz w:val="21"/>
              </w:rPr>
              <w:t>占地规模</w:t>
            </w:r>
          </w:p>
        </w:tc>
        <w:tc>
          <w:tcPr>
            <w:tcW w:w="267" w:type="dxa"/>
            <w:vMerge w:val="restart"/>
            <w:tcBorders>
              <w:left w:val="nil"/>
            </w:tcBorders>
          </w:tcPr>
          <w:p>
            <w:pPr>
              <w:pStyle w:val="19"/>
              <w:jc w:val="left"/>
              <w:rPr>
                <w:rFonts w:ascii="Times New Roman"/>
                <w:sz w:val="22"/>
              </w:rPr>
            </w:pPr>
          </w:p>
        </w:tc>
        <w:tc>
          <w:tcPr>
            <w:tcW w:w="2205" w:type="dxa"/>
            <w:gridSpan w:val="3"/>
          </w:tcPr>
          <w:p>
            <w:pPr>
              <w:pStyle w:val="19"/>
              <w:spacing w:before="36"/>
              <w:ind w:left="868" w:right="862"/>
              <w:rPr>
                <w:b/>
                <w:sz w:val="21"/>
              </w:rPr>
            </w:pPr>
            <w:r>
              <w:rPr>
                <w:b/>
                <w:sz w:val="21"/>
              </w:rPr>
              <w:t>Ⅰ类</w:t>
            </w:r>
          </w:p>
        </w:tc>
        <w:tc>
          <w:tcPr>
            <w:tcW w:w="2205" w:type="dxa"/>
            <w:gridSpan w:val="3"/>
          </w:tcPr>
          <w:p>
            <w:pPr>
              <w:pStyle w:val="19"/>
              <w:spacing w:before="36"/>
              <w:ind w:left="869" w:right="861"/>
              <w:rPr>
                <w:b/>
                <w:sz w:val="21"/>
              </w:rPr>
            </w:pPr>
            <w:r>
              <w:rPr>
                <w:b/>
                <w:sz w:val="21"/>
              </w:rPr>
              <w:t>Ⅱ类</w:t>
            </w:r>
          </w:p>
        </w:tc>
        <w:tc>
          <w:tcPr>
            <w:tcW w:w="2213" w:type="dxa"/>
            <w:gridSpan w:val="3"/>
          </w:tcPr>
          <w:p>
            <w:pPr>
              <w:pStyle w:val="19"/>
              <w:spacing w:before="36"/>
              <w:ind w:left="874" w:right="866"/>
              <w:rPr>
                <w:b/>
                <w:sz w:val="21"/>
              </w:rPr>
            </w:pPr>
            <w:r>
              <w:rPr>
                <w:b/>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632" w:type="dxa"/>
            <w:gridSpan w:val="2"/>
            <w:tcBorders>
              <w:top w:val="single" w:color="000000" w:sz="6" w:space="0"/>
              <w:bottom w:val="nil"/>
              <w:right w:val="nil"/>
            </w:tcBorders>
          </w:tcPr>
          <w:p>
            <w:pPr>
              <w:pStyle w:val="19"/>
              <w:spacing w:line="234" w:lineRule="exact"/>
              <w:ind w:left="107"/>
              <w:jc w:val="left"/>
              <w:rPr>
                <w:b/>
                <w:sz w:val="21"/>
              </w:rPr>
            </w:pPr>
            <w:r>
              <w:rPr>
                <w:b/>
                <w:sz w:val="21"/>
              </w:rPr>
              <w:t>评价工作等级</w:t>
            </w:r>
          </w:p>
        </w:tc>
        <w:tc>
          <w:tcPr>
            <w:tcW w:w="267" w:type="dxa"/>
            <w:vMerge w:val="continue"/>
            <w:tcBorders>
              <w:top w:val="nil"/>
              <w:left w:val="nil"/>
            </w:tcBorders>
          </w:tcPr>
          <w:p>
            <w:pPr>
              <w:rPr>
                <w:sz w:val="2"/>
                <w:szCs w:val="2"/>
              </w:rPr>
            </w:pPr>
          </w:p>
        </w:tc>
        <w:tc>
          <w:tcPr>
            <w:tcW w:w="735" w:type="dxa"/>
            <w:vMerge w:val="restart"/>
          </w:tcPr>
          <w:p>
            <w:pPr>
              <w:pStyle w:val="19"/>
              <w:spacing w:before="156"/>
              <w:ind w:left="5"/>
              <w:rPr>
                <w:b/>
                <w:sz w:val="21"/>
              </w:rPr>
            </w:pPr>
            <w:r>
              <w:rPr>
                <w:b/>
                <w:w w:val="99"/>
                <w:sz w:val="21"/>
              </w:rPr>
              <w:t>大</w:t>
            </w:r>
          </w:p>
        </w:tc>
        <w:tc>
          <w:tcPr>
            <w:tcW w:w="735" w:type="dxa"/>
            <w:vMerge w:val="restart"/>
          </w:tcPr>
          <w:p>
            <w:pPr>
              <w:pStyle w:val="19"/>
              <w:spacing w:before="156"/>
              <w:ind w:left="9"/>
              <w:rPr>
                <w:b/>
                <w:sz w:val="21"/>
              </w:rPr>
            </w:pPr>
            <w:r>
              <w:rPr>
                <w:b/>
                <w:w w:val="99"/>
                <w:sz w:val="21"/>
              </w:rPr>
              <w:t>中</w:t>
            </w:r>
          </w:p>
        </w:tc>
        <w:tc>
          <w:tcPr>
            <w:tcW w:w="735" w:type="dxa"/>
            <w:vMerge w:val="restart"/>
          </w:tcPr>
          <w:p>
            <w:pPr>
              <w:pStyle w:val="19"/>
              <w:spacing w:before="156"/>
              <w:ind w:left="7"/>
              <w:rPr>
                <w:b/>
                <w:sz w:val="21"/>
              </w:rPr>
            </w:pPr>
            <w:r>
              <w:rPr>
                <w:b/>
                <w:w w:val="99"/>
                <w:sz w:val="21"/>
              </w:rPr>
              <w:t>小</w:t>
            </w:r>
          </w:p>
        </w:tc>
        <w:tc>
          <w:tcPr>
            <w:tcW w:w="735" w:type="dxa"/>
            <w:vMerge w:val="restart"/>
          </w:tcPr>
          <w:p>
            <w:pPr>
              <w:pStyle w:val="19"/>
              <w:spacing w:before="156"/>
              <w:ind w:left="6"/>
              <w:rPr>
                <w:b/>
                <w:sz w:val="21"/>
              </w:rPr>
            </w:pPr>
            <w:r>
              <w:rPr>
                <w:b/>
                <w:w w:val="99"/>
                <w:sz w:val="21"/>
              </w:rPr>
              <w:t>大</w:t>
            </w:r>
          </w:p>
        </w:tc>
        <w:tc>
          <w:tcPr>
            <w:tcW w:w="735" w:type="dxa"/>
            <w:vMerge w:val="restart"/>
          </w:tcPr>
          <w:p>
            <w:pPr>
              <w:pStyle w:val="19"/>
              <w:spacing w:before="156"/>
              <w:ind w:left="5"/>
              <w:rPr>
                <w:b/>
                <w:sz w:val="21"/>
              </w:rPr>
            </w:pPr>
            <w:r>
              <w:rPr>
                <w:b/>
                <w:w w:val="99"/>
                <w:sz w:val="21"/>
              </w:rPr>
              <w:t>中</w:t>
            </w:r>
          </w:p>
        </w:tc>
        <w:tc>
          <w:tcPr>
            <w:tcW w:w="735" w:type="dxa"/>
            <w:vMerge w:val="restart"/>
          </w:tcPr>
          <w:p>
            <w:pPr>
              <w:pStyle w:val="19"/>
              <w:spacing w:before="156"/>
              <w:ind w:left="9"/>
              <w:rPr>
                <w:b/>
                <w:sz w:val="21"/>
              </w:rPr>
            </w:pPr>
            <w:r>
              <w:rPr>
                <w:b/>
                <w:w w:val="99"/>
                <w:sz w:val="21"/>
              </w:rPr>
              <w:t>小</w:t>
            </w:r>
          </w:p>
        </w:tc>
        <w:tc>
          <w:tcPr>
            <w:tcW w:w="735" w:type="dxa"/>
            <w:vMerge w:val="restart"/>
          </w:tcPr>
          <w:p>
            <w:pPr>
              <w:pStyle w:val="19"/>
              <w:spacing w:before="156"/>
              <w:ind w:left="7"/>
              <w:rPr>
                <w:b/>
                <w:sz w:val="21"/>
              </w:rPr>
            </w:pPr>
            <w:r>
              <w:rPr>
                <w:b/>
                <w:w w:val="99"/>
                <w:sz w:val="21"/>
              </w:rPr>
              <w:t>大</w:t>
            </w:r>
          </w:p>
        </w:tc>
        <w:tc>
          <w:tcPr>
            <w:tcW w:w="735" w:type="dxa"/>
            <w:vMerge w:val="restart"/>
          </w:tcPr>
          <w:p>
            <w:pPr>
              <w:pStyle w:val="19"/>
              <w:spacing w:before="156"/>
              <w:ind w:left="6"/>
              <w:rPr>
                <w:b/>
                <w:sz w:val="21"/>
              </w:rPr>
            </w:pPr>
            <w:r>
              <w:rPr>
                <w:b/>
                <w:w w:val="99"/>
                <w:sz w:val="21"/>
              </w:rPr>
              <w:t>中</w:t>
            </w:r>
          </w:p>
        </w:tc>
        <w:tc>
          <w:tcPr>
            <w:tcW w:w="743" w:type="dxa"/>
            <w:vMerge w:val="restart"/>
          </w:tcPr>
          <w:p>
            <w:pPr>
              <w:pStyle w:val="19"/>
              <w:spacing w:before="156"/>
              <w:ind w:left="7"/>
              <w:rPr>
                <w:b/>
                <w:sz w:val="21"/>
              </w:rPr>
            </w:pPr>
            <w:r>
              <w:rPr>
                <w:b/>
                <w:w w:val="99"/>
                <w:sz w:val="21"/>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37" w:type="dxa"/>
            <w:tcBorders>
              <w:top w:val="single" w:color="000000" w:sz="6" w:space="0"/>
              <w:right w:val="nil"/>
            </w:tcBorders>
          </w:tcPr>
          <w:p>
            <w:pPr>
              <w:pStyle w:val="19"/>
              <w:spacing w:before="24"/>
              <w:ind w:left="107"/>
              <w:jc w:val="left"/>
              <w:rPr>
                <w:b/>
                <w:sz w:val="21"/>
              </w:rPr>
            </w:pPr>
            <w:r>
              <w:rPr>
                <w:b/>
                <w:sz w:val="21"/>
              </w:rPr>
              <w:t>敏感程度</w:t>
            </w:r>
          </w:p>
        </w:tc>
        <w:tc>
          <w:tcPr>
            <w:tcW w:w="295" w:type="dxa"/>
            <w:tcBorders>
              <w:top w:val="nil"/>
              <w:left w:val="nil"/>
              <w:right w:val="nil"/>
            </w:tcBorders>
          </w:tcPr>
          <w:p>
            <w:pPr>
              <w:pStyle w:val="19"/>
              <w:jc w:val="left"/>
              <w:rPr>
                <w:rFonts w:ascii="Times New Roman"/>
                <w:sz w:val="22"/>
              </w:rPr>
            </w:pPr>
          </w:p>
        </w:tc>
        <w:tc>
          <w:tcPr>
            <w:tcW w:w="267" w:type="dxa"/>
            <w:vMerge w:val="continue"/>
            <w:tcBorders>
              <w:top w:val="nil"/>
              <w:left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74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99" w:type="dxa"/>
            <w:gridSpan w:val="3"/>
          </w:tcPr>
          <w:p>
            <w:pPr>
              <w:pStyle w:val="19"/>
              <w:spacing w:before="35"/>
              <w:ind w:left="718" w:right="709"/>
              <w:rPr>
                <w:b/>
                <w:sz w:val="21"/>
              </w:rPr>
            </w:pPr>
            <w:r>
              <w:rPr>
                <w:b/>
                <w:sz w:val="21"/>
              </w:rPr>
              <w:t>敏感</w:t>
            </w:r>
          </w:p>
        </w:tc>
        <w:tc>
          <w:tcPr>
            <w:tcW w:w="735" w:type="dxa"/>
          </w:tcPr>
          <w:p>
            <w:pPr>
              <w:pStyle w:val="19"/>
              <w:spacing w:before="35"/>
              <w:ind w:left="134" w:right="127"/>
              <w:rPr>
                <w:sz w:val="21"/>
              </w:rPr>
            </w:pPr>
            <w:r>
              <w:rPr>
                <w:sz w:val="21"/>
              </w:rPr>
              <w:t>一级</w:t>
            </w:r>
          </w:p>
        </w:tc>
        <w:tc>
          <w:tcPr>
            <w:tcW w:w="735" w:type="dxa"/>
          </w:tcPr>
          <w:p>
            <w:pPr>
              <w:pStyle w:val="19"/>
              <w:spacing w:before="35"/>
              <w:ind w:left="134" w:right="128"/>
              <w:rPr>
                <w:sz w:val="21"/>
              </w:rPr>
            </w:pPr>
            <w:r>
              <w:rPr>
                <w:sz w:val="21"/>
              </w:rPr>
              <w:t>一级</w:t>
            </w:r>
          </w:p>
        </w:tc>
        <w:tc>
          <w:tcPr>
            <w:tcW w:w="735" w:type="dxa"/>
          </w:tcPr>
          <w:p>
            <w:pPr>
              <w:pStyle w:val="19"/>
              <w:spacing w:before="35"/>
              <w:ind w:left="134" w:right="129"/>
              <w:rPr>
                <w:sz w:val="21"/>
              </w:rPr>
            </w:pPr>
            <w:r>
              <w:rPr>
                <w:sz w:val="21"/>
              </w:rPr>
              <w:t>一级</w:t>
            </w:r>
          </w:p>
        </w:tc>
        <w:tc>
          <w:tcPr>
            <w:tcW w:w="735" w:type="dxa"/>
          </w:tcPr>
          <w:p>
            <w:pPr>
              <w:pStyle w:val="19"/>
              <w:spacing w:before="35"/>
              <w:ind w:left="133" w:right="129"/>
              <w:rPr>
                <w:sz w:val="21"/>
              </w:rPr>
            </w:pPr>
            <w:r>
              <w:rPr>
                <w:sz w:val="21"/>
              </w:rPr>
              <w:t>二级</w:t>
            </w:r>
          </w:p>
        </w:tc>
        <w:tc>
          <w:tcPr>
            <w:tcW w:w="735" w:type="dxa"/>
          </w:tcPr>
          <w:p>
            <w:pPr>
              <w:pStyle w:val="19"/>
              <w:spacing w:before="35"/>
              <w:ind w:left="134" w:right="127"/>
              <w:rPr>
                <w:sz w:val="21"/>
              </w:rPr>
            </w:pPr>
            <w:r>
              <w:rPr>
                <w:sz w:val="21"/>
              </w:rPr>
              <w:t>二级</w:t>
            </w:r>
          </w:p>
        </w:tc>
        <w:tc>
          <w:tcPr>
            <w:tcW w:w="735" w:type="dxa"/>
          </w:tcPr>
          <w:p>
            <w:pPr>
              <w:pStyle w:val="19"/>
              <w:spacing w:before="35"/>
              <w:ind w:left="134" w:right="128"/>
              <w:rPr>
                <w:sz w:val="21"/>
              </w:rPr>
            </w:pPr>
            <w:r>
              <w:rPr>
                <w:sz w:val="21"/>
              </w:rPr>
              <w:t>二级</w:t>
            </w:r>
          </w:p>
        </w:tc>
        <w:tc>
          <w:tcPr>
            <w:tcW w:w="735" w:type="dxa"/>
          </w:tcPr>
          <w:p>
            <w:pPr>
              <w:pStyle w:val="19"/>
              <w:spacing w:before="35"/>
              <w:ind w:left="134" w:right="129"/>
              <w:rPr>
                <w:sz w:val="21"/>
              </w:rPr>
            </w:pPr>
            <w:r>
              <w:rPr>
                <w:sz w:val="21"/>
              </w:rPr>
              <w:t>三级</w:t>
            </w:r>
          </w:p>
        </w:tc>
        <w:tc>
          <w:tcPr>
            <w:tcW w:w="735" w:type="dxa"/>
          </w:tcPr>
          <w:p>
            <w:pPr>
              <w:pStyle w:val="19"/>
              <w:spacing w:before="35"/>
              <w:ind w:left="133" w:right="129"/>
              <w:rPr>
                <w:sz w:val="21"/>
              </w:rPr>
            </w:pPr>
            <w:r>
              <w:rPr>
                <w:sz w:val="21"/>
              </w:rPr>
              <w:t>三级</w:t>
            </w:r>
          </w:p>
        </w:tc>
        <w:tc>
          <w:tcPr>
            <w:tcW w:w="743" w:type="dxa"/>
          </w:tcPr>
          <w:p>
            <w:pPr>
              <w:pStyle w:val="19"/>
              <w:spacing w:before="35"/>
              <w:ind w:left="138" w:right="134"/>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99" w:type="dxa"/>
            <w:gridSpan w:val="3"/>
          </w:tcPr>
          <w:p>
            <w:pPr>
              <w:pStyle w:val="19"/>
              <w:spacing w:before="36"/>
              <w:ind w:left="633"/>
              <w:jc w:val="left"/>
              <w:rPr>
                <w:b/>
                <w:sz w:val="21"/>
              </w:rPr>
            </w:pPr>
            <w:r>
              <w:rPr>
                <w:b/>
                <w:sz w:val="21"/>
              </w:rPr>
              <w:t>较敏感</w:t>
            </w:r>
          </w:p>
        </w:tc>
        <w:tc>
          <w:tcPr>
            <w:tcW w:w="735" w:type="dxa"/>
          </w:tcPr>
          <w:p>
            <w:pPr>
              <w:pStyle w:val="19"/>
              <w:spacing w:before="36"/>
              <w:ind w:left="134" w:right="127"/>
              <w:rPr>
                <w:sz w:val="21"/>
              </w:rPr>
            </w:pPr>
            <w:r>
              <w:rPr>
                <w:sz w:val="21"/>
              </w:rPr>
              <w:t>一级</w:t>
            </w:r>
          </w:p>
        </w:tc>
        <w:tc>
          <w:tcPr>
            <w:tcW w:w="735" w:type="dxa"/>
          </w:tcPr>
          <w:p>
            <w:pPr>
              <w:pStyle w:val="19"/>
              <w:spacing w:before="36"/>
              <w:ind w:left="134" w:right="128"/>
              <w:rPr>
                <w:sz w:val="21"/>
              </w:rPr>
            </w:pPr>
            <w:r>
              <w:rPr>
                <w:sz w:val="21"/>
              </w:rPr>
              <w:t>一级</w:t>
            </w:r>
          </w:p>
        </w:tc>
        <w:tc>
          <w:tcPr>
            <w:tcW w:w="735" w:type="dxa"/>
          </w:tcPr>
          <w:p>
            <w:pPr>
              <w:pStyle w:val="19"/>
              <w:spacing w:before="36"/>
              <w:ind w:left="134" w:right="129"/>
              <w:rPr>
                <w:sz w:val="21"/>
              </w:rPr>
            </w:pPr>
            <w:r>
              <w:rPr>
                <w:sz w:val="21"/>
              </w:rPr>
              <w:t>二级</w:t>
            </w:r>
          </w:p>
        </w:tc>
        <w:tc>
          <w:tcPr>
            <w:tcW w:w="735" w:type="dxa"/>
          </w:tcPr>
          <w:p>
            <w:pPr>
              <w:pStyle w:val="19"/>
              <w:spacing w:before="36"/>
              <w:ind w:left="133" w:right="129"/>
              <w:rPr>
                <w:sz w:val="21"/>
              </w:rPr>
            </w:pPr>
            <w:r>
              <w:rPr>
                <w:sz w:val="21"/>
              </w:rPr>
              <w:t>二级</w:t>
            </w:r>
          </w:p>
        </w:tc>
        <w:tc>
          <w:tcPr>
            <w:tcW w:w="735" w:type="dxa"/>
          </w:tcPr>
          <w:p>
            <w:pPr>
              <w:pStyle w:val="19"/>
              <w:spacing w:before="36"/>
              <w:ind w:left="134" w:right="127"/>
              <w:rPr>
                <w:sz w:val="21"/>
              </w:rPr>
            </w:pPr>
            <w:r>
              <w:rPr>
                <w:sz w:val="21"/>
              </w:rPr>
              <w:t>二级</w:t>
            </w:r>
          </w:p>
        </w:tc>
        <w:tc>
          <w:tcPr>
            <w:tcW w:w="735" w:type="dxa"/>
          </w:tcPr>
          <w:p>
            <w:pPr>
              <w:pStyle w:val="19"/>
              <w:spacing w:before="36"/>
              <w:ind w:left="134" w:right="128"/>
              <w:rPr>
                <w:sz w:val="21"/>
              </w:rPr>
            </w:pPr>
            <w:r>
              <w:rPr>
                <w:sz w:val="21"/>
              </w:rPr>
              <w:t>三级</w:t>
            </w:r>
          </w:p>
        </w:tc>
        <w:tc>
          <w:tcPr>
            <w:tcW w:w="735" w:type="dxa"/>
          </w:tcPr>
          <w:p>
            <w:pPr>
              <w:pStyle w:val="19"/>
              <w:spacing w:before="36"/>
              <w:ind w:left="134" w:right="129"/>
              <w:rPr>
                <w:sz w:val="21"/>
              </w:rPr>
            </w:pPr>
            <w:r>
              <w:rPr>
                <w:sz w:val="21"/>
              </w:rPr>
              <w:t>三级</w:t>
            </w:r>
          </w:p>
        </w:tc>
        <w:tc>
          <w:tcPr>
            <w:tcW w:w="735" w:type="dxa"/>
          </w:tcPr>
          <w:p>
            <w:pPr>
              <w:pStyle w:val="19"/>
              <w:spacing w:before="36"/>
              <w:ind w:left="133" w:right="129"/>
              <w:rPr>
                <w:sz w:val="21"/>
              </w:rPr>
            </w:pPr>
            <w:r>
              <w:rPr>
                <w:sz w:val="21"/>
              </w:rPr>
              <w:t>三级</w:t>
            </w:r>
          </w:p>
        </w:tc>
        <w:tc>
          <w:tcPr>
            <w:tcW w:w="743" w:type="dxa"/>
          </w:tcPr>
          <w:p>
            <w:pPr>
              <w:pStyle w:val="19"/>
              <w:spacing w:before="18" w:line="302" w:lineRule="exact"/>
              <w:ind w:left="9"/>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99" w:type="dxa"/>
            <w:gridSpan w:val="3"/>
          </w:tcPr>
          <w:p>
            <w:pPr>
              <w:pStyle w:val="19"/>
              <w:spacing w:before="34"/>
              <w:ind w:left="633"/>
              <w:jc w:val="left"/>
              <w:rPr>
                <w:b/>
                <w:sz w:val="21"/>
              </w:rPr>
            </w:pPr>
            <w:r>
              <w:rPr>
                <w:b/>
                <w:sz w:val="21"/>
              </w:rPr>
              <w:t>不敏感</w:t>
            </w:r>
          </w:p>
        </w:tc>
        <w:tc>
          <w:tcPr>
            <w:tcW w:w="735" w:type="dxa"/>
          </w:tcPr>
          <w:p>
            <w:pPr>
              <w:pStyle w:val="19"/>
              <w:spacing w:before="34"/>
              <w:ind w:left="134" w:right="127"/>
              <w:rPr>
                <w:sz w:val="21"/>
              </w:rPr>
            </w:pPr>
            <w:r>
              <w:rPr>
                <w:sz w:val="21"/>
              </w:rPr>
              <w:t>一级</w:t>
            </w:r>
          </w:p>
        </w:tc>
        <w:tc>
          <w:tcPr>
            <w:tcW w:w="735" w:type="dxa"/>
          </w:tcPr>
          <w:p>
            <w:pPr>
              <w:pStyle w:val="19"/>
              <w:spacing w:before="34"/>
              <w:ind w:left="134" w:right="128"/>
              <w:rPr>
                <w:sz w:val="21"/>
              </w:rPr>
            </w:pPr>
            <w:r>
              <w:rPr>
                <w:sz w:val="21"/>
              </w:rPr>
              <w:t>二级</w:t>
            </w:r>
          </w:p>
        </w:tc>
        <w:tc>
          <w:tcPr>
            <w:tcW w:w="735" w:type="dxa"/>
          </w:tcPr>
          <w:p>
            <w:pPr>
              <w:pStyle w:val="19"/>
              <w:spacing w:before="34"/>
              <w:ind w:left="134" w:right="129"/>
              <w:rPr>
                <w:sz w:val="21"/>
              </w:rPr>
            </w:pPr>
            <w:r>
              <w:rPr>
                <w:sz w:val="21"/>
              </w:rPr>
              <w:t>二级</w:t>
            </w:r>
          </w:p>
        </w:tc>
        <w:tc>
          <w:tcPr>
            <w:tcW w:w="735" w:type="dxa"/>
          </w:tcPr>
          <w:p>
            <w:pPr>
              <w:pStyle w:val="19"/>
              <w:spacing w:before="34"/>
              <w:ind w:left="133" w:right="129"/>
              <w:rPr>
                <w:sz w:val="21"/>
              </w:rPr>
            </w:pPr>
            <w:r>
              <w:rPr>
                <w:sz w:val="21"/>
              </w:rPr>
              <w:t>二级</w:t>
            </w:r>
          </w:p>
        </w:tc>
        <w:tc>
          <w:tcPr>
            <w:tcW w:w="735" w:type="dxa"/>
          </w:tcPr>
          <w:p>
            <w:pPr>
              <w:pStyle w:val="19"/>
              <w:spacing w:before="34"/>
              <w:ind w:left="134" w:right="127"/>
              <w:rPr>
                <w:sz w:val="21"/>
              </w:rPr>
            </w:pPr>
            <w:r>
              <w:rPr>
                <w:sz w:val="21"/>
              </w:rPr>
              <w:t>三级</w:t>
            </w:r>
          </w:p>
        </w:tc>
        <w:tc>
          <w:tcPr>
            <w:tcW w:w="735" w:type="dxa"/>
          </w:tcPr>
          <w:p>
            <w:pPr>
              <w:pStyle w:val="19"/>
              <w:spacing w:before="34"/>
              <w:ind w:left="134" w:right="128"/>
              <w:rPr>
                <w:sz w:val="21"/>
              </w:rPr>
            </w:pPr>
            <w:r>
              <w:rPr>
                <w:sz w:val="21"/>
              </w:rPr>
              <w:t>三级</w:t>
            </w:r>
          </w:p>
        </w:tc>
        <w:tc>
          <w:tcPr>
            <w:tcW w:w="735" w:type="dxa"/>
          </w:tcPr>
          <w:p>
            <w:pPr>
              <w:pStyle w:val="19"/>
              <w:spacing w:before="34"/>
              <w:ind w:left="134" w:right="129"/>
              <w:rPr>
                <w:sz w:val="21"/>
              </w:rPr>
            </w:pPr>
            <w:r>
              <w:rPr>
                <w:sz w:val="21"/>
              </w:rPr>
              <w:t>三级</w:t>
            </w:r>
          </w:p>
        </w:tc>
        <w:tc>
          <w:tcPr>
            <w:tcW w:w="735" w:type="dxa"/>
          </w:tcPr>
          <w:p>
            <w:pPr>
              <w:pStyle w:val="19"/>
              <w:spacing w:before="34"/>
              <w:ind w:left="6"/>
              <w:rPr>
                <w:sz w:val="21"/>
              </w:rPr>
            </w:pPr>
            <w:r>
              <w:rPr>
                <w:w w:val="99"/>
                <w:sz w:val="21"/>
              </w:rPr>
              <w:t>—</w:t>
            </w:r>
          </w:p>
        </w:tc>
        <w:tc>
          <w:tcPr>
            <w:tcW w:w="743" w:type="dxa"/>
          </w:tcPr>
          <w:p>
            <w:pPr>
              <w:pStyle w:val="19"/>
              <w:spacing w:before="16" w:line="304" w:lineRule="exact"/>
              <w:ind w:left="9"/>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22" w:type="dxa"/>
            <w:gridSpan w:val="12"/>
          </w:tcPr>
          <w:p>
            <w:pPr>
              <w:pStyle w:val="19"/>
              <w:spacing w:before="34"/>
              <w:ind w:left="107"/>
              <w:jc w:val="left"/>
              <w:rPr>
                <w:sz w:val="21"/>
              </w:rPr>
            </w:pPr>
            <w:r>
              <w:rPr>
                <w:sz w:val="21"/>
              </w:rPr>
              <w:t>注：“—”表示可不开展土壤环境影响评价工作</w:t>
            </w:r>
          </w:p>
        </w:tc>
      </w:tr>
    </w:tbl>
    <w:p>
      <w:pPr>
        <w:pStyle w:val="7"/>
        <w:spacing w:before="7"/>
        <w:ind w:left="0"/>
        <w:rPr>
          <w:b/>
          <w:sz w:val="18"/>
        </w:rPr>
      </w:pPr>
    </w:p>
    <w:p>
      <w:pPr>
        <w:pStyle w:val="7"/>
        <w:spacing w:line="364" w:lineRule="auto"/>
        <w:ind w:right="457" w:firstLine="480"/>
      </w:pPr>
      <w:r>
        <w:rPr>
          <w:spacing w:val="-6"/>
        </w:rPr>
        <w:t>根据《环境影响评价技术导则</w:t>
      </w:r>
      <w:r>
        <w:rPr>
          <w:spacing w:val="-27"/>
        </w:rPr>
        <w:t>·</w:t>
      </w:r>
      <w:r>
        <w:rPr>
          <w:spacing w:val="-8"/>
        </w:rPr>
        <w:t>土壤环境</w:t>
      </w:r>
      <w:r>
        <w:t>（试行</w:t>
      </w:r>
      <w:r>
        <w:rPr>
          <w:spacing w:val="-27"/>
        </w:rPr>
        <w:t>）</w:t>
      </w:r>
      <w:r>
        <w:rPr>
          <w:spacing w:val="-56"/>
        </w:rPr>
        <w:t>》</w:t>
      </w:r>
      <w:r>
        <w:rPr>
          <w:spacing w:val="-3"/>
        </w:rPr>
        <w:t>（</w:t>
      </w:r>
      <w:r>
        <w:rPr>
          <w:rFonts w:ascii="Times New Roman" w:hAnsi="Times New Roman" w:eastAsia="Times New Roman"/>
          <w:spacing w:val="-3"/>
        </w:rPr>
        <w:t>HJ964-2018</w:t>
      </w:r>
      <w:r>
        <w:rPr>
          <w:spacing w:val="-3"/>
        </w:rPr>
        <w:t>）</w:t>
      </w:r>
      <w:r>
        <w:rPr>
          <w:spacing w:val="-19"/>
        </w:rPr>
        <w:t>附录</w:t>
      </w:r>
      <w:r>
        <w:rPr>
          <w:rFonts w:ascii="Times New Roman" w:hAnsi="Times New Roman" w:eastAsia="Times New Roman"/>
          <w:spacing w:val="-6"/>
        </w:rPr>
        <w:t>A</w:t>
      </w:r>
      <w:r>
        <w:rPr>
          <w:spacing w:val="-6"/>
        </w:rPr>
        <w:t>，</w:t>
      </w:r>
      <w:r>
        <w:rPr>
          <w:spacing w:val="-5"/>
        </w:rPr>
        <w:t>本项目属于Ⅲ类项目，由表</w:t>
      </w:r>
      <w:r>
        <w:rPr>
          <w:rFonts w:ascii="Times New Roman" w:hAnsi="Times New Roman" w:eastAsia="Times New Roman"/>
        </w:rPr>
        <w:t>2.6-10</w:t>
      </w:r>
      <w:r>
        <w:t>可判定本次土壤环境影响评价等级为三级。</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18"/>
        <w:numPr>
          <w:ilvl w:val="3"/>
          <w:numId w:val="14"/>
        </w:numPr>
        <w:tabs>
          <w:tab w:val="left" w:pos="1621"/>
        </w:tabs>
        <w:spacing w:before="143" w:after="0" w:line="240" w:lineRule="auto"/>
        <w:ind w:left="1621" w:right="0" w:hanging="601"/>
        <w:jc w:val="left"/>
        <w:rPr>
          <w:sz w:val="24"/>
        </w:rPr>
      </w:pPr>
      <w:r>
        <w:rPr>
          <w:sz w:val="24"/>
        </w:rPr>
        <w:t>生态环境影响评价工作等级</w:t>
      </w:r>
    </w:p>
    <w:p>
      <w:pPr>
        <w:pStyle w:val="7"/>
        <w:spacing w:before="160" w:line="364" w:lineRule="auto"/>
        <w:ind w:right="455" w:firstLine="480"/>
        <w:rPr>
          <w:color w:val="0000FF"/>
        </w:rPr>
      </w:pPr>
      <w:r>
        <w:rPr>
          <w:color w:val="0000FF"/>
          <w:spacing w:val="-5"/>
        </w:rPr>
        <w:t>依据生态影响评价工作等级划分的原则，本项目属于新建项目，占地面积为</w:t>
      </w:r>
      <w:r>
        <w:rPr>
          <w:rFonts w:hint="eastAsia" w:ascii="Times New Roman" w:hAnsi="Times New Roman" w:cs="Times New Roman"/>
          <w:color w:val="0000FF"/>
          <w:sz w:val="24"/>
          <w:lang w:val="en-US" w:eastAsia="zh-CN"/>
        </w:rPr>
        <w:t>2.073</w:t>
      </w:r>
      <w:r>
        <w:rPr>
          <w:rFonts w:hint="eastAsia" w:ascii="Times New Roman" w:hAnsi="Times New Roman" w:eastAsia="宋体" w:cs="Times New Roman"/>
          <w:color w:val="0000FF"/>
          <w:sz w:val="24"/>
          <w:lang w:val="en-US" w:eastAsia="zh-CN"/>
        </w:rPr>
        <w:t>hm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vertAlign w:val="baseline"/>
          <w:lang w:val="en-US" w:eastAsia="zh-CN"/>
        </w:rPr>
        <w:t>（</w:t>
      </w:r>
      <w:r>
        <w:rPr>
          <w:rFonts w:hint="eastAsia" w:ascii="Times New Roman" w:hAnsi="Times New Roman" w:cs="Times New Roman"/>
          <w:color w:val="0000FF"/>
          <w:sz w:val="24"/>
          <w:vertAlign w:val="baseline"/>
          <w:lang w:val="en-US" w:eastAsia="zh-CN"/>
        </w:rPr>
        <w:t>31.095</w:t>
      </w:r>
      <w:r>
        <w:rPr>
          <w:rFonts w:hint="eastAsia" w:ascii="Times New Roman" w:hAnsi="Times New Roman" w:eastAsia="宋体" w:cs="Times New Roman"/>
          <w:color w:val="0000FF"/>
          <w:sz w:val="24"/>
          <w:vertAlign w:val="baseline"/>
          <w:lang w:val="en-US" w:eastAsia="zh-CN"/>
        </w:rPr>
        <w:t>亩</w:t>
      </w:r>
      <w:r>
        <w:rPr>
          <w:rFonts w:hint="eastAsia" w:ascii="Times New Roman" w:hAnsi="Times New Roman" w:cs="Times New Roman"/>
          <w:color w:val="0000FF"/>
          <w:sz w:val="24"/>
          <w:vertAlign w:val="baseline"/>
          <w:lang w:val="en-US" w:eastAsia="zh-CN"/>
        </w:rPr>
        <w:t>）</w:t>
      </w:r>
      <w:r>
        <w:rPr>
          <w:rFonts w:ascii="Times New Roman" w:hAnsi="Times New Roman" w:eastAsia="Times New Roman"/>
          <w:color w:val="0000FF"/>
        </w:rPr>
        <w:t>&lt;2km</w:t>
      </w:r>
      <w:r>
        <w:rPr>
          <w:rFonts w:ascii="Times New Roman" w:hAnsi="Times New Roman" w:eastAsia="Times New Roman"/>
          <w:color w:val="0000FF"/>
          <w:position w:val="8"/>
          <w:sz w:val="15"/>
        </w:rPr>
        <w:t>2</w:t>
      </w:r>
      <w:r>
        <w:rPr>
          <w:color w:val="0000FF"/>
        </w:rPr>
        <w:t>，项目区不涉及特殊及重要生态敏感区，占地类型为</w:t>
      </w:r>
      <w:r>
        <w:rPr>
          <w:color w:val="0000FF"/>
          <w:spacing w:val="-25"/>
        </w:rPr>
        <w:t>设施农用地，区域生态敏感性属于“一般区域”，根据《环境影响评价技术导则</w:t>
      </w:r>
      <w:r>
        <w:rPr>
          <w:rFonts w:ascii="Times New Roman" w:hAnsi="Times New Roman" w:eastAsia="Times New Roman"/>
          <w:color w:val="0000FF"/>
        </w:rPr>
        <w:t>·</w:t>
      </w:r>
      <w:r>
        <w:rPr>
          <w:color w:val="0000FF"/>
        </w:rPr>
        <w:t>生</w:t>
      </w:r>
      <w:r>
        <w:rPr>
          <w:color w:val="0000FF"/>
          <w:spacing w:val="-8"/>
        </w:rPr>
        <w:t>态影响》</w:t>
      </w:r>
      <w:r>
        <w:rPr>
          <w:color w:val="0000FF"/>
          <w:spacing w:val="-4"/>
        </w:rPr>
        <w:t>（</w:t>
      </w:r>
      <w:r>
        <w:rPr>
          <w:rFonts w:ascii="Times New Roman" w:hAnsi="Times New Roman" w:eastAsia="Times New Roman"/>
          <w:color w:val="0000FF"/>
          <w:spacing w:val="-4"/>
        </w:rPr>
        <w:t>HJ19-2011</w:t>
      </w:r>
      <w:r>
        <w:rPr>
          <w:color w:val="0000FF"/>
          <w:spacing w:val="-4"/>
        </w:rPr>
        <w:t>），并结合项目特点，本次生态影响评价工作等级为三级，</w:t>
      </w:r>
      <w:r>
        <w:rPr>
          <w:color w:val="0000FF"/>
          <w:spacing w:val="-7"/>
        </w:rPr>
        <w:t>具体判断依据见表</w:t>
      </w:r>
      <w:r>
        <w:rPr>
          <w:rFonts w:ascii="Times New Roman" w:hAnsi="Times New Roman" w:eastAsia="Times New Roman"/>
          <w:color w:val="0000FF"/>
        </w:rPr>
        <w:t>2.6-11</w:t>
      </w:r>
      <w:r>
        <w:rPr>
          <w:color w:val="0000FF"/>
        </w:rPr>
        <w:t>所示。</w:t>
      </w:r>
    </w:p>
    <w:p>
      <w:pPr>
        <w:pStyle w:val="7"/>
        <w:bidi w:val="0"/>
        <w:jc w:val="center"/>
      </w:pPr>
      <w:r>
        <w:t>表</w:t>
      </w:r>
      <w:r>
        <w:rPr>
          <w:rFonts w:ascii="Times New Roman" w:eastAsia="Times New Roman"/>
        </w:rPr>
        <w:t>2.6-11</w:t>
      </w:r>
      <w:r>
        <w:rPr>
          <w:rFonts w:ascii="Times New Roman" w:eastAsia="Times New Roman"/>
        </w:rPr>
        <w:tab/>
      </w:r>
      <w:r>
        <w:t>生态影响评价工作等级划分表</w:t>
      </w:r>
    </w:p>
    <w:tbl>
      <w:tblPr>
        <w:tblStyle w:val="15"/>
        <w:tblW w:w="0" w:type="auto"/>
        <w:tblInd w:w="5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7"/>
        <w:gridCol w:w="2130"/>
        <w:gridCol w:w="2131"/>
        <w:gridCol w:w="20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27" w:type="dxa"/>
            <w:vMerge w:val="restart"/>
          </w:tcPr>
          <w:p>
            <w:pPr>
              <w:pStyle w:val="19"/>
              <w:spacing w:before="5"/>
              <w:jc w:val="left"/>
              <w:rPr>
                <w:b/>
                <w:sz w:val="28"/>
              </w:rPr>
            </w:pPr>
          </w:p>
          <w:p>
            <w:pPr>
              <w:pStyle w:val="19"/>
              <w:ind w:left="66"/>
              <w:jc w:val="left"/>
              <w:rPr>
                <w:b/>
                <w:sz w:val="21"/>
              </w:rPr>
            </w:pPr>
            <w:r>
              <w:rPr>
                <w:b/>
                <w:sz w:val="21"/>
              </w:rPr>
              <w:t>影响区域生态敏感性</w:t>
            </w:r>
          </w:p>
        </w:tc>
        <w:tc>
          <w:tcPr>
            <w:tcW w:w="6283" w:type="dxa"/>
            <w:gridSpan w:val="3"/>
          </w:tcPr>
          <w:p>
            <w:pPr>
              <w:pStyle w:val="19"/>
              <w:spacing w:before="26"/>
              <w:ind w:left="2489" w:right="2478"/>
              <w:rPr>
                <w:b/>
                <w:sz w:val="21"/>
              </w:rPr>
            </w:pPr>
            <w:r>
              <w:rPr>
                <w:b/>
                <w:sz w:val="21"/>
              </w:rPr>
              <w:t>工程占地范围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2027" w:type="dxa"/>
            <w:vMerge w:val="continue"/>
            <w:tcBorders>
              <w:top w:val="nil"/>
            </w:tcBorders>
          </w:tcPr>
          <w:p>
            <w:pPr>
              <w:rPr>
                <w:sz w:val="2"/>
                <w:szCs w:val="2"/>
              </w:rPr>
            </w:pPr>
          </w:p>
        </w:tc>
        <w:tc>
          <w:tcPr>
            <w:tcW w:w="2130" w:type="dxa"/>
          </w:tcPr>
          <w:p>
            <w:pPr>
              <w:pStyle w:val="19"/>
              <w:spacing w:before="98" w:line="213" w:lineRule="auto"/>
              <w:ind w:left="341" w:right="289" w:firstLine="124"/>
              <w:jc w:val="left"/>
              <w:rPr>
                <w:rFonts w:ascii="Times New Roman" w:hAnsi="Times New Roman" w:eastAsia="Times New Roman"/>
                <w:b/>
                <w:sz w:val="21"/>
              </w:rPr>
            </w:pPr>
            <w:r>
              <w:rPr>
                <w:b/>
                <w:sz w:val="21"/>
              </w:rPr>
              <w:t>面积≥</w:t>
            </w:r>
            <w:r>
              <w:rPr>
                <w:rFonts w:ascii="Times New Roman" w:hAnsi="Times New Roman" w:eastAsia="Times New Roman"/>
                <w:b/>
                <w:sz w:val="21"/>
              </w:rPr>
              <w:t>20km</w:t>
            </w:r>
            <w:r>
              <w:rPr>
                <w:rFonts w:ascii="Times New Roman" w:hAnsi="Times New Roman" w:eastAsia="Times New Roman"/>
                <w:b/>
                <w:position w:val="7"/>
                <w:sz w:val="13"/>
              </w:rPr>
              <w:t>2</w:t>
            </w:r>
            <w:r>
              <w:rPr>
                <w:b/>
                <w:sz w:val="21"/>
              </w:rPr>
              <w:t>或长度≥</w:t>
            </w:r>
            <w:r>
              <w:rPr>
                <w:rFonts w:ascii="Times New Roman" w:hAnsi="Times New Roman" w:eastAsia="Times New Roman"/>
                <w:b/>
                <w:sz w:val="21"/>
              </w:rPr>
              <w:t>100km</w:t>
            </w:r>
          </w:p>
        </w:tc>
        <w:tc>
          <w:tcPr>
            <w:tcW w:w="2131" w:type="dxa"/>
          </w:tcPr>
          <w:p>
            <w:pPr>
              <w:pStyle w:val="19"/>
              <w:spacing w:before="98" w:line="213" w:lineRule="auto"/>
              <w:ind w:left="169" w:right="12" w:hanging="84"/>
              <w:jc w:val="left"/>
              <w:rPr>
                <w:rFonts w:ascii="Times New Roman" w:eastAsia="Times New Roman"/>
                <w:b/>
                <w:sz w:val="21"/>
              </w:rPr>
            </w:pPr>
            <w:r>
              <w:rPr>
                <w:b/>
                <w:sz w:val="21"/>
              </w:rPr>
              <w:t>面积</w:t>
            </w:r>
            <w:r>
              <w:rPr>
                <w:rFonts w:ascii="Times New Roman" w:eastAsia="Times New Roman"/>
                <w:b/>
                <w:sz w:val="21"/>
              </w:rPr>
              <w:t>2km</w:t>
            </w:r>
            <w:r>
              <w:rPr>
                <w:rFonts w:ascii="Times New Roman" w:eastAsia="Times New Roman"/>
                <w:b/>
                <w:position w:val="7"/>
                <w:sz w:val="13"/>
              </w:rPr>
              <w:t>2</w:t>
            </w:r>
            <w:r>
              <w:rPr>
                <w:b/>
                <w:sz w:val="21"/>
              </w:rPr>
              <w:t>～</w:t>
            </w:r>
            <w:r>
              <w:rPr>
                <w:rFonts w:ascii="Times New Roman" w:eastAsia="Times New Roman"/>
                <w:b/>
                <w:sz w:val="21"/>
              </w:rPr>
              <w:t>20km</w:t>
            </w:r>
            <w:r>
              <w:rPr>
                <w:rFonts w:ascii="Times New Roman" w:eastAsia="Times New Roman"/>
                <w:b/>
                <w:position w:val="7"/>
                <w:sz w:val="13"/>
              </w:rPr>
              <w:t>2</w:t>
            </w:r>
            <w:r>
              <w:rPr>
                <w:b/>
                <w:sz w:val="21"/>
              </w:rPr>
              <w:t>或长度</w:t>
            </w:r>
            <w:r>
              <w:rPr>
                <w:rFonts w:ascii="Times New Roman" w:eastAsia="Times New Roman"/>
                <w:b/>
                <w:sz w:val="21"/>
              </w:rPr>
              <w:t>50km</w:t>
            </w:r>
            <w:r>
              <w:rPr>
                <w:b/>
                <w:sz w:val="21"/>
              </w:rPr>
              <w:t>～</w:t>
            </w:r>
            <w:r>
              <w:rPr>
                <w:rFonts w:ascii="Times New Roman" w:eastAsia="Times New Roman"/>
                <w:b/>
                <w:sz w:val="21"/>
              </w:rPr>
              <w:t>100km</w:t>
            </w:r>
          </w:p>
        </w:tc>
        <w:tc>
          <w:tcPr>
            <w:tcW w:w="2022" w:type="dxa"/>
          </w:tcPr>
          <w:p>
            <w:pPr>
              <w:pStyle w:val="19"/>
              <w:spacing w:before="98" w:line="213" w:lineRule="auto"/>
              <w:ind w:left="340" w:right="326" w:firstLine="122"/>
              <w:jc w:val="left"/>
              <w:rPr>
                <w:rFonts w:ascii="Times New Roman" w:hAnsi="Times New Roman" w:eastAsia="Times New Roman"/>
                <w:b/>
                <w:sz w:val="21"/>
              </w:rPr>
            </w:pPr>
            <w:r>
              <w:rPr>
                <w:b/>
                <w:sz w:val="21"/>
              </w:rPr>
              <w:t>面积≤</w:t>
            </w:r>
            <w:r>
              <w:rPr>
                <w:rFonts w:ascii="Times New Roman" w:hAnsi="Times New Roman" w:eastAsia="Times New Roman"/>
                <w:b/>
                <w:sz w:val="21"/>
              </w:rPr>
              <w:t>2km</w:t>
            </w:r>
            <w:r>
              <w:rPr>
                <w:rFonts w:ascii="Times New Roman" w:hAnsi="Times New Roman" w:eastAsia="Times New Roman"/>
                <w:b/>
                <w:position w:val="7"/>
                <w:sz w:val="13"/>
              </w:rPr>
              <w:t>2</w:t>
            </w:r>
            <w:r>
              <w:rPr>
                <w:b/>
                <w:sz w:val="21"/>
              </w:rPr>
              <w:t>或长度≤</w:t>
            </w:r>
            <w:r>
              <w:rPr>
                <w:rFonts w:ascii="Times New Roman" w:hAnsi="Times New Roman" w:eastAsia="Times New Roman"/>
                <w:b/>
                <w:sz w:val="21"/>
              </w:rPr>
              <w:t>50km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27" w:type="dxa"/>
          </w:tcPr>
          <w:p>
            <w:pPr>
              <w:pStyle w:val="19"/>
              <w:spacing w:before="27"/>
              <w:ind w:left="257" w:right="250"/>
              <w:rPr>
                <w:sz w:val="21"/>
              </w:rPr>
            </w:pPr>
            <w:r>
              <w:rPr>
                <w:sz w:val="21"/>
              </w:rPr>
              <w:t>特殊生态敏感区</w:t>
            </w:r>
          </w:p>
        </w:tc>
        <w:tc>
          <w:tcPr>
            <w:tcW w:w="2130" w:type="dxa"/>
          </w:tcPr>
          <w:p>
            <w:pPr>
              <w:pStyle w:val="19"/>
              <w:spacing w:before="27"/>
              <w:ind w:right="845"/>
              <w:jc w:val="right"/>
              <w:rPr>
                <w:sz w:val="21"/>
              </w:rPr>
            </w:pPr>
            <w:r>
              <w:rPr>
                <w:w w:val="95"/>
                <w:sz w:val="21"/>
              </w:rPr>
              <w:t>一级</w:t>
            </w:r>
          </w:p>
        </w:tc>
        <w:tc>
          <w:tcPr>
            <w:tcW w:w="2131" w:type="dxa"/>
          </w:tcPr>
          <w:p>
            <w:pPr>
              <w:pStyle w:val="19"/>
              <w:spacing w:before="27"/>
              <w:ind w:left="25" w:right="22"/>
              <w:rPr>
                <w:sz w:val="21"/>
              </w:rPr>
            </w:pPr>
            <w:r>
              <w:rPr>
                <w:sz w:val="21"/>
              </w:rPr>
              <w:t>一级</w:t>
            </w:r>
          </w:p>
        </w:tc>
        <w:tc>
          <w:tcPr>
            <w:tcW w:w="2022" w:type="dxa"/>
          </w:tcPr>
          <w:p>
            <w:pPr>
              <w:pStyle w:val="19"/>
              <w:spacing w:before="27"/>
              <w:ind w:left="779" w:right="772"/>
              <w:rPr>
                <w:sz w:val="21"/>
              </w:rPr>
            </w:pPr>
            <w:r>
              <w:rPr>
                <w:sz w:val="21"/>
              </w:rPr>
              <w:t>一级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27" w:type="dxa"/>
          </w:tcPr>
          <w:p>
            <w:pPr>
              <w:pStyle w:val="19"/>
              <w:spacing w:before="28"/>
              <w:ind w:left="257" w:right="250"/>
              <w:rPr>
                <w:sz w:val="21"/>
              </w:rPr>
            </w:pPr>
            <w:r>
              <w:rPr>
                <w:sz w:val="21"/>
              </w:rPr>
              <w:t>重要生态敏感区</w:t>
            </w:r>
          </w:p>
        </w:tc>
        <w:tc>
          <w:tcPr>
            <w:tcW w:w="2130" w:type="dxa"/>
          </w:tcPr>
          <w:p>
            <w:pPr>
              <w:pStyle w:val="19"/>
              <w:spacing w:before="28"/>
              <w:ind w:right="845"/>
              <w:jc w:val="right"/>
              <w:rPr>
                <w:sz w:val="21"/>
              </w:rPr>
            </w:pPr>
            <w:r>
              <w:rPr>
                <w:w w:val="95"/>
                <w:sz w:val="21"/>
              </w:rPr>
              <w:t>一级</w:t>
            </w:r>
          </w:p>
        </w:tc>
        <w:tc>
          <w:tcPr>
            <w:tcW w:w="2131" w:type="dxa"/>
          </w:tcPr>
          <w:p>
            <w:pPr>
              <w:pStyle w:val="19"/>
              <w:spacing w:before="28"/>
              <w:ind w:left="25" w:right="22"/>
              <w:rPr>
                <w:sz w:val="21"/>
              </w:rPr>
            </w:pPr>
            <w:r>
              <w:rPr>
                <w:sz w:val="21"/>
              </w:rPr>
              <w:t>二级</w:t>
            </w:r>
          </w:p>
        </w:tc>
        <w:tc>
          <w:tcPr>
            <w:tcW w:w="2022" w:type="dxa"/>
          </w:tcPr>
          <w:p>
            <w:pPr>
              <w:pStyle w:val="19"/>
              <w:spacing w:before="28"/>
              <w:ind w:left="779" w:right="772"/>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027" w:type="dxa"/>
          </w:tcPr>
          <w:p>
            <w:pPr>
              <w:pStyle w:val="19"/>
              <w:spacing w:before="26"/>
              <w:ind w:left="255" w:right="250"/>
              <w:rPr>
                <w:sz w:val="21"/>
              </w:rPr>
            </w:pPr>
            <w:r>
              <w:rPr>
                <w:sz w:val="21"/>
              </w:rPr>
              <w:t>一般区域</w:t>
            </w:r>
          </w:p>
        </w:tc>
        <w:tc>
          <w:tcPr>
            <w:tcW w:w="2130" w:type="dxa"/>
          </w:tcPr>
          <w:p>
            <w:pPr>
              <w:pStyle w:val="19"/>
              <w:spacing w:before="26"/>
              <w:ind w:right="845"/>
              <w:jc w:val="right"/>
              <w:rPr>
                <w:sz w:val="21"/>
              </w:rPr>
            </w:pPr>
            <w:r>
              <w:rPr>
                <w:w w:val="95"/>
                <w:sz w:val="21"/>
              </w:rPr>
              <w:t>二级</w:t>
            </w:r>
          </w:p>
        </w:tc>
        <w:tc>
          <w:tcPr>
            <w:tcW w:w="2131" w:type="dxa"/>
          </w:tcPr>
          <w:p>
            <w:pPr>
              <w:pStyle w:val="19"/>
              <w:spacing w:before="26"/>
              <w:ind w:left="25" w:right="22"/>
              <w:rPr>
                <w:sz w:val="21"/>
              </w:rPr>
            </w:pPr>
            <w:r>
              <w:rPr>
                <w:sz w:val="21"/>
              </w:rPr>
              <w:t>三级</w:t>
            </w:r>
          </w:p>
        </w:tc>
        <w:tc>
          <w:tcPr>
            <w:tcW w:w="2022" w:type="dxa"/>
          </w:tcPr>
          <w:p>
            <w:pPr>
              <w:pStyle w:val="19"/>
              <w:spacing w:before="26"/>
              <w:ind w:left="779" w:right="772"/>
              <w:rPr>
                <w:sz w:val="21"/>
              </w:rPr>
            </w:pPr>
            <w:r>
              <w:rPr>
                <w:sz w:val="21"/>
              </w:rPr>
              <w:t>三级</w:t>
            </w:r>
          </w:p>
        </w:tc>
      </w:tr>
    </w:tbl>
    <w:p>
      <w:pPr>
        <w:pStyle w:val="7"/>
        <w:spacing w:before="6"/>
        <w:ind w:left="0"/>
        <w:rPr>
          <w:b/>
          <w:sz w:val="18"/>
        </w:rPr>
      </w:pPr>
    </w:p>
    <w:p>
      <w:pPr>
        <w:pStyle w:val="7"/>
        <w:ind w:left="1020"/>
      </w:pPr>
      <w:r>
        <w:t>（</w:t>
      </w:r>
      <w:r>
        <w:rPr>
          <w:rFonts w:ascii="Times New Roman" w:eastAsia="Times New Roman"/>
        </w:rPr>
        <w:t>6</w:t>
      </w:r>
      <w:r>
        <w:t>）风险评价工作等级</w:t>
      </w:r>
    </w:p>
    <w:p>
      <w:pPr>
        <w:pStyle w:val="7"/>
        <w:spacing w:before="161" w:line="364" w:lineRule="auto"/>
        <w:ind w:right="572" w:firstLine="480"/>
        <w:jc w:val="both"/>
      </w:pPr>
      <w:r>
        <w:rPr>
          <w:spacing w:val="-7"/>
        </w:rPr>
        <w:t>根据《建设项目环境风险评价技术导则》</w:t>
      </w:r>
      <w:r>
        <w:t>（</w:t>
      </w:r>
      <w:r>
        <w:rPr>
          <w:rFonts w:ascii="Times New Roman" w:eastAsia="Times New Roman"/>
        </w:rPr>
        <w:t>HJ169-2018</w:t>
      </w:r>
      <w:r>
        <w:t>）</w:t>
      </w:r>
      <w:r>
        <w:rPr>
          <w:spacing w:val="-2"/>
        </w:rPr>
        <w:t>中对评价工作等级</w:t>
      </w:r>
      <w:r>
        <w:rPr>
          <w:spacing w:val="-8"/>
        </w:rPr>
        <w:t>确定的规定，环境风险评价工作等级划分为一级、二级、三级，根据建设项目设</w:t>
      </w:r>
      <w:r>
        <w:t>计的物质及工艺系统危险性和所在地的环境敏感性确定环境风险潜势，按照表</w:t>
      </w:r>
      <w:r>
        <w:rPr>
          <w:rFonts w:ascii="Times New Roman" w:eastAsia="Times New Roman"/>
        </w:rPr>
        <w:t>2.6-12</w:t>
      </w:r>
      <w:r>
        <w:t>确定评价工作等级。</w:t>
      </w:r>
    </w:p>
    <w:p>
      <w:pPr>
        <w:pStyle w:val="7"/>
        <w:bidi w:val="0"/>
        <w:jc w:val="center"/>
      </w:pPr>
      <w:r>
        <w:t>表</w:t>
      </w:r>
      <w:r>
        <w:rPr>
          <w:rFonts w:ascii="Times New Roman" w:eastAsia="Times New Roman"/>
        </w:rPr>
        <w:t>2.6-12</w:t>
      </w:r>
      <w:r>
        <w:rPr>
          <w:rFonts w:ascii="Times New Roman" w:eastAsia="Times New Roman"/>
        </w:rPr>
        <w:tab/>
      </w:r>
      <w:r>
        <w:t>环境风险评价工作等级划分表</w:t>
      </w:r>
    </w:p>
    <w:tbl>
      <w:tblPr>
        <w:tblStyle w:val="15"/>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0"/>
        <w:gridCol w:w="1712"/>
        <w:gridCol w:w="1712"/>
        <w:gridCol w:w="1712"/>
        <w:gridCol w:w="1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0" w:type="dxa"/>
          </w:tcPr>
          <w:p>
            <w:pPr>
              <w:pStyle w:val="19"/>
              <w:spacing w:before="34"/>
              <w:ind w:left="95" w:right="89"/>
              <w:rPr>
                <w:sz w:val="21"/>
              </w:rPr>
            </w:pPr>
            <w:r>
              <w:rPr>
                <w:sz w:val="21"/>
              </w:rPr>
              <w:t>环境风险潜势</w:t>
            </w:r>
          </w:p>
        </w:tc>
        <w:tc>
          <w:tcPr>
            <w:tcW w:w="1712" w:type="dxa"/>
          </w:tcPr>
          <w:p>
            <w:pPr>
              <w:pStyle w:val="19"/>
              <w:spacing w:before="34"/>
              <w:ind w:left="334" w:right="323"/>
              <w:rPr>
                <w:rFonts w:ascii="Times New Roman" w:hAnsi="Times New Roman" w:eastAsia="Times New Roman"/>
                <w:sz w:val="13"/>
              </w:rPr>
            </w:pPr>
            <w:r>
              <w:rPr>
                <w:sz w:val="21"/>
              </w:rPr>
              <w:t>Ⅳ、Ⅵ</w:t>
            </w:r>
            <w:r>
              <w:rPr>
                <w:rFonts w:ascii="Times New Roman" w:hAnsi="Times New Roman" w:eastAsia="Times New Roman"/>
                <w:position w:val="7"/>
                <w:sz w:val="13"/>
              </w:rPr>
              <w:t>+</w:t>
            </w:r>
          </w:p>
        </w:tc>
        <w:tc>
          <w:tcPr>
            <w:tcW w:w="1712" w:type="dxa"/>
          </w:tcPr>
          <w:p>
            <w:pPr>
              <w:pStyle w:val="19"/>
              <w:spacing w:before="34"/>
              <w:ind w:left="9"/>
              <w:rPr>
                <w:sz w:val="21"/>
              </w:rPr>
            </w:pPr>
            <w:r>
              <w:rPr>
                <w:w w:val="99"/>
                <w:sz w:val="21"/>
              </w:rPr>
              <w:t>Ⅲ</w:t>
            </w:r>
          </w:p>
        </w:tc>
        <w:tc>
          <w:tcPr>
            <w:tcW w:w="1712" w:type="dxa"/>
          </w:tcPr>
          <w:p>
            <w:pPr>
              <w:pStyle w:val="19"/>
              <w:spacing w:before="34"/>
              <w:ind w:left="8"/>
              <w:rPr>
                <w:sz w:val="21"/>
              </w:rPr>
            </w:pPr>
            <w:r>
              <w:rPr>
                <w:w w:val="99"/>
                <w:sz w:val="21"/>
              </w:rPr>
              <w:t>Ⅱ</w:t>
            </w:r>
          </w:p>
        </w:tc>
        <w:tc>
          <w:tcPr>
            <w:tcW w:w="1712" w:type="dxa"/>
          </w:tcPr>
          <w:p>
            <w:pPr>
              <w:pStyle w:val="19"/>
              <w:spacing w:before="34"/>
              <w:ind w:left="6"/>
              <w:rPr>
                <w:sz w:val="21"/>
              </w:rPr>
            </w:pPr>
            <w:r>
              <w:rPr>
                <w:w w:val="99"/>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0" w:type="dxa"/>
          </w:tcPr>
          <w:p>
            <w:pPr>
              <w:pStyle w:val="19"/>
              <w:spacing w:before="34"/>
              <w:ind w:left="95" w:right="89"/>
              <w:rPr>
                <w:sz w:val="21"/>
              </w:rPr>
            </w:pPr>
            <w:r>
              <w:rPr>
                <w:sz w:val="21"/>
              </w:rPr>
              <w:t>评价工作等级</w:t>
            </w:r>
          </w:p>
        </w:tc>
        <w:tc>
          <w:tcPr>
            <w:tcW w:w="1712" w:type="dxa"/>
          </w:tcPr>
          <w:p>
            <w:pPr>
              <w:pStyle w:val="19"/>
              <w:spacing w:before="34"/>
              <w:ind w:left="6"/>
              <w:rPr>
                <w:sz w:val="21"/>
              </w:rPr>
            </w:pPr>
            <w:r>
              <w:rPr>
                <w:w w:val="99"/>
                <w:sz w:val="21"/>
              </w:rPr>
              <w:t>一</w:t>
            </w:r>
          </w:p>
        </w:tc>
        <w:tc>
          <w:tcPr>
            <w:tcW w:w="1712" w:type="dxa"/>
          </w:tcPr>
          <w:p>
            <w:pPr>
              <w:pStyle w:val="19"/>
              <w:spacing w:before="34"/>
              <w:ind w:left="9"/>
              <w:rPr>
                <w:sz w:val="21"/>
              </w:rPr>
            </w:pPr>
            <w:r>
              <w:rPr>
                <w:w w:val="99"/>
                <w:sz w:val="21"/>
              </w:rPr>
              <w:t>二</w:t>
            </w:r>
          </w:p>
        </w:tc>
        <w:tc>
          <w:tcPr>
            <w:tcW w:w="1712" w:type="dxa"/>
          </w:tcPr>
          <w:p>
            <w:pPr>
              <w:pStyle w:val="19"/>
              <w:spacing w:before="34"/>
              <w:ind w:left="8"/>
              <w:rPr>
                <w:sz w:val="21"/>
              </w:rPr>
            </w:pPr>
            <w:r>
              <w:rPr>
                <w:w w:val="99"/>
                <w:sz w:val="21"/>
              </w:rPr>
              <w:t>三</w:t>
            </w:r>
          </w:p>
        </w:tc>
        <w:tc>
          <w:tcPr>
            <w:tcW w:w="1712" w:type="dxa"/>
          </w:tcPr>
          <w:p>
            <w:pPr>
              <w:pStyle w:val="19"/>
              <w:spacing w:before="34"/>
              <w:ind w:left="334" w:right="325"/>
              <w:rPr>
                <w:rFonts w:ascii="Times New Roman" w:eastAsia="Times New Roman"/>
                <w:sz w:val="13"/>
              </w:rPr>
            </w:pPr>
            <w:r>
              <w:rPr>
                <w:sz w:val="21"/>
              </w:rPr>
              <w:t>简单分析</w:t>
            </w:r>
            <w:r>
              <w:rPr>
                <w:rFonts w:ascii="Times New Roman" w:eastAsia="Times New Roman"/>
                <w:position w:val="7"/>
                <w:sz w:val="13"/>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98" w:type="dxa"/>
            <w:gridSpan w:val="5"/>
          </w:tcPr>
          <w:p>
            <w:pPr>
              <w:pStyle w:val="19"/>
              <w:spacing w:line="240" w:lineRule="exact"/>
              <w:ind w:left="107" w:right="29"/>
              <w:jc w:val="left"/>
              <w:rPr>
                <w:sz w:val="21"/>
              </w:rPr>
            </w:pPr>
            <w:r>
              <w:rPr>
                <w:rFonts w:ascii="Times New Roman" w:eastAsia="Times New Roman"/>
                <w:sz w:val="21"/>
              </w:rPr>
              <w:t>a</w:t>
            </w:r>
            <w:r>
              <w:rPr>
                <w:sz w:val="21"/>
              </w:rPr>
              <w:t>是相对于详细评价工作内容而言，在描述危险物质、环境影响途径、环境危险后果、风险防范措施等方面给出定性的说明。</w:t>
            </w:r>
          </w:p>
        </w:tc>
      </w:tr>
    </w:tbl>
    <w:p>
      <w:pPr>
        <w:pStyle w:val="7"/>
        <w:spacing w:before="6"/>
        <w:ind w:left="0"/>
        <w:rPr>
          <w:b/>
          <w:sz w:val="18"/>
        </w:rPr>
      </w:pPr>
    </w:p>
    <w:p>
      <w:pPr>
        <w:pStyle w:val="7"/>
        <w:spacing w:line="364" w:lineRule="auto"/>
        <w:ind w:right="485" w:firstLine="480"/>
      </w:pPr>
      <w:r>
        <w:t>根据建设项目涉及的物质和工艺系统的危险性及其所在地的环境敏感程度，结合事故情形下环境影响途径，对建设项目潜在环境危害程度进行概化分析，按照建设项目环境风险潜势划分依据进行确定，潜势划分依据见表</w:t>
      </w:r>
      <w:r>
        <w:rPr>
          <w:rFonts w:ascii="Times New Roman" w:eastAsia="Times New Roman"/>
        </w:rPr>
        <w:t>2.6-13</w:t>
      </w:r>
      <w:r>
        <w:t>。</w:t>
      </w:r>
    </w:p>
    <w:p>
      <w:pPr>
        <w:pStyle w:val="7"/>
        <w:bidi w:val="0"/>
        <w:jc w:val="center"/>
      </w:pPr>
      <w:r>
        <w:t>表</w:t>
      </w:r>
      <w:r>
        <w:rPr>
          <w:rFonts w:ascii="Times New Roman" w:eastAsia="Times New Roman"/>
        </w:rPr>
        <w:t>2.6-13</w:t>
      </w:r>
      <w:r>
        <w:rPr>
          <w:rFonts w:ascii="Times New Roman" w:eastAsia="Times New Roman"/>
        </w:rPr>
        <w:tab/>
      </w:r>
      <w:r>
        <w:t>建设项目环境风险潜势划分表</w:t>
      </w:r>
    </w:p>
    <w:tbl>
      <w:tblPr>
        <w:tblStyle w:val="15"/>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5"/>
        <w:gridCol w:w="1541"/>
        <w:gridCol w:w="1527"/>
        <w:gridCol w:w="1595"/>
        <w:gridCol w:w="1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225" w:type="dxa"/>
          </w:tcPr>
          <w:p>
            <w:pPr>
              <w:pStyle w:val="19"/>
              <w:spacing w:before="29"/>
              <w:ind w:left="31" w:right="24"/>
              <w:rPr>
                <w:sz w:val="21"/>
              </w:rPr>
            </w:pPr>
            <w:r>
              <w:rPr>
                <w:sz w:val="21"/>
              </w:rPr>
              <w:t>环境敏感程度（</w:t>
            </w:r>
            <w:r>
              <w:rPr>
                <w:rFonts w:ascii="Times New Roman" w:eastAsia="Times New Roman"/>
                <w:sz w:val="21"/>
              </w:rPr>
              <w:t>E</w:t>
            </w:r>
            <w:r>
              <w:rPr>
                <w:sz w:val="21"/>
              </w:rPr>
              <w:t>）</w:t>
            </w:r>
          </w:p>
        </w:tc>
        <w:tc>
          <w:tcPr>
            <w:tcW w:w="6273" w:type="dxa"/>
            <w:gridSpan w:val="4"/>
          </w:tcPr>
          <w:p>
            <w:pPr>
              <w:pStyle w:val="19"/>
              <w:spacing w:before="29"/>
              <w:ind w:left="1607"/>
              <w:jc w:val="left"/>
              <w:rPr>
                <w:sz w:val="21"/>
              </w:rPr>
            </w:pPr>
            <w:r>
              <w:rPr>
                <w:sz w:val="21"/>
              </w:rPr>
              <w:t>危害物质及工艺系统危害性（</w:t>
            </w:r>
            <w:r>
              <w:rPr>
                <w:rFonts w:ascii="Times New Roman" w:eastAsia="Times New Roman"/>
                <w:sz w:val="21"/>
              </w:rPr>
              <w:t>P</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225" w:type="dxa"/>
          </w:tcPr>
          <w:p>
            <w:pPr>
              <w:pStyle w:val="19"/>
              <w:spacing w:before="30"/>
              <w:ind w:left="31" w:right="24"/>
              <w:rPr>
                <w:sz w:val="21"/>
              </w:rPr>
            </w:pPr>
            <w:r>
              <w:rPr>
                <w:sz w:val="21"/>
              </w:rPr>
              <w:t>评价工作等级</w:t>
            </w:r>
          </w:p>
        </w:tc>
        <w:tc>
          <w:tcPr>
            <w:tcW w:w="1541" w:type="dxa"/>
          </w:tcPr>
          <w:p>
            <w:pPr>
              <w:pStyle w:val="19"/>
              <w:spacing w:before="30"/>
              <w:ind w:left="128" w:right="6"/>
              <w:rPr>
                <w:sz w:val="21"/>
              </w:rPr>
            </w:pPr>
            <w:r>
              <w:rPr>
                <w:spacing w:val="-13"/>
                <w:w w:val="95"/>
                <w:sz w:val="21"/>
              </w:rPr>
              <w:t>极高危害</w:t>
            </w:r>
            <w:r>
              <w:rPr>
                <w:w w:val="95"/>
                <w:sz w:val="21"/>
              </w:rPr>
              <w:t>（</w:t>
            </w:r>
            <w:r>
              <w:rPr>
                <w:rFonts w:ascii="Times New Roman" w:eastAsia="Times New Roman"/>
                <w:w w:val="95"/>
                <w:sz w:val="21"/>
              </w:rPr>
              <w:t>P1</w:t>
            </w:r>
            <w:r>
              <w:rPr>
                <w:w w:val="95"/>
                <w:sz w:val="21"/>
              </w:rPr>
              <w:t>）</w:t>
            </w:r>
          </w:p>
        </w:tc>
        <w:tc>
          <w:tcPr>
            <w:tcW w:w="1527" w:type="dxa"/>
          </w:tcPr>
          <w:p>
            <w:pPr>
              <w:pStyle w:val="19"/>
              <w:spacing w:before="30"/>
              <w:ind w:left="107" w:right="-15"/>
              <w:jc w:val="left"/>
              <w:rPr>
                <w:sz w:val="21"/>
              </w:rPr>
            </w:pPr>
            <w:r>
              <w:rPr>
                <w:spacing w:val="-16"/>
                <w:sz w:val="21"/>
              </w:rPr>
              <w:t>高度危害</w:t>
            </w:r>
            <w:r>
              <w:rPr>
                <w:sz w:val="21"/>
              </w:rPr>
              <w:t>（</w:t>
            </w:r>
            <w:r>
              <w:rPr>
                <w:rFonts w:ascii="Times New Roman" w:eastAsia="Times New Roman"/>
                <w:sz w:val="21"/>
              </w:rPr>
              <w:t>P2</w:t>
            </w:r>
            <w:r>
              <w:rPr>
                <w:sz w:val="21"/>
              </w:rPr>
              <w:t>）</w:t>
            </w:r>
          </w:p>
        </w:tc>
        <w:tc>
          <w:tcPr>
            <w:tcW w:w="1595" w:type="dxa"/>
          </w:tcPr>
          <w:p>
            <w:pPr>
              <w:pStyle w:val="19"/>
              <w:spacing w:before="30"/>
              <w:ind w:left="106" w:right="-15"/>
              <w:jc w:val="left"/>
              <w:rPr>
                <w:sz w:val="21"/>
              </w:rPr>
            </w:pPr>
            <w:r>
              <w:rPr>
                <w:sz w:val="21"/>
              </w:rPr>
              <w:t>中度危害（</w:t>
            </w:r>
            <w:r>
              <w:rPr>
                <w:rFonts w:ascii="Times New Roman" w:eastAsia="Times New Roman"/>
                <w:sz w:val="21"/>
              </w:rPr>
              <w:t>P3</w:t>
            </w:r>
            <w:r>
              <w:rPr>
                <w:sz w:val="21"/>
              </w:rPr>
              <w:t>）</w:t>
            </w:r>
          </w:p>
        </w:tc>
        <w:tc>
          <w:tcPr>
            <w:tcW w:w="1610" w:type="dxa"/>
          </w:tcPr>
          <w:p>
            <w:pPr>
              <w:pStyle w:val="19"/>
              <w:spacing w:before="30"/>
              <w:ind w:left="107"/>
              <w:jc w:val="left"/>
              <w:rPr>
                <w:sz w:val="21"/>
              </w:rPr>
            </w:pPr>
            <w:r>
              <w:rPr>
                <w:sz w:val="21"/>
              </w:rPr>
              <w:t>轻度危害（</w:t>
            </w:r>
            <w:r>
              <w:rPr>
                <w:rFonts w:ascii="Times New Roman" w:eastAsia="Times New Roman"/>
                <w:sz w:val="21"/>
              </w:rPr>
              <w:t>P4</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225" w:type="dxa"/>
          </w:tcPr>
          <w:p>
            <w:pPr>
              <w:pStyle w:val="19"/>
              <w:spacing w:before="30"/>
              <w:ind w:left="146" w:right="24"/>
              <w:rPr>
                <w:sz w:val="21"/>
              </w:rPr>
            </w:pPr>
            <w:r>
              <w:rPr>
                <w:spacing w:val="-2"/>
                <w:w w:val="95"/>
                <w:sz w:val="21"/>
              </w:rPr>
              <w:t>环境高度敏感区</w:t>
            </w:r>
            <w:r>
              <w:rPr>
                <w:w w:val="95"/>
                <w:sz w:val="21"/>
              </w:rPr>
              <w:t>（</w:t>
            </w:r>
            <w:r>
              <w:rPr>
                <w:rFonts w:ascii="Times New Roman" w:eastAsia="Times New Roman"/>
                <w:w w:val="95"/>
                <w:sz w:val="21"/>
              </w:rPr>
              <w:t>E1</w:t>
            </w:r>
            <w:r>
              <w:rPr>
                <w:w w:val="95"/>
                <w:sz w:val="21"/>
              </w:rPr>
              <w:t>）</w:t>
            </w:r>
          </w:p>
        </w:tc>
        <w:tc>
          <w:tcPr>
            <w:tcW w:w="1541" w:type="dxa"/>
          </w:tcPr>
          <w:p>
            <w:pPr>
              <w:pStyle w:val="19"/>
              <w:spacing w:before="31"/>
              <w:ind w:left="15" w:right="6"/>
              <w:rPr>
                <w:rFonts w:ascii="Times New Roman" w:hAnsi="Times New Roman"/>
                <w:sz w:val="13"/>
              </w:rPr>
            </w:pPr>
            <w:r>
              <w:rPr>
                <w:position w:val="-6"/>
                <w:sz w:val="21"/>
              </w:rPr>
              <w:t>Ⅵ</w:t>
            </w:r>
            <w:r>
              <w:rPr>
                <w:rFonts w:ascii="Times New Roman" w:hAnsi="Times New Roman"/>
                <w:sz w:val="13"/>
              </w:rPr>
              <w:t>+</w:t>
            </w:r>
          </w:p>
        </w:tc>
        <w:tc>
          <w:tcPr>
            <w:tcW w:w="1527" w:type="dxa"/>
          </w:tcPr>
          <w:p>
            <w:pPr>
              <w:pStyle w:val="19"/>
              <w:spacing w:before="30"/>
              <w:ind w:left="5"/>
              <w:rPr>
                <w:sz w:val="21"/>
              </w:rPr>
            </w:pPr>
            <w:r>
              <w:rPr>
                <w:w w:val="99"/>
                <w:sz w:val="21"/>
              </w:rPr>
              <w:t>Ⅳ</w:t>
            </w:r>
          </w:p>
        </w:tc>
        <w:tc>
          <w:tcPr>
            <w:tcW w:w="1595" w:type="dxa"/>
          </w:tcPr>
          <w:p>
            <w:pPr>
              <w:pStyle w:val="19"/>
              <w:spacing w:before="30"/>
              <w:ind w:left="8"/>
              <w:rPr>
                <w:sz w:val="21"/>
              </w:rPr>
            </w:pPr>
            <w:r>
              <w:rPr>
                <w:w w:val="99"/>
                <w:sz w:val="21"/>
              </w:rPr>
              <w:t>Ⅲ</w:t>
            </w:r>
          </w:p>
        </w:tc>
        <w:tc>
          <w:tcPr>
            <w:tcW w:w="1610" w:type="dxa"/>
          </w:tcPr>
          <w:p>
            <w:pPr>
              <w:pStyle w:val="19"/>
              <w:spacing w:before="30"/>
              <w:ind w:left="10"/>
              <w:rPr>
                <w:sz w:val="21"/>
              </w:rPr>
            </w:pPr>
            <w:r>
              <w:rPr>
                <w:w w:val="99"/>
                <w:sz w:val="21"/>
              </w:rPr>
              <w:t>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225" w:type="dxa"/>
          </w:tcPr>
          <w:p>
            <w:pPr>
              <w:pStyle w:val="19"/>
              <w:spacing w:before="29"/>
              <w:ind w:left="146" w:right="24"/>
              <w:rPr>
                <w:sz w:val="21"/>
              </w:rPr>
            </w:pPr>
            <w:r>
              <w:rPr>
                <w:spacing w:val="-2"/>
                <w:w w:val="95"/>
                <w:sz w:val="21"/>
              </w:rPr>
              <w:t>环境中度敏感区</w:t>
            </w:r>
            <w:r>
              <w:rPr>
                <w:w w:val="95"/>
                <w:sz w:val="21"/>
              </w:rPr>
              <w:t>（</w:t>
            </w:r>
            <w:r>
              <w:rPr>
                <w:rFonts w:ascii="Times New Roman" w:eastAsia="Times New Roman"/>
                <w:w w:val="95"/>
                <w:sz w:val="21"/>
              </w:rPr>
              <w:t>E2</w:t>
            </w:r>
            <w:r>
              <w:rPr>
                <w:w w:val="95"/>
                <w:sz w:val="21"/>
              </w:rPr>
              <w:t>）</w:t>
            </w:r>
          </w:p>
        </w:tc>
        <w:tc>
          <w:tcPr>
            <w:tcW w:w="1541" w:type="dxa"/>
          </w:tcPr>
          <w:p>
            <w:pPr>
              <w:pStyle w:val="19"/>
              <w:spacing w:before="29"/>
              <w:ind w:left="6"/>
              <w:rPr>
                <w:sz w:val="21"/>
              </w:rPr>
            </w:pPr>
            <w:r>
              <w:rPr>
                <w:w w:val="99"/>
                <w:sz w:val="21"/>
              </w:rPr>
              <w:t>Ⅳ</w:t>
            </w:r>
          </w:p>
        </w:tc>
        <w:tc>
          <w:tcPr>
            <w:tcW w:w="1527" w:type="dxa"/>
          </w:tcPr>
          <w:p>
            <w:pPr>
              <w:pStyle w:val="19"/>
              <w:spacing w:before="29"/>
              <w:ind w:left="5"/>
              <w:rPr>
                <w:sz w:val="21"/>
              </w:rPr>
            </w:pPr>
            <w:r>
              <w:rPr>
                <w:w w:val="99"/>
                <w:sz w:val="21"/>
              </w:rPr>
              <w:t>Ⅲ</w:t>
            </w:r>
          </w:p>
        </w:tc>
        <w:tc>
          <w:tcPr>
            <w:tcW w:w="1595" w:type="dxa"/>
          </w:tcPr>
          <w:p>
            <w:pPr>
              <w:pStyle w:val="19"/>
              <w:spacing w:before="29"/>
              <w:ind w:left="8"/>
              <w:rPr>
                <w:sz w:val="21"/>
              </w:rPr>
            </w:pPr>
            <w:r>
              <w:rPr>
                <w:w w:val="99"/>
                <w:sz w:val="21"/>
              </w:rPr>
              <w:t>Ⅲ</w:t>
            </w:r>
          </w:p>
        </w:tc>
        <w:tc>
          <w:tcPr>
            <w:tcW w:w="1610" w:type="dxa"/>
          </w:tcPr>
          <w:p>
            <w:pPr>
              <w:pStyle w:val="19"/>
              <w:spacing w:before="29"/>
              <w:ind w:left="10"/>
              <w:rPr>
                <w:sz w:val="21"/>
              </w:rPr>
            </w:pPr>
            <w:r>
              <w:rPr>
                <w:w w:val="99"/>
                <w:sz w:val="21"/>
              </w:rPr>
              <w:t>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225" w:type="dxa"/>
          </w:tcPr>
          <w:p>
            <w:pPr>
              <w:pStyle w:val="19"/>
              <w:spacing w:before="30"/>
              <w:ind w:left="146" w:right="24"/>
              <w:rPr>
                <w:sz w:val="21"/>
              </w:rPr>
            </w:pPr>
            <w:r>
              <w:rPr>
                <w:spacing w:val="-2"/>
                <w:w w:val="95"/>
                <w:sz w:val="21"/>
              </w:rPr>
              <w:t>环境低度敏感区</w:t>
            </w:r>
            <w:r>
              <w:rPr>
                <w:w w:val="95"/>
                <w:sz w:val="21"/>
              </w:rPr>
              <w:t>（</w:t>
            </w:r>
            <w:r>
              <w:rPr>
                <w:rFonts w:ascii="Times New Roman" w:eastAsia="Times New Roman"/>
                <w:w w:val="95"/>
                <w:sz w:val="21"/>
              </w:rPr>
              <w:t>E3</w:t>
            </w:r>
            <w:r>
              <w:rPr>
                <w:w w:val="95"/>
                <w:sz w:val="21"/>
              </w:rPr>
              <w:t>）</w:t>
            </w:r>
          </w:p>
        </w:tc>
        <w:tc>
          <w:tcPr>
            <w:tcW w:w="1541" w:type="dxa"/>
          </w:tcPr>
          <w:p>
            <w:pPr>
              <w:pStyle w:val="19"/>
              <w:spacing w:before="30"/>
              <w:ind w:left="6"/>
              <w:rPr>
                <w:sz w:val="21"/>
              </w:rPr>
            </w:pPr>
            <w:r>
              <w:rPr>
                <w:w w:val="99"/>
                <w:sz w:val="21"/>
              </w:rPr>
              <w:t>Ⅲ</w:t>
            </w:r>
          </w:p>
        </w:tc>
        <w:tc>
          <w:tcPr>
            <w:tcW w:w="1527" w:type="dxa"/>
          </w:tcPr>
          <w:p>
            <w:pPr>
              <w:pStyle w:val="19"/>
              <w:spacing w:before="30"/>
              <w:ind w:left="5"/>
              <w:rPr>
                <w:sz w:val="21"/>
              </w:rPr>
            </w:pPr>
            <w:r>
              <w:rPr>
                <w:w w:val="99"/>
                <w:sz w:val="21"/>
              </w:rPr>
              <w:t>Ⅲ</w:t>
            </w:r>
          </w:p>
        </w:tc>
        <w:tc>
          <w:tcPr>
            <w:tcW w:w="1595" w:type="dxa"/>
          </w:tcPr>
          <w:p>
            <w:pPr>
              <w:pStyle w:val="19"/>
              <w:spacing w:before="30"/>
              <w:ind w:left="8"/>
              <w:rPr>
                <w:sz w:val="21"/>
              </w:rPr>
            </w:pPr>
            <w:r>
              <w:rPr>
                <w:w w:val="99"/>
                <w:sz w:val="21"/>
              </w:rPr>
              <w:t>Ⅱ</w:t>
            </w:r>
          </w:p>
        </w:tc>
        <w:tc>
          <w:tcPr>
            <w:tcW w:w="1610" w:type="dxa"/>
          </w:tcPr>
          <w:p>
            <w:pPr>
              <w:pStyle w:val="19"/>
              <w:spacing w:before="30"/>
              <w:ind w:left="10"/>
              <w:rPr>
                <w:sz w:val="21"/>
              </w:rPr>
            </w:pPr>
            <w:r>
              <w:rPr>
                <w:w w:val="99"/>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498" w:type="dxa"/>
            <w:gridSpan w:val="5"/>
          </w:tcPr>
          <w:p>
            <w:pPr>
              <w:pStyle w:val="19"/>
              <w:spacing w:before="31"/>
              <w:ind w:left="107"/>
              <w:jc w:val="left"/>
              <w:rPr>
                <w:sz w:val="21"/>
              </w:rPr>
            </w:pPr>
            <w:r>
              <w:rPr>
                <w:sz w:val="21"/>
              </w:rPr>
              <w:t>注：Ⅵ</w:t>
            </w:r>
            <w:r>
              <w:rPr>
                <w:rFonts w:ascii="Times New Roman" w:hAnsi="Times New Roman" w:eastAsia="Times New Roman"/>
                <w:position w:val="7"/>
                <w:sz w:val="13"/>
              </w:rPr>
              <w:t>+</w:t>
            </w:r>
            <w:r>
              <w:rPr>
                <w:sz w:val="21"/>
              </w:rPr>
              <w:t>为极高环境风险</w:t>
            </w:r>
          </w:p>
        </w:tc>
      </w:tr>
    </w:tbl>
    <w:p>
      <w:pPr>
        <w:spacing w:after="0"/>
        <w:jc w:val="left"/>
        <w:rPr>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2" w:firstLine="480"/>
        <w:jc w:val="both"/>
      </w:pPr>
      <w:r>
        <w:rPr>
          <w:spacing w:val="-20"/>
        </w:rPr>
        <w:t>根据</w:t>
      </w:r>
      <w:r>
        <w:rPr>
          <w:rFonts w:ascii="Times New Roman" w:eastAsia="Times New Roman"/>
        </w:rPr>
        <w:t>HJ169-2018</w:t>
      </w:r>
      <w:r>
        <w:rPr>
          <w:spacing w:val="-20"/>
        </w:rPr>
        <w:t>附录</w:t>
      </w:r>
      <w:r>
        <w:rPr>
          <w:rFonts w:ascii="Times New Roman" w:eastAsia="Times New Roman"/>
        </w:rPr>
        <w:t>C</w:t>
      </w:r>
      <w:r>
        <w:rPr>
          <w:spacing w:val="-1"/>
        </w:rPr>
        <w:t>计算所涉及的每种危险物质在厂界内的最大存在总</w:t>
      </w:r>
      <w:r>
        <w:rPr>
          <w:spacing w:val="-7"/>
        </w:rPr>
        <w:t>量与其在附录</w:t>
      </w:r>
      <w:r>
        <w:rPr>
          <w:rFonts w:ascii="Times New Roman" w:eastAsia="Times New Roman"/>
        </w:rPr>
        <w:t>B</w:t>
      </w:r>
      <w:r>
        <w:rPr>
          <w:spacing w:val="-5"/>
        </w:rPr>
        <w:t>中对应临界量的比值</w:t>
      </w:r>
      <w:r>
        <w:rPr>
          <w:rFonts w:ascii="Times New Roman" w:eastAsia="Times New Roman"/>
          <w:spacing w:val="4"/>
        </w:rPr>
        <w:t>Q</w:t>
      </w:r>
      <w:r>
        <w:t>。在不同场区的同一种物质，按其在厂界内的最大存在总量计算。</w:t>
      </w:r>
    </w:p>
    <w:p>
      <w:pPr>
        <w:spacing w:before="54" w:line="349" w:lineRule="exact"/>
        <w:ind w:left="0" w:right="113" w:firstLine="0"/>
        <w:jc w:val="center"/>
        <w:rPr>
          <w:rFonts w:ascii="Times New Roman" w:hAnsi="Times New Roman"/>
          <w:sz w:val="14"/>
        </w:rPr>
      </w:pPr>
      <w:r>
        <w:pict>
          <v:line id="_x0000_s1060" o:spid="_x0000_s1060" o:spt="20" style="position:absolute;left:0pt;margin-left:265.25pt;margin-top:18.35pt;height:0pt;width:12.8pt;mso-position-horizontal-relative:page;z-index:251670528;mso-width-relative:page;mso-height-relative:page;" stroked="t" coordsize="21600,21600">
            <v:path arrowok="t"/>
            <v:fill focussize="0,0"/>
            <v:stroke weight="0.5pt" color="#000000"/>
            <v:imagedata o:title=""/>
            <o:lock v:ext="edit"/>
          </v:line>
        </w:pict>
      </w:r>
      <w:r>
        <w:pict>
          <v:line id="_x0000_s1061" o:spid="_x0000_s1061" o:spt="20" style="position:absolute;left:0pt;margin-left:289.55pt;margin-top:18.35pt;height:0pt;width:14.15pt;mso-position-horizontal-relative:page;z-index:251671552;mso-width-relative:page;mso-height-relative:page;" stroked="t" coordsize="21600,21600">
            <v:path arrowok="t"/>
            <v:fill focussize="0,0"/>
            <v:stroke weight="0.5pt" color="#000000"/>
            <v:imagedata o:title=""/>
            <o:lock v:ext="edit"/>
          </v:line>
        </w:pict>
      </w:r>
      <w:r>
        <w:pict>
          <v:line id="_x0000_s1062" o:spid="_x0000_s1062" o:spt="20" style="position:absolute;left:0pt;margin-left:336pt;margin-top:18.35pt;height:0pt;width:14.5pt;mso-position-horizontal-relative:page;z-index:251672576;mso-width-relative:page;mso-height-relative:page;" stroked="t" coordsize="21600,21600">
            <v:path arrowok="t"/>
            <v:fill focussize="0,0"/>
            <v:stroke weight="0.5pt" color="#000000"/>
            <v:imagedata o:title=""/>
            <o:lock v:ext="edit"/>
          </v:line>
        </w:pict>
      </w:r>
      <w:r>
        <w:rPr>
          <w:rFonts w:ascii="Times New Roman" w:hAnsi="Times New Roman"/>
          <w:i/>
          <w:sz w:val="24"/>
        </w:rPr>
        <w:t>Q</w:t>
      </w:r>
      <w:r>
        <w:rPr>
          <w:rFonts w:ascii="Symbol" w:hAnsi="Symbol"/>
          <w:sz w:val="24"/>
        </w:rPr>
        <w:t></w:t>
      </w:r>
      <w:r>
        <w:rPr>
          <w:rFonts w:ascii="Times New Roman" w:hAnsi="Times New Roman"/>
          <w:i/>
          <w:spacing w:val="-6"/>
          <w:position w:val="15"/>
          <w:sz w:val="24"/>
        </w:rPr>
        <w:t>q</w:t>
      </w:r>
      <w:r>
        <w:rPr>
          <w:rFonts w:ascii="Times New Roman" w:hAnsi="Times New Roman"/>
          <w:spacing w:val="-6"/>
          <w:position w:val="9"/>
          <w:sz w:val="14"/>
        </w:rPr>
        <w:t>1</w:t>
      </w:r>
      <w:r>
        <w:rPr>
          <w:rFonts w:ascii="Symbol" w:hAnsi="Symbol"/>
          <w:sz w:val="24"/>
        </w:rPr>
        <w:t></w:t>
      </w:r>
      <w:r>
        <w:rPr>
          <w:rFonts w:ascii="Times New Roman" w:hAnsi="Times New Roman"/>
          <w:i/>
          <w:position w:val="15"/>
          <w:sz w:val="24"/>
        </w:rPr>
        <w:t>q</w:t>
      </w:r>
      <w:r>
        <w:rPr>
          <w:rFonts w:ascii="Times New Roman" w:hAnsi="Times New Roman"/>
          <w:position w:val="9"/>
          <w:sz w:val="14"/>
        </w:rPr>
        <w:t>2</w:t>
      </w:r>
      <w:r>
        <w:rPr>
          <w:rFonts w:ascii="Symbol" w:hAnsi="Symbol"/>
          <w:spacing w:val="15"/>
          <w:sz w:val="24"/>
        </w:rPr>
        <w:t></w:t>
      </w:r>
      <w:r>
        <w:rPr>
          <w:rFonts w:ascii="MT Extra" w:hAnsi="MT Extra"/>
          <w:spacing w:val="15"/>
          <w:sz w:val="24"/>
        </w:rPr>
        <w:t></w:t>
      </w:r>
      <w:r>
        <w:rPr>
          <w:rFonts w:ascii="Symbol" w:hAnsi="Symbol"/>
          <w:spacing w:val="15"/>
          <w:sz w:val="24"/>
        </w:rPr>
        <w:t></w:t>
      </w:r>
      <w:r>
        <w:rPr>
          <w:rFonts w:ascii="Times New Roman" w:hAnsi="Times New Roman"/>
          <w:i/>
          <w:position w:val="15"/>
          <w:sz w:val="24"/>
        </w:rPr>
        <w:t>q</w:t>
      </w:r>
      <w:r>
        <w:rPr>
          <w:rFonts w:ascii="Times New Roman" w:hAnsi="Times New Roman"/>
          <w:position w:val="9"/>
          <w:sz w:val="14"/>
        </w:rPr>
        <w:t>n</w:t>
      </w:r>
    </w:p>
    <w:p>
      <w:pPr>
        <w:tabs>
          <w:tab w:val="left" w:pos="821"/>
          <w:tab w:val="left" w:pos="1749"/>
        </w:tabs>
        <w:spacing w:before="0" w:line="303" w:lineRule="exact"/>
        <w:ind w:left="335" w:right="0" w:firstLine="0"/>
        <w:jc w:val="center"/>
        <w:rPr>
          <w:rFonts w:ascii="Times New Roman"/>
          <w:sz w:val="14"/>
        </w:rPr>
      </w:pPr>
      <w:r>
        <w:rPr>
          <w:rFonts w:ascii="Times New Roman"/>
          <w:i/>
          <w:spacing w:val="-10"/>
          <w:sz w:val="24"/>
        </w:rPr>
        <w:t>Q</w:t>
      </w:r>
      <w:r>
        <w:rPr>
          <w:rFonts w:ascii="Times New Roman"/>
          <w:spacing w:val="-10"/>
          <w:position w:val="-5"/>
          <w:sz w:val="14"/>
        </w:rPr>
        <w:t>1</w:t>
      </w:r>
      <w:r>
        <w:rPr>
          <w:rFonts w:ascii="Times New Roman"/>
          <w:spacing w:val="-10"/>
          <w:position w:val="-5"/>
          <w:sz w:val="14"/>
        </w:rPr>
        <w:tab/>
      </w:r>
      <w:r>
        <w:rPr>
          <w:rFonts w:ascii="Times New Roman"/>
          <w:i/>
          <w:sz w:val="24"/>
        </w:rPr>
        <w:t>Q</w:t>
      </w:r>
      <w:r>
        <w:rPr>
          <w:rFonts w:ascii="Times New Roman"/>
          <w:position w:val="-5"/>
          <w:sz w:val="14"/>
        </w:rPr>
        <w:t>2</w:t>
      </w:r>
      <w:r>
        <w:rPr>
          <w:rFonts w:ascii="Times New Roman"/>
          <w:position w:val="-5"/>
          <w:sz w:val="14"/>
        </w:rPr>
        <w:tab/>
      </w:r>
      <w:r>
        <w:rPr>
          <w:rFonts w:ascii="Times New Roman"/>
          <w:i/>
          <w:sz w:val="24"/>
        </w:rPr>
        <w:t>Q</w:t>
      </w:r>
      <w:r>
        <w:rPr>
          <w:rFonts w:ascii="Times New Roman"/>
          <w:position w:val="-5"/>
          <w:sz w:val="14"/>
        </w:rPr>
        <w:t>n</w:t>
      </w:r>
    </w:p>
    <w:p>
      <w:pPr>
        <w:pStyle w:val="7"/>
        <w:spacing w:before="8"/>
        <w:ind w:left="0"/>
        <w:rPr>
          <w:rFonts w:ascii="Times New Roman"/>
          <w:sz w:val="13"/>
        </w:rPr>
      </w:pPr>
    </w:p>
    <w:p>
      <w:pPr>
        <w:pStyle w:val="7"/>
        <w:spacing w:before="71"/>
        <w:ind w:left="1044"/>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7"/>
        <w:spacing w:before="156" w:line="364" w:lineRule="auto"/>
        <w:ind w:left="1800" w:right="2513" w:hanging="24"/>
      </w:pP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当</w:t>
      </w:r>
      <w:r>
        <w:rPr>
          <w:rFonts w:ascii="Times New Roman" w:hAnsi="Times New Roman" w:eastAsia="Times New Roman"/>
          <w:vertAlign w:val="baseline"/>
        </w:rPr>
        <w:t>Q</w:t>
      </w:r>
      <w:r>
        <w:rPr>
          <w:vertAlign w:val="baseline"/>
        </w:rPr>
        <w:t>＜</w:t>
      </w:r>
      <w:r>
        <w:rPr>
          <w:rFonts w:ascii="Times New Roman" w:hAnsi="Times New Roman" w:eastAsia="Times New Roman"/>
          <w:vertAlign w:val="baseline"/>
        </w:rPr>
        <w:t>1</w:t>
      </w:r>
      <w:r>
        <w:rPr>
          <w:vertAlign w:val="baseline"/>
        </w:rPr>
        <w:t>时，该项目环境风险潜势为Ⅰ；</w:t>
      </w:r>
    </w:p>
    <w:p>
      <w:pPr>
        <w:pStyle w:val="7"/>
        <w:ind w:left="1800"/>
      </w:pPr>
      <w:r>
        <w:t>当</w:t>
      </w:r>
      <w:r>
        <w:rPr>
          <w:rFonts w:ascii="Times New Roman" w:hAnsi="Times New Roman" w:eastAsia="Times New Roman"/>
        </w:rPr>
        <w:t>Q</w:t>
      </w:r>
      <w:r>
        <w:t>≥</w:t>
      </w:r>
      <w:r>
        <w:rPr>
          <w:rFonts w:ascii="Times New Roman" w:hAnsi="Times New Roman" w:eastAsia="Times New Roman"/>
        </w:rPr>
        <w:t>1</w:t>
      </w:r>
      <w:r>
        <w:t>时，将</w:t>
      </w:r>
      <w:r>
        <w:rPr>
          <w:rFonts w:ascii="Times New Roman" w:hAnsi="Times New Roman" w:eastAsia="Times New Roman"/>
        </w:rPr>
        <w:t>Q</w:t>
      </w:r>
      <w:r>
        <w:t>值划分为：（</w:t>
      </w:r>
      <w:r>
        <w:rPr>
          <w:rFonts w:ascii="Times New Roman" w:hAnsi="Times New Roman" w:eastAsia="Times New Roman"/>
        </w:rPr>
        <w:t>1</w:t>
      </w:r>
      <w:r>
        <w:t>）</w:t>
      </w:r>
      <w:r>
        <w:rPr>
          <w:rFonts w:ascii="Times New Roman" w:hAnsi="Times New Roman" w:eastAsia="Times New Roman"/>
        </w:rPr>
        <w:t>1</w:t>
      </w:r>
      <w:r>
        <w:t>≤</w:t>
      </w:r>
      <w:r>
        <w:rPr>
          <w:rFonts w:ascii="Times New Roman" w:hAnsi="Times New Roman" w:eastAsia="Times New Roman"/>
        </w:rPr>
        <w:t>Q</w:t>
      </w:r>
      <w:r>
        <w:t>＜</w:t>
      </w:r>
      <w:r>
        <w:rPr>
          <w:rFonts w:ascii="Times New Roman" w:hAnsi="Times New Roman" w:eastAsia="Times New Roman"/>
        </w:rPr>
        <w:t>10</w:t>
      </w:r>
      <w:r>
        <w:t>；（</w:t>
      </w:r>
      <w:r>
        <w:rPr>
          <w:rFonts w:ascii="Times New Roman" w:hAnsi="Times New Roman" w:eastAsia="Times New Roman"/>
        </w:rPr>
        <w:t>2</w:t>
      </w:r>
      <w:r>
        <w:t>）</w:t>
      </w:r>
      <w:r>
        <w:rPr>
          <w:rFonts w:ascii="Times New Roman" w:hAnsi="Times New Roman" w:eastAsia="Times New Roman"/>
        </w:rPr>
        <w:t>10</w:t>
      </w:r>
      <w:r>
        <w:t>≤</w:t>
      </w:r>
      <w:r>
        <w:rPr>
          <w:rFonts w:ascii="Times New Roman" w:hAnsi="Times New Roman" w:eastAsia="Times New Roman"/>
        </w:rPr>
        <w:t>Q</w:t>
      </w:r>
      <w:r>
        <w:t>＜</w:t>
      </w:r>
      <w:r>
        <w:rPr>
          <w:rFonts w:ascii="Times New Roman" w:hAnsi="Times New Roman" w:eastAsia="Times New Roman"/>
        </w:rPr>
        <w:t>100</w:t>
      </w:r>
      <w:r>
        <w:t>；</w:t>
      </w:r>
    </w:p>
    <w:p>
      <w:pPr>
        <w:pStyle w:val="7"/>
        <w:spacing w:before="160"/>
      </w:pPr>
      <w:r>
        <w:t>（</w:t>
      </w:r>
      <w:r>
        <w:rPr>
          <w:rFonts w:ascii="Times New Roman" w:hAnsi="Times New Roman" w:eastAsia="Times New Roman"/>
        </w:rPr>
        <w:t>3</w:t>
      </w:r>
      <w:r>
        <w:t>）</w:t>
      </w:r>
      <w:r>
        <w:rPr>
          <w:rFonts w:ascii="Times New Roman" w:hAnsi="Times New Roman" w:eastAsia="Times New Roman"/>
        </w:rPr>
        <w:t>Q</w:t>
      </w:r>
      <w:r>
        <w:t>≥</w:t>
      </w:r>
      <w:r>
        <w:rPr>
          <w:rFonts w:ascii="Times New Roman" w:hAnsi="Times New Roman" w:eastAsia="Times New Roman"/>
        </w:rPr>
        <w:t>100</w:t>
      </w:r>
      <w:r>
        <w:t>。</w:t>
      </w:r>
    </w:p>
    <w:p>
      <w:pPr>
        <w:pStyle w:val="7"/>
        <w:ind w:left="0"/>
        <w:rPr>
          <w:sz w:val="20"/>
        </w:rPr>
      </w:pPr>
      <w:r>
        <w:rPr>
          <w:spacing w:val="-6"/>
        </w:rPr>
        <w:t>本项目涉及的有毒有害物质主要为氨和硫化氢，本项目危险物质数量与临界</w:t>
      </w:r>
      <w:r>
        <w:rPr>
          <w:spacing w:val="-9"/>
        </w:rPr>
        <w:t>量的比值见表</w:t>
      </w:r>
      <w:r>
        <w:rPr>
          <w:rFonts w:ascii="Times New Roman" w:eastAsia="Times New Roman"/>
        </w:rPr>
        <w:t>2.6-14</w:t>
      </w:r>
      <w:r>
        <w:t>。</w:t>
      </w:r>
    </w:p>
    <w:p>
      <w:pPr>
        <w:pStyle w:val="7"/>
        <w:spacing w:before="9"/>
        <w:ind w:left="0"/>
        <w:rPr>
          <w:sz w:val="15"/>
        </w:rPr>
      </w:pPr>
    </w:p>
    <w:p>
      <w:pPr>
        <w:pStyle w:val="7"/>
        <w:bidi w:val="0"/>
      </w:pPr>
      <w:r>
        <w:t>表</w:t>
      </w:r>
      <w:r>
        <w:rPr>
          <w:rFonts w:ascii="Times New Roman" w:eastAsia="Times New Roman"/>
        </w:rPr>
        <w:t>2.6-14</w:t>
      </w:r>
      <w:r>
        <w:rPr>
          <w:rFonts w:ascii="Times New Roman" w:eastAsia="Times New Roman"/>
        </w:rPr>
        <w:tab/>
      </w:r>
      <w:r>
        <w:t>本项目危险物质数量与临界量的比值</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740"/>
        <w:gridCol w:w="2010"/>
        <w:gridCol w:w="2580"/>
        <w:gridCol w:w="1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4" w:type="dxa"/>
          </w:tcPr>
          <w:p>
            <w:pPr>
              <w:pStyle w:val="19"/>
              <w:spacing w:before="31"/>
              <w:ind w:left="305" w:right="297"/>
              <w:rPr>
                <w:b/>
                <w:sz w:val="21"/>
              </w:rPr>
            </w:pPr>
            <w:r>
              <w:rPr>
                <w:b/>
                <w:sz w:val="21"/>
              </w:rPr>
              <w:t>序号</w:t>
            </w:r>
          </w:p>
        </w:tc>
        <w:tc>
          <w:tcPr>
            <w:tcW w:w="1740" w:type="dxa"/>
          </w:tcPr>
          <w:p>
            <w:pPr>
              <w:pStyle w:val="19"/>
              <w:spacing w:before="31"/>
              <w:ind w:left="534" w:right="522"/>
              <w:rPr>
                <w:b/>
                <w:sz w:val="21"/>
              </w:rPr>
            </w:pPr>
            <w:r>
              <w:rPr>
                <w:b/>
                <w:sz w:val="21"/>
              </w:rPr>
              <w:t>危险物</w:t>
            </w:r>
          </w:p>
        </w:tc>
        <w:tc>
          <w:tcPr>
            <w:tcW w:w="2010" w:type="dxa"/>
          </w:tcPr>
          <w:p>
            <w:pPr>
              <w:pStyle w:val="19"/>
              <w:spacing w:before="31"/>
              <w:ind w:left="212" w:right="201"/>
              <w:rPr>
                <w:b/>
                <w:sz w:val="21"/>
              </w:rPr>
            </w:pPr>
            <w:r>
              <w:rPr>
                <w:b/>
                <w:sz w:val="21"/>
              </w:rPr>
              <w:t>临界量标准（</w:t>
            </w:r>
            <w:r>
              <w:rPr>
                <w:rFonts w:ascii="Times New Roman" w:eastAsia="Times New Roman"/>
                <w:b/>
                <w:sz w:val="21"/>
              </w:rPr>
              <w:t>t</w:t>
            </w:r>
            <w:r>
              <w:rPr>
                <w:b/>
                <w:sz w:val="21"/>
              </w:rPr>
              <w:t>）</w:t>
            </w:r>
          </w:p>
        </w:tc>
        <w:tc>
          <w:tcPr>
            <w:tcW w:w="2580" w:type="dxa"/>
          </w:tcPr>
          <w:p>
            <w:pPr>
              <w:pStyle w:val="19"/>
              <w:spacing w:before="26"/>
              <w:ind w:left="92" w:right="49"/>
              <w:rPr>
                <w:b/>
                <w:sz w:val="21"/>
              </w:rPr>
            </w:pPr>
            <w:r>
              <w:rPr>
                <w:b/>
                <w:sz w:val="21"/>
              </w:rPr>
              <w:t>拟建项目最大储存量（</w:t>
            </w:r>
            <w:r>
              <w:rPr>
                <w:rFonts w:ascii="Times New Roman" w:eastAsia="Times New Roman"/>
                <w:b/>
                <w:sz w:val="21"/>
              </w:rPr>
              <w:t>t</w:t>
            </w:r>
            <w:r>
              <w:rPr>
                <w:b/>
                <w:sz w:val="21"/>
              </w:rPr>
              <w:t>）</w:t>
            </w:r>
          </w:p>
        </w:tc>
        <w:tc>
          <w:tcPr>
            <w:tcW w:w="1118" w:type="dxa"/>
          </w:tcPr>
          <w:p>
            <w:pPr>
              <w:pStyle w:val="19"/>
              <w:spacing w:before="44"/>
              <w:ind w:left="477"/>
              <w:jc w:val="left"/>
              <w:rPr>
                <w:rFonts w:ascii="Times New Roman"/>
                <w:b/>
                <w:sz w:val="21"/>
              </w:rPr>
            </w:pPr>
            <w:r>
              <w:rPr>
                <w:rFonts w:ascii="Times New Roman"/>
                <w:b/>
                <w:w w:val="99"/>
                <w:sz w:val="21"/>
              </w:rPr>
              <w:t>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4" w:type="dxa"/>
          </w:tcPr>
          <w:p>
            <w:pPr>
              <w:pStyle w:val="19"/>
              <w:spacing w:before="43"/>
              <w:ind w:left="9"/>
              <w:rPr>
                <w:rFonts w:ascii="Times New Roman"/>
                <w:sz w:val="21"/>
              </w:rPr>
            </w:pPr>
            <w:r>
              <w:rPr>
                <w:rFonts w:ascii="Times New Roman"/>
                <w:w w:val="99"/>
                <w:sz w:val="21"/>
              </w:rPr>
              <w:t>1</w:t>
            </w:r>
          </w:p>
        </w:tc>
        <w:tc>
          <w:tcPr>
            <w:tcW w:w="1740" w:type="dxa"/>
          </w:tcPr>
          <w:p>
            <w:pPr>
              <w:pStyle w:val="19"/>
              <w:spacing w:before="29"/>
              <w:ind w:left="526" w:right="522"/>
              <w:rPr>
                <w:sz w:val="21"/>
              </w:rPr>
            </w:pPr>
            <w:r>
              <w:rPr>
                <w:sz w:val="21"/>
              </w:rPr>
              <w:t>氨气</w:t>
            </w:r>
          </w:p>
        </w:tc>
        <w:tc>
          <w:tcPr>
            <w:tcW w:w="2010" w:type="dxa"/>
          </w:tcPr>
          <w:p>
            <w:pPr>
              <w:pStyle w:val="19"/>
              <w:spacing w:before="43"/>
              <w:ind w:left="7"/>
              <w:rPr>
                <w:rFonts w:ascii="Times New Roman"/>
                <w:sz w:val="21"/>
              </w:rPr>
            </w:pPr>
            <w:r>
              <w:rPr>
                <w:rFonts w:ascii="Times New Roman"/>
                <w:w w:val="99"/>
                <w:sz w:val="21"/>
              </w:rPr>
              <w:t>5</w:t>
            </w:r>
          </w:p>
        </w:tc>
        <w:tc>
          <w:tcPr>
            <w:tcW w:w="2580" w:type="dxa"/>
          </w:tcPr>
          <w:p>
            <w:pPr>
              <w:pStyle w:val="19"/>
              <w:spacing w:before="43"/>
              <w:ind w:left="6"/>
              <w:rPr>
                <w:rFonts w:ascii="Times New Roman"/>
                <w:sz w:val="21"/>
              </w:rPr>
            </w:pPr>
            <w:r>
              <w:rPr>
                <w:rFonts w:ascii="Times New Roman"/>
                <w:w w:val="99"/>
                <w:sz w:val="21"/>
              </w:rPr>
              <w:t>0</w:t>
            </w:r>
          </w:p>
        </w:tc>
        <w:tc>
          <w:tcPr>
            <w:tcW w:w="1118" w:type="dxa"/>
          </w:tcPr>
          <w:p>
            <w:pPr>
              <w:pStyle w:val="19"/>
              <w:spacing w:before="43"/>
              <w:ind w:left="506"/>
              <w:jc w:val="left"/>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74" w:type="dxa"/>
          </w:tcPr>
          <w:p>
            <w:pPr>
              <w:pStyle w:val="19"/>
              <w:spacing w:before="44"/>
              <w:ind w:left="9"/>
              <w:rPr>
                <w:rFonts w:ascii="Times New Roman"/>
                <w:sz w:val="21"/>
              </w:rPr>
            </w:pPr>
            <w:r>
              <w:rPr>
                <w:rFonts w:ascii="Times New Roman"/>
                <w:w w:val="99"/>
                <w:sz w:val="21"/>
              </w:rPr>
              <w:t>2</w:t>
            </w:r>
          </w:p>
        </w:tc>
        <w:tc>
          <w:tcPr>
            <w:tcW w:w="1740" w:type="dxa"/>
          </w:tcPr>
          <w:p>
            <w:pPr>
              <w:pStyle w:val="19"/>
              <w:spacing w:before="30"/>
              <w:ind w:left="531" w:right="522"/>
              <w:rPr>
                <w:sz w:val="21"/>
              </w:rPr>
            </w:pPr>
            <w:r>
              <w:rPr>
                <w:sz w:val="21"/>
              </w:rPr>
              <w:t>硫化氢</w:t>
            </w:r>
          </w:p>
        </w:tc>
        <w:tc>
          <w:tcPr>
            <w:tcW w:w="2010" w:type="dxa"/>
          </w:tcPr>
          <w:p>
            <w:pPr>
              <w:pStyle w:val="19"/>
              <w:spacing w:before="44"/>
              <w:ind w:left="212" w:right="200"/>
              <w:rPr>
                <w:rFonts w:ascii="Times New Roman"/>
                <w:sz w:val="21"/>
              </w:rPr>
            </w:pPr>
            <w:r>
              <w:rPr>
                <w:rFonts w:ascii="Times New Roman"/>
                <w:sz w:val="21"/>
              </w:rPr>
              <w:t>2.5</w:t>
            </w:r>
          </w:p>
        </w:tc>
        <w:tc>
          <w:tcPr>
            <w:tcW w:w="2580" w:type="dxa"/>
          </w:tcPr>
          <w:p>
            <w:pPr>
              <w:pStyle w:val="19"/>
              <w:spacing w:before="44"/>
              <w:ind w:left="6"/>
              <w:rPr>
                <w:rFonts w:ascii="Times New Roman"/>
                <w:sz w:val="21"/>
              </w:rPr>
            </w:pPr>
            <w:r>
              <w:rPr>
                <w:rFonts w:ascii="Times New Roman"/>
                <w:w w:val="99"/>
                <w:sz w:val="21"/>
              </w:rPr>
              <w:t>0</w:t>
            </w:r>
          </w:p>
        </w:tc>
        <w:tc>
          <w:tcPr>
            <w:tcW w:w="1118" w:type="dxa"/>
          </w:tcPr>
          <w:p>
            <w:pPr>
              <w:pStyle w:val="19"/>
              <w:spacing w:before="44"/>
              <w:ind w:left="506"/>
              <w:jc w:val="left"/>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404" w:type="dxa"/>
            <w:gridSpan w:val="4"/>
          </w:tcPr>
          <w:p>
            <w:pPr>
              <w:pStyle w:val="19"/>
              <w:spacing w:before="31"/>
              <w:ind w:left="3470" w:right="3463"/>
              <w:rPr>
                <w:sz w:val="21"/>
              </w:rPr>
            </w:pPr>
            <w:r>
              <w:rPr>
                <w:sz w:val="21"/>
              </w:rPr>
              <w:t>合计</w:t>
            </w:r>
          </w:p>
        </w:tc>
        <w:tc>
          <w:tcPr>
            <w:tcW w:w="1118" w:type="dxa"/>
          </w:tcPr>
          <w:p>
            <w:pPr>
              <w:pStyle w:val="19"/>
              <w:spacing w:before="44"/>
              <w:ind w:left="506"/>
              <w:jc w:val="left"/>
              <w:rPr>
                <w:rFonts w:ascii="Times New Roman"/>
                <w:sz w:val="21"/>
              </w:rPr>
            </w:pPr>
            <w:r>
              <w:rPr>
                <w:rFonts w:ascii="Times New Roman"/>
                <w:w w:val="99"/>
                <w:sz w:val="21"/>
              </w:rPr>
              <w:t>0</w:t>
            </w:r>
          </w:p>
        </w:tc>
      </w:tr>
    </w:tbl>
    <w:p>
      <w:pPr>
        <w:pStyle w:val="7"/>
        <w:spacing w:before="6"/>
        <w:ind w:left="0"/>
        <w:rPr>
          <w:b/>
          <w:sz w:val="18"/>
        </w:rPr>
      </w:pPr>
    </w:p>
    <w:p>
      <w:pPr>
        <w:pStyle w:val="7"/>
        <w:spacing w:line="364" w:lineRule="auto"/>
        <w:ind w:right="577" w:firstLine="482"/>
        <w:jc w:val="both"/>
      </w:pPr>
      <w:r>
        <w:rPr>
          <w:spacing w:val="-8"/>
        </w:rPr>
        <w:t>本项目为肉羊规模化养殖项目，项目有毒有害物质主要为排放的污染物中的</w:t>
      </w:r>
      <w:r>
        <w:rPr>
          <w:spacing w:val="-13"/>
        </w:rPr>
        <w:t>氨和硫化氢，主要来源于养羊棚舍、羊粪堆场排放的臭气，根据表</w:t>
      </w:r>
      <w:r>
        <w:rPr>
          <w:rFonts w:ascii="Times New Roman" w:hAnsi="Times New Roman" w:eastAsia="Times New Roman"/>
        </w:rPr>
        <w:t>2.6-14</w:t>
      </w:r>
      <w:r>
        <w:rPr>
          <w:spacing w:val="-5"/>
        </w:rPr>
        <w:t>计算得</w:t>
      </w:r>
      <w:r>
        <w:rPr>
          <w:spacing w:val="-30"/>
        </w:rPr>
        <w:t>出</w:t>
      </w:r>
      <w:r>
        <w:rPr>
          <w:rFonts w:ascii="Times New Roman" w:hAnsi="Times New Roman" w:eastAsia="Times New Roman"/>
          <w:spacing w:val="-3"/>
        </w:rPr>
        <w:t>Q&lt;1</w:t>
      </w:r>
      <w:r>
        <w:rPr>
          <w:spacing w:val="-22"/>
        </w:rPr>
        <w:t>，当</w:t>
      </w:r>
      <w:r>
        <w:rPr>
          <w:rFonts w:ascii="Times New Roman" w:hAnsi="Times New Roman" w:eastAsia="Times New Roman"/>
        </w:rPr>
        <w:t>Q</w:t>
      </w:r>
      <w:r>
        <w:t>＜</w:t>
      </w:r>
      <w:r>
        <w:rPr>
          <w:rFonts w:ascii="Times New Roman" w:hAnsi="Times New Roman" w:eastAsia="Times New Roman"/>
        </w:rPr>
        <w:t>1</w:t>
      </w:r>
      <w:r>
        <w:rPr>
          <w:spacing w:val="-6"/>
        </w:rPr>
        <w:t>时，该项目环境风险潜势为Ⅰ。因此，本项目环境风险评价工</w:t>
      </w:r>
      <w:r>
        <w:rPr>
          <w:spacing w:val="-8"/>
        </w:rPr>
        <w:t>作等级为简单分析，对危险物质、环境影响途径、环境危害后果、风险防范措施</w:t>
      </w:r>
      <w:r>
        <w:t>等方面给出定性的说明。</w:t>
      </w:r>
    </w:p>
    <w:p>
      <w:pPr>
        <w:pStyle w:val="5"/>
        <w:numPr>
          <w:ilvl w:val="2"/>
          <w:numId w:val="14"/>
        </w:numPr>
        <w:tabs>
          <w:tab w:val="left" w:pos="1241"/>
        </w:tabs>
        <w:spacing w:before="117" w:after="0" w:line="240" w:lineRule="auto"/>
        <w:ind w:left="1240" w:right="0" w:hanging="701"/>
        <w:jc w:val="left"/>
        <w:outlineLvl w:val="2"/>
      </w:pPr>
      <w:bookmarkStart w:id="82" w:name="2.6.2 评价范围"/>
      <w:bookmarkEnd w:id="82"/>
      <w:bookmarkStart w:id="83" w:name="2.6.2 评价范围"/>
      <w:bookmarkEnd w:id="83"/>
      <w:bookmarkStart w:id="84" w:name="_Toc12301"/>
      <w:r>
        <w:t>评价范围</w:t>
      </w:r>
      <w:bookmarkEnd w:id="84"/>
    </w:p>
    <w:p>
      <w:pPr>
        <w:pStyle w:val="7"/>
        <w:spacing w:before="7"/>
        <w:ind w:left="0"/>
        <w:rPr>
          <w:b/>
          <w:sz w:val="21"/>
        </w:rPr>
      </w:pPr>
    </w:p>
    <w:p>
      <w:pPr>
        <w:pStyle w:val="7"/>
        <w:spacing w:line="364" w:lineRule="auto"/>
        <w:ind w:right="577" w:firstLine="480"/>
        <w:jc w:val="both"/>
      </w:pPr>
      <w:r>
        <w:rPr>
          <w:spacing w:val="-10"/>
        </w:rPr>
        <w:t>根据项目大气、水、声环境影响评价等级和环境风险评价等级，参照《环境</w:t>
      </w:r>
      <w:r>
        <w:rPr>
          <w:spacing w:val="-9"/>
        </w:rPr>
        <w:t>影响评价技术导则》要求，并结合本项目自身特点和项目周边环境状况，本次环</w:t>
      </w:r>
      <w:r>
        <w:t>境影响评价范围确定为：</w:t>
      </w:r>
    </w:p>
    <w:p>
      <w:pPr>
        <w:pStyle w:val="18"/>
        <w:numPr>
          <w:ilvl w:val="0"/>
          <w:numId w:val="15"/>
        </w:numPr>
        <w:tabs>
          <w:tab w:val="left" w:pos="1621"/>
        </w:tabs>
        <w:spacing w:before="2" w:after="0" w:line="364" w:lineRule="auto"/>
        <w:ind w:left="540" w:right="572" w:firstLine="480"/>
        <w:jc w:val="both"/>
        <w:rPr>
          <w:sz w:val="24"/>
        </w:rPr>
      </w:pPr>
      <w:r>
        <w:rPr>
          <w:sz w:val="24"/>
        </w:rPr>
        <w:t>大气环境：本项目大气环境影响评价等级为二级，根据《环境影响评价技术导则</w:t>
      </w:r>
      <w:r>
        <w:rPr>
          <w:rFonts w:ascii="Times New Roman" w:hAnsi="Times New Roman" w:eastAsia="Times New Roman"/>
          <w:sz w:val="24"/>
        </w:rPr>
        <w:t>·</w:t>
      </w:r>
      <w:r>
        <w:rPr>
          <w:spacing w:val="-11"/>
          <w:sz w:val="24"/>
        </w:rPr>
        <w:t>大气环境》</w:t>
      </w:r>
      <w:r>
        <w:rPr>
          <w:spacing w:val="-3"/>
          <w:sz w:val="24"/>
        </w:rPr>
        <w:t>（</w:t>
      </w:r>
      <w:r>
        <w:rPr>
          <w:rFonts w:ascii="Times New Roman" w:hAnsi="Times New Roman" w:eastAsia="Times New Roman"/>
          <w:spacing w:val="-3"/>
          <w:sz w:val="24"/>
        </w:rPr>
        <w:t>HJ2.2-2018</w:t>
      </w:r>
      <w:r>
        <w:rPr>
          <w:spacing w:val="-3"/>
          <w:sz w:val="24"/>
        </w:rPr>
        <w:t>）</w:t>
      </w:r>
      <w:r>
        <w:rPr>
          <w:spacing w:val="-6"/>
          <w:sz w:val="24"/>
        </w:rPr>
        <w:t>规定，其大气环境影响评价范围为以项目场址为中心，边长为</w:t>
      </w:r>
      <w:r>
        <w:rPr>
          <w:rFonts w:ascii="Times New Roman" w:hAnsi="Times New Roman" w:eastAsia="Times New Roman"/>
          <w:sz w:val="24"/>
        </w:rPr>
        <w:t>5km</w:t>
      </w:r>
      <w:r>
        <w:rPr>
          <w:sz w:val="24"/>
        </w:rPr>
        <w:t>的矩形区域。</w:t>
      </w:r>
    </w:p>
    <w:p>
      <w:pPr>
        <w:pStyle w:val="18"/>
        <w:numPr>
          <w:ilvl w:val="0"/>
          <w:numId w:val="15"/>
        </w:numPr>
        <w:tabs>
          <w:tab w:val="left" w:pos="1621"/>
        </w:tabs>
        <w:spacing w:before="2" w:after="0" w:line="240" w:lineRule="auto"/>
        <w:ind w:left="1621" w:right="0" w:hanging="601"/>
        <w:jc w:val="left"/>
        <w:rPr>
          <w:sz w:val="24"/>
        </w:rPr>
      </w:pPr>
      <w:r>
        <w:rPr>
          <w:sz w:val="24"/>
        </w:rPr>
        <w:t>水环境：</w:t>
      </w:r>
    </w:p>
    <w:p>
      <w:pPr>
        <w:pStyle w:val="7"/>
        <w:spacing w:before="160" w:line="364" w:lineRule="auto"/>
        <w:ind w:right="485" w:firstLine="480"/>
      </w:pPr>
      <w:r>
        <w:t>地表水：参照《环境影响评价技术导则地面水环境》（</w:t>
      </w:r>
      <w:r>
        <w:rPr>
          <w:rFonts w:ascii="Times New Roman" w:eastAsia="Times New Roman"/>
        </w:rPr>
        <w:t>HJ2.3-2018</w:t>
      </w:r>
      <w:r>
        <w:t>）中地面水环境影响评价范围要求，根据评价等级、工程特点、影响方式及程度、地表水环境质量管理要求等确定。项目运营期间生活污水、生产废水不外排。因此，本项目地表水评价不设评价范围，重点分析项目生产废水、生活污水的处理及去向等的可行性。</w:t>
      </w:r>
    </w:p>
    <w:p>
      <w:pPr>
        <w:pStyle w:val="7"/>
        <w:spacing w:before="3" w:line="364" w:lineRule="auto"/>
        <w:ind w:right="457" w:firstLine="480"/>
        <w:jc w:val="both"/>
      </w:pPr>
      <w:r>
        <w:t>地下水：根据《环境影响评价技术导则</w:t>
      </w:r>
      <w:r>
        <w:rPr>
          <w:rFonts w:ascii="Times New Roman" w:hAnsi="Times New Roman" w:eastAsia="Times New Roman"/>
        </w:rPr>
        <w:t>·</w:t>
      </w:r>
      <w:r>
        <w:t>地下水环境》（</w:t>
      </w:r>
      <w:r>
        <w:rPr>
          <w:rFonts w:ascii="Times New Roman" w:hAnsi="Times New Roman" w:eastAsia="Times New Roman"/>
        </w:rPr>
        <w:t>HJ610-2016</w:t>
      </w:r>
      <w:r>
        <w:t>）中地下水环境现状“调查评价范围确定”中查表法：三级评价调查评价面积≤</w:t>
      </w:r>
      <w:r>
        <w:rPr>
          <w:rFonts w:ascii="Times New Roman" w:hAnsi="Times New Roman" w:eastAsia="Times New Roman"/>
        </w:rPr>
        <w:t>6km</w:t>
      </w:r>
      <w:r>
        <w:rPr>
          <w:rFonts w:ascii="Times New Roman" w:hAnsi="Times New Roman" w:eastAsia="Times New Roman"/>
          <w:position w:val="8"/>
          <w:sz w:val="15"/>
        </w:rPr>
        <w:t>2</w:t>
      </w:r>
      <w:r>
        <w:t>。因此，确定本项目地下水评价范围为：项目所在区域</w:t>
      </w:r>
      <w:r>
        <w:rPr>
          <w:rFonts w:ascii="Times New Roman" w:hAnsi="Times New Roman" w:eastAsia="Times New Roman"/>
        </w:rPr>
        <w:t>6km</w:t>
      </w:r>
      <w:r>
        <w:rPr>
          <w:rFonts w:ascii="Times New Roman" w:hAnsi="Times New Roman" w:eastAsia="Times New Roman"/>
          <w:position w:val="8"/>
          <w:sz w:val="15"/>
        </w:rPr>
        <w:t>2</w:t>
      </w:r>
      <w:r>
        <w:t>，项目地下水流向上游</w:t>
      </w:r>
      <w:r>
        <w:rPr>
          <w:rFonts w:ascii="Times New Roman" w:hAnsi="Times New Roman" w:eastAsia="Times New Roman"/>
        </w:rPr>
        <w:t>1000m</w:t>
      </w:r>
      <w:r>
        <w:t>、下游</w:t>
      </w:r>
      <w:r>
        <w:rPr>
          <w:rFonts w:ascii="Times New Roman" w:hAnsi="Times New Roman" w:eastAsia="Times New Roman"/>
        </w:rPr>
        <w:t>2000m</w:t>
      </w:r>
      <w:r>
        <w:t>，两侧各</w:t>
      </w:r>
      <w:r>
        <w:rPr>
          <w:rFonts w:ascii="Times New Roman" w:hAnsi="Times New Roman" w:eastAsia="Times New Roman"/>
        </w:rPr>
        <w:t>1000m</w:t>
      </w:r>
      <w:r>
        <w:t>范围内的矩形。</w:t>
      </w:r>
    </w:p>
    <w:p>
      <w:pPr>
        <w:pStyle w:val="18"/>
        <w:numPr>
          <w:ilvl w:val="0"/>
          <w:numId w:val="15"/>
        </w:numPr>
        <w:tabs>
          <w:tab w:val="left" w:pos="1628"/>
        </w:tabs>
        <w:spacing w:before="3" w:after="0" w:line="364" w:lineRule="auto"/>
        <w:ind w:left="540" w:right="577" w:firstLine="480"/>
        <w:jc w:val="both"/>
        <w:rPr>
          <w:sz w:val="24"/>
        </w:rPr>
      </w:pPr>
      <w:r>
        <w:rPr>
          <w:spacing w:val="-5"/>
          <w:sz w:val="24"/>
        </w:rPr>
        <w:t>声环境：项目周边</w:t>
      </w:r>
      <w:r>
        <w:rPr>
          <w:rFonts w:ascii="Times New Roman" w:eastAsia="Times New Roman"/>
          <w:sz w:val="24"/>
        </w:rPr>
        <w:t>200m</w:t>
      </w:r>
      <w:r>
        <w:rPr>
          <w:sz w:val="24"/>
        </w:rPr>
        <w:t>范围内不存在声环境敏感点，因此声环境评</w:t>
      </w:r>
      <w:r>
        <w:rPr>
          <w:spacing w:val="-8"/>
          <w:sz w:val="24"/>
        </w:rPr>
        <w:t>价范围为厂界外</w:t>
      </w:r>
      <w:r>
        <w:rPr>
          <w:rFonts w:ascii="Times New Roman" w:eastAsia="Times New Roman"/>
          <w:sz w:val="24"/>
        </w:rPr>
        <w:t>1m</w:t>
      </w:r>
      <w:r>
        <w:rPr>
          <w:sz w:val="24"/>
        </w:rPr>
        <w:t>处</w:t>
      </w:r>
      <w:r>
        <w:rPr>
          <w:rFonts w:hint="eastAsia"/>
          <w:sz w:val="24"/>
          <w:lang w:eastAsia="zh-CN"/>
        </w:rPr>
        <w:t>。</w:t>
      </w:r>
    </w:p>
    <w:p>
      <w:pPr>
        <w:pStyle w:val="18"/>
        <w:numPr>
          <w:ilvl w:val="0"/>
          <w:numId w:val="15"/>
        </w:numPr>
        <w:tabs>
          <w:tab w:val="left" w:pos="1628"/>
        </w:tabs>
        <w:spacing w:before="3" w:after="0" w:line="364" w:lineRule="auto"/>
        <w:ind w:left="540" w:right="577" w:firstLine="480"/>
        <w:jc w:val="both"/>
        <w:rPr>
          <w:sz w:val="24"/>
        </w:rPr>
      </w:pPr>
      <w:r>
        <w:rPr>
          <w:sz w:val="24"/>
        </w:rPr>
        <w:t>土壤环境：根据《环境影响评价技术导则土壤环境</w:t>
      </w:r>
      <w:r>
        <w:rPr>
          <w:spacing w:val="4"/>
          <w:sz w:val="24"/>
        </w:rPr>
        <w:t>（</w:t>
      </w:r>
      <w:r>
        <w:rPr>
          <w:spacing w:val="2"/>
          <w:sz w:val="24"/>
        </w:rPr>
        <w:t>试行</w:t>
      </w:r>
      <w:r>
        <w:rPr>
          <w:sz w:val="24"/>
        </w:rPr>
        <w:t>）</w:t>
      </w:r>
      <w:r>
        <w:rPr>
          <w:spacing w:val="4"/>
          <w:sz w:val="24"/>
        </w:rPr>
        <w:t>》</w:t>
      </w:r>
      <w:r>
        <w:rPr>
          <w:sz w:val="24"/>
        </w:rPr>
        <w:t>（</w:t>
      </w:r>
      <w:r>
        <w:rPr>
          <w:rFonts w:ascii="Times New Roman" w:eastAsia="Times New Roman"/>
          <w:sz w:val="24"/>
        </w:rPr>
        <w:t>HJ 964-2018</w:t>
      </w:r>
      <w:r>
        <w:rPr>
          <w:sz w:val="24"/>
        </w:rPr>
        <w:t>）</w:t>
      </w:r>
      <w:r>
        <w:rPr>
          <w:spacing w:val="-3"/>
          <w:sz w:val="24"/>
        </w:rPr>
        <w:t>规定，本项目土壤环境评价范围为占地范围外</w:t>
      </w:r>
      <w:r>
        <w:rPr>
          <w:rFonts w:ascii="Times New Roman" w:eastAsia="Times New Roman"/>
          <w:sz w:val="24"/>
        </w:rPr>
        <w:t>0.05km</w:t>
      </w:r>
      <w:r>
        <w:rPr>
          <w:sz w:val="24"/>
        </w:rPr>
        <w:t>范围内。</w:t>
      </w:r>
    </w:p>
    <w:p>
      <w:pPr>
        <w:pStyle w:val="18"/>
        <w:numPr>
          <w:ilvl w:val="0"/>
          <w:numId w:val="15"/>
        </w:numPr>
        <w:tabs>
          <w:tab w:val="left" w:pos="1621"/>
        </w:tabs>
        <w:spacing w:before="1" w:after="0" w:line="240" w:lineRule="auto"/>
        <w:ind w:left="1621" w:right="0" w:hanging="601"/>
        <w:jc w:val="both"/>
        <w:rPr>
          <w:sz w:val="24"/>
        </w:rPr>
      </w:pPr>
      <w:r>
        <w:rPr>
          <w:spacing w:val="-4"/>
          <w:sz w:val="24"/>
        </w:rPr>
        <w:t>生态环境：项目厂界范围，并向外延伸</w:t>
      </w:r>
      <w:r>
        <w:rPr>
          <w:rFonts w:ascii="Times New Roman" w:eastAsia="Times New Roman"/>
          <w:sz w:val="24"/>
        </w:rPr>
        <w:t>200m</w:t>
      </w:r>
      <w:r>
        <w:rPr>
          <w:sz w:val="24"/>
        </w:rPr>
        <w:t>的范围。</w:t>
      </w:r>
    </w:p>
    <w:p>
      <w:pPr>
        <w:pStyle w:val="18"/>
        <w:numPr>
          <w:ilvl w:val="0"/>
          <w:numId w:val="15"/>
        </w:numPr>
        <w:tabs>
          <w:tab w:val="left" w:pos="1625"/>
        </w:tabs>
        <w:spacing w:before="160" w:after="0" w:line="364" w:lineRule="auto"/>
        <w:ind w:left="540" w:right="577" w:firstLine="480"/>
        <w:jc w:val="both"/>
        <w:rPr>
          <w:sz w:val="24"/>
        </w:rPr>
      </w:pPr>
      <w:r>
        <w:rPr>
          <w:sz w:val="24"/>
        </w:rPr>
        <w:t>风险评价：根据《建设项目环境风险评价技术导则》（</w:t>
      </w:r>
      <w:r>
        <w:rPr>
          <w:rFonts w:ascii="Times New Roman" w:eastAsia="Times New Roman"/>
          <w:sz w:val="24"/>
        </w:rPr>
        <w:t>HJ169-2018</w:t>
      </w:r>
      <w:r>
        <w:rPr>
          <w:sz w:val="24"/>
        </w:rPr>
        <w:t>）</w:t>
      </w:r>
      <w:r>
        <w:rPr>
          <w:spacing w:val="-3"/>
          <w:sz w:val="24"/>
        </w:rPr>
        <w:t>规定，本项目环境风险评价范围为距项目边界</w:t>
      </w:r>
      <w:r>
        <w:rPr>
          <w:rFonts w:ascii="Times New Roman" w:eastAsia="Times New Roman"/>
          <w:sz w:val="24"/>
        </w:rPr>
        <w:t>3km</w:t>
      </w:r>
      <w:r>
        <w:rPr>
          <w:sz w:val="24"/>
        </w:rPr>
        <w:t>的范围。</w:t>
      </w:r>
    </w:p>
    <w:p>
      <w:pPr>
        <w:pStyle w:val="7"/>
        <w:spacing w:before="2"/>
        <w:ind w:left="1020"/>
        <w:jc w:val="both"/>
      </w:pPr>
      <w:r>
        <w:rPr>
          <w:spacing w:val="-4"/>
        </w:rPr>
        <w:t>本项目各环境要素评价范围图见图</w:t>
      </w:r>
      <w:r>
        <w:rPr>
          <w:rFonts w:ascii="Times New Roman" w:eastAsia="Times New Roman"/>
        </w:rPr>
        <w:t>2.6-1</w:t>
      </w:r>
      <w:r>
        <w:t>。</w:t>
      </w:r>
    </w:p>
    <w:p>
      <w:pPr>
        <w:pStyle w:val="7"/>
        <w:spacing w:before="5"/>
        <w:ind w:left="0"/>
      </w:pPr>
    </w:p>
    <w:p>
      <w:pPr>
        <w:pStyle w:val="4"/>
        <w:numPr>
          <w:ilvl w:val="1"/>
          <w:numId w:val="16"/>
        </w:numPr>
        <w:tabs>
          <w:tab w:val="left" w:pos="1100"/>
        </w:tabs>
        <w:spacing w:before="0" w:after="0" w:line="240" w:lineRule="auto"/>
        <w:ind w:left="1099" w:right="0" w:hanging="560"/>
        <w:jc w:val="left"/>
        <w:outlineLvl w:val="1"/>
      </w:pPr>
      <w:bookmarkStart w:id="85" w:name="_bookmark14"/>
      <w:bookmarkEnd w:id="85"/>
      <w:bookmarkStart w:id="86" w:name="2.7 污染控制与环境保护目标"/>
      <w:bookmarkEnd w:id="86"/>
      <w:bookmarkStart w:id="87" w:name="_Toc32482"/>
      <w:r>
        <w:t>污染控制与环境保护目标</w:t>
      </w:r>
      <w:bookmarkEnd w:id="87"/>
    </w:p>
    <w:p>
      <w:pPr>
        <w:pStyle w:val="7"/>
        <w:spacing w:before="6"/>
        <w:ind w:left="0"/>
        <w:rPr>
          <w:b/>
          <w:sz w:val="28"/>
        </w:rPr>
      </w:pPr>
    </w:p>
    <w:p>
      <w:pPr>
        <w:pStyle w:val="5"/>
        <w:numPr>
          <w:ilvl w:val="2"/>
          <w:numId w:val="16"/>
        </w:numPr>
        <w:tabs>
          <w:tab w:val="left" w:pos="1241"/>
        </w:tabs>
        <w:spacing w:before="0" w:after="0" w:line="240" w:lineRule="auto"/>
        <w:ind w:left="1240" w:right="0" w:hanging="701"/>
        <w:jc w:val="left"/>
        <w:outlineLvl w:val="2"/>
      </w:pPr>
      <w:bookmarkStart w:id="88" w:name="2.7.1 污染控制"/>
      <w:bookmarkEnd w:id="88"/>
      <w:bookmarkStart w:id="89" w:name="2.7.1 污染控制"/>
      <w:bookmarkEnd w:id="89"/>
      <w:bookmarkStart w:id="90" w:name="_Toc4064"/>
      <w:r>
        <w:t>污染控制</w:t>
      </w:r>
      <w:bookmarkEnd w:id="90"/>
    </w:p>
    <w:p>
      <w:pPr>
        <w:pStyle w:val="7"/>
        <w:spacing w:before="5"/>
        <w:ind w:left="0"/>
        <w:rPr>
          <w:b/>
          <w:sz w:val="21"/>
        </w:rPr>
      </w:pPr>
    </w:p>
    <w:p>
      <w:pPr>
        <w:pStyle w:val="7"/>
        <w:spacing w:line="364" w:lineRule="auto"/>
        <w:ind w:right="577" w:firstLine="480"/>
        <w:jc w:val="both"/>
      </w:pPr>
      <w:r>
        <w:rPr>
          <w:spacing w:val="-8"/>
        </w:rPr>
        <w:t>从源头消减污染物的产生量；贯彻循环经济落实废物“减量化、资源化和无</w:t>
      </w:r>
      <w:r>
        <w:rPr>
          <w:spacing w:val="-11"/>
        </w:rPr>
        <w:t>害化”的途径及数量；采用先进可靠的环保措施，保证本项目水、气、声等各项</w:t>
      </w:r>
      <w:r>
        <w:rPr>
          <w:spacing w:val="-7"/>
        </w:rPr>
        <w:t>污染物符合国家和地方的有关排放标准；固体废物处理处置符合相应的固体废物</w:t>
      </w:r>
      <w:r>
        <w:rPr>
          <w:spacing w:val="-8"/>
        </w:rPr>
        <w:t>污染物控制标准，防止发生二次污染；保护工程所在区域环境质量，同时严格防</w:t>
      </w:r>
      <w:r>
        <w:rPr>
          <w:spacing w:val="-3"/>
        </w:rPr>
        <w:t>范各类环境风险事故的发生。污染物控制目标见表</w:t>
      </w:r>
      <w:r>
        <w:rPr>
          <w:rFonts w:ascii="Times New Roman" w:hAnsi="Times New Roman" w:eastAsia="Times New Roman"/>
        </w:rPr>
        <w:t>2.7-1</w:t>
      </w:r>
      <w:r>
        <w:t>。</w:t>
      </w:r>
    </w:p>
    <w:p>
      <w:pPr>
        <w:pStyle w:val="7"/>
        <w:bidi w:val="0"/>
        <w:jc w:val="center"/>
      </w:pPr>
      <w:r>
        <w:t>表</w:t>
      </w:r>
      <w:r>
        <w:rPr>
          <w:rFonts w:ascii="Times New Roman" w:eastAsia="Times New Roman"/>
        </w:rPr>
        <w:t>2.7-1</w:t>
      </w:r>
      <w:r>
        <w:rPr>
          <w:rFonts w:ascii="Times New Roman" w:eastAsia="Times New Roman"/>
        </w:rPr>
        <w:tab/>
      </w:r>
      <w:r>
        <w:t>污染物控制目标一览表</w:t>
      </w:r>
    </w:p>
    <w:tbl>
      <w:tblPr>
        <w:tblStyle w:val="15"/>
        <w:tblW w:w="0" w:type="auto"/>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7"/>
        <w:gridCol w:w="869"/>
        <w:gridCol w:w="1395"/>
        <w:gridCol w:w="2319"/>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7" w:type="dxa"/>
          </w:tcPr>
          <w:p>
            <w:pPr>
              <w:pStyle w:val="19"/>
              <w:spacing w:before="33"/>
              <w:ind w:left="108"/>
              <w:jc w:val="left"/>
              <w:rPr>
                <w:b/>
                <w:sz w:val="21"/>
              </w:rPr>
            </w:pPr>
            <w:r>
              <w:rPr>
                <w:b/>
                <w:sz w:val="21"/>
              </w:rPr>
              <w:t>时段</w:t>
            </w:r>
          </w:p>
        </w:tc>
        <w:tc>
          <w:tcPr>
            <w:tcW w:w="869" w:type="dxa"/>
          </w:tcPr>
          <w:p>
            <w:pPr>
              <w:pStyle w:val="19"/>
              <w:spacing w:before="33"/>
              <w:ind w:left="11"/>
              <w:rPr>
                <w:b/>
                <w:sz w:val="21"/>
              </w:rPr>
            </w:pPr>
            <w:r>
              <w:rPr>
                <w:b/>
                <w:sz w:val="21"/>
              </w:rPr>
              <w:t>污染源</w:t>
            </w:r>
          </w:p>
        </w:tc>
        <w:tc>
          <w:tcPr>
            <w:tcW w:w="1395" w:type="dxa"/>
          </w:tcPr>
          <w:p>
            <w:pPr>
              <w:pStyle w:val="19"/>
              <w:spacing w:before="33"/>
              <w:ind w:left="16" w:right="6"/>
              <w:rPr>
                <w:b/>
                <w:sz w:val="21"/>
              </w:rPr>
            </w:pPr>
            <w:r>
              <w:rPr>
                <w:b/>
                <w:sz w:val="21"/>
              </w:rPr>
              <w:t>控制污染因子</w:t>
            </w:r>
          </w:p>
        </w:tc>
        <w:tc>
          <w:tcPr>
            <w:tcW w:w="2319" w:type="dxa"/>
          </w:tcPr>
          <w:p>
            <w:pPr>
              <w:pStyle w:val="19"/>
              <w:spacing w:before="33"/>
              <w:ind w:left="15" w:right="4"/>
              <w:rPr>
                <w:b/>
                <w:sz w:val="21"/>
              </w:rPr>
            </w:pPr>
            <w:r>
              <w:rPr>
                <w:b/>
                <w:sz w:val="21"/>
              </w:rPr>
              <w:t>拟采取控制措施</w:t>
            </w:r>
          </w:p>
        </w:tc>
        <w:tc>
          <w:tcPr>
            <w:tcW w:w="3163" w:type="dxa"/>
          </w:tcPr>
          <w:p>
            <w:pPr>
              <w:pStyle w:val="19"/>
              <w:spacing w:before="33"/>
              <w:ind w:left="89" w:right="81"/>
              <w:rPr>
                <w:b/>
                <w:sz w:val="21"/>
              </w:rPr>
            </w:pPr>
            <w:r>
              <w:rPr>
                <w:b/>
                <w:sz w:val="21"/>
              </w:rPr>
              <w:t>控制目标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37" w:type="dxa"/>
            <w:vMerge w:val="restart"/>
          </w:tcPr>
          <w:p>
            <w:pPr>
              <w:pStyle w:val="19"/>
              <w:jc w:val="left"/>
              <w:rPr>
                <w:b/>
                <w:sz w:val="20"/>
              </w:rPr>
            </w:pPr>
          </w:p>
          <w:p>
            <w:pPr>
              <w:pStyle w:val="19"/>
              <w:jc w:val="left"/>
              <w:rPr>
                <w:b/>
                <w:sz w:val="20"/>
              </w:rPr>
            </w:pPr>
          </w:p>
          <w:p>
            <w:pPr>
              <w:pStyle w:val="19"/>
              <w:spacing w:before="4"/>
              <w:jc w:val="left"/>
              <w:rPr>
                <w:b/>
                <w:sz w:val="14"/>
              </w:rPr>
            </w:pPr>
          </w:p>
          <w:p>
            <w:pPr>
              <w:pStyle w:val="19"/>
              <w:ind w:left="2" w:right="-15"/>
              <w:jc w:val="left"/>
              <w:rPr>
                <w:sz w:val="21"/>
              </w:rPr>
            </w:pPr>
            <w:r>
              <w:rPr>
                <w:sz w:val="21"/>
              </w:rPr>
              <w:t>施工期</w:t>
            </w:r>
          </w:p>
        </w:tc>
        <w:tc>
          <w:tcPr>
            <w:tcW w:w="869" w:type="dxa"/>
            <w:vMerge w:val="restart"/>
          </w:tcPr>
          <w:p>
            <w:pPr>
              <w:pStyle w:val="19"/>
              <w:spacing w:before="8"/>
              <w:jc w:val="left"/>
              <w:rPr>
                <w:b/>
                <w:sz w:val="18"/>
              </w:rPr>
            </w:pPr>
          </w:p>
          <w:p>
            <w:pPr>
              <w:pStyle w:val="19"/>
              <w:spacing w:line="213" w:lineRule="auto"/>
              <w:ind w:left="-6" w:right="22"/>
              <w:jc w:val="both"/>
              <w:rPr>
                <w:sz w:val="21"/>
              </w:rPr>
            </w:pPr>
            <w:r>
              <w:rPr>
                <w:sz w:val="21"/>
              </w:rPr>
              <w:t>建筑、场区道路、管线、环保构筑物施工</w:t>
            </w:r>
          </w:p>
        </w:tc>
        <w:tc>
          <w:tcPr>
            <w:tcW w:w="1395" w:type="dxa"/>
          </w:tcPr>
          <w:p>
            <w:pPr>
              <w:pStyle w:val="19"/>
              <w:spacing w:before="103"/>
              <w:ind w:left="13" w:right="6"/>
              <w:rPr>
                <w:sz w:val="21"/>
              </w:rPr>
            </w:pPr>
            <w:r>
              <w:rPr>
                <w:sz w:val="21"/>
              </w:rPr>
              <w:t>施工扬尘</w:t>
            </w:r>
          </w:p>
        </w:tc>
        <w:tc>
          <w:tcPr>
            <w:tcW w:w="2319" w:type="dxa"/>
          </w:tcPr>
          <w:p>
            <w:pPr>
              <w:pStyle w:val="19"/>
              <w:spacing w:before="1" w:line="240" w:lineRule="exact"/>
              <w:ind w:left="-7" w:right="4"/>
              <w:jc w:val="left"/>
              <w:rPr>
                <w:sz w:val="21"/>
              </w:rPr>
            </w:pPr>
            <w:r>
              <w:rPr>
                <w:sz w:val="21"/>
              </w:rPr>
              <w:t>采取洒水、防尘布覆盖等措施</w:t>
            </w:r>
          </w:p>
        </w:tc>
        <w:tc>
          <w:tcPr>
            <w:tcW w:w="3163" w:type="dxa"/>
          </w:tcPr>
          <w:p>
            <w:pPr>
              <w:pStyle w:val="19"/>
              <w:spacing w:before="1" w:line="240" w:lineRule="exact"/>
              <w:ind w:left="-5" w:right="6"/>
              <w:jc w:val="left"/>
              <w:rPr>
                <w:sz w:val="21"/>
              </w:rPr>
            </w:pPr>
            <w:r>
              <w:rPr>
                <w:sz w:val="21"/>
              </w:rPr>
              <w:t>《大气污染物综合排放标准》相关要求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37"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1395" w:type="dxa"/>
          </w:tcPr>
          <w:p>
            <w:pPr>
              <w:pStyle w:val="19"/>
              <w:spacing w:before="32"/>
              <w:ind w:left="13" w:right="6"/>
              <w:rPr>
                <w:sz w:val="21"/>
              </w:rPr>
            </w:pPr>
            <w:r>
              <w:rPr>
                <w:sz w:val="21"/>
              </w:rPr>
              <w:t>燃油废气</w:t>
            </w:r>
          </w:p>
        </w:tc>
        <w:tc>
          <w:tcPr>
            <w:tcW w:w="2319" w:type="dxa"/>
          </w:tcPr>
          <w:p>
            <w:pPr>
              <w:pStyle w:val="19"/>
              <w:spacing w:before="32"/>
              <w:ind w:left="8" w:right="4"/>
              <w:rPr>
                <w:sz w:val="21"/>
              </w:rPr>
            </w:pPr>
            <w:r>
              <w:rPr>
                <w:sz w:val="21"/>
              </w:rPr>
              <w:t>采用高质量的油品</w:t>
            </w:r>
          </w:p>
        </w:tc>
        <w:tc>
          <w:tcPr>
            <w:tcW w:w="3163" w:type="dxa"/>
          </w:tcPr>
          <w:p>
            <w:pPr>
              <w:pStyle w:val="19"/>
              <w:spacing w:before="32"/>
              <w:ind w:left="89" w:right="83"/>
              <w:rPr>
                <w:sz w:val="21"/>
              </w:rPr>
            </w:pPr>
            <w:r>
              <w:rPr>
                <w:sz w:val="21"/>
              </w:rPr>
              <w:t>对项目区及周边影响较小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7"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1395" w:type="dxa"/>
          </w:tcPr>
          <w:p>
            <w:pPr>
              <w:pStyle w:val="19"/>
              <w:spacing w:before="31"/>
              <w:ind w:left="13" w:right="6"/>
              <w:rPr>
                <w:sz w:val="21"/>
              </w:rPr>
            </w:pPr>
            <w:r>
              <w:rPr>
                <w:sz w:val="21"/>
              </w:rPr>
              <w:t>施工废水</w:t>
            </w:r>
          </w:p>
        </w:tc>
        <w:tc>
          <w:tcPr>
            <w:tcW w:w="2319" w:type="dxa"/>
          </w:tcPr>
          <w:p>
            <w:pPr>
              <w:pStyle w:val="19"/>
              <w:spacing w:before="31"/>
              <w:ind w:left="13" w:right="4"/>
              <w:rPr>
                <w:sz w:val="21"/>
              </w:rPr>
            </w:pPr>
            <w:r>
              <w:rPr>
                <w:sz w:val="21"/>
              </w:rPr>
              <w:t>临时沉淀处理后回用</w:t>
            </w:r>
          </w:p>
        </w:tc>
        <w:tc>
          <w:tcPr>
            <w:tcW w:w="3163" w:type="dxa"/>
          </w:tcPr>
          <w:p>
            <w:pPr>
              <w:pStyle w:val="19"/>
              <w:spacing w:before="31"/>
              <w:ind w:left="86" w:right="83"/>
              <w:rPr>
                <w:sz w:val="21"/>
              </w:rPr>
            </w:pPr>
            <w:r>
              <w:rPr>
                <w:sz w:val="21"/>
              </w:rPr>
              <w:t>严禁外排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637"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1395" w:type="dxa"/>
          </w:tcPr>
          <w:p>
            <w:pPr>
              <w:pStyle w:val="19"/>
              <w:spacing w:before="101"/>
              <w:ind w:left="13" w:right="6"/>
              <w:rPr>
                <w:sz w:val="21"/>
              </w:rPr>
            </w:pPr>
            <w:r>
              <w:rPr>
                <w:sz w:val="21"/>
              </w:rPr>
              <w:t>生态破坏</w:t>
            </w:r>
          </w:p>
        </w:tc>
        <w:tc>
          <w:tcPr>
            <w:tcW w:w="2319" w:type="dxa"/>
          </w:tcPr>
          <w:p>
            <w:pPr>
              <w:pStyle w:val="19"/>
              <w:spacing w:line="236" w:lineRule="exact"/>
              <w:ind w:left="-7"/>
              <w:jc w:val="left"/>
              <w:rPr>
                <w:sz w:val="21"/>
              </w:rPr>
            </w:pPr>
            <w:r>
              <w:rPr>
                <w:sz w:val="21"/>
              </w:rPr>
              <w:t>控制占地面积及减少植被</w:t>
            </w:r>
          </w:p>
          <w:p>
            <w:pPr>
              <w:pStyle w:val="19"/>
              <w:spacing w:line="224" w:lineRule="exact"/>
              <w:ind w:left="-7"/>
              <w:jc w:val="left"/>
              <w:rPr>
                <w:sz w:val="21"/>
              </w:rPr>
            </w:pPr>
            <w:r>
              <w:rPr>
                <w:sz w:val="21"/>
              </w:rPr>
              <w:t>破坏</w:t>
            </w:r>
          </w:p>
        </w:tc>
        <w:tc>
          <w:tcPr>
            <w:tcW w:w="3163" w:type="dxa"/>
          </w:tcPr>
          <w:p>
            <w:pPr>
              <w:pStyle w:val="19"/>
              <w:spacing w:before="101"/>
              <w:ind w:left="86" w:right="83"/>
              <w:rPr>
                <w:sz w:val="21"/>
              </w:rPr>
            </w:pPr>
            <w:r>
              <w:rPr>
                <w:sz w:val="21"/>
              </w:rPr>
              <w:t>植被种类种群不因施工减少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7" w:type="dxa"/>
            <w:vMerge w:val="restart"/>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8"/>
              </w:rPr>
            </w:pPr>
          </w:p>
          <w:p>
            <w:pPr>
              <w:pStyle w:val="19"/>
              <w:ind w:left="-5"/>
              <w:jc w:val="left"/>
              <w:rPr>
                <w:sz w:val="21"/>
              </w:rPr>
            </w:pPr>
            <w:r>
              <w:rPr>
                <w:sz w:val="21"/>
              </w:rPr>
              <w:t>运营期</w:t>
            </w:r>
          </w:p>
        </w:tc>
        <w:tc>
          <w:tcPr>
            <w:tcW w:w="869" w:type="dxa"/>
            <w:vMerge w:val="restart"/>
          </w:tcPr>
          <w:p>
            <w:pPr>
              <w:pStyle w:val="19"/>
              <w:spacing w:before="109" w:line="213" w:lineRule="auto"/>
              <w:ind w:left="119" w:right="5" w:hanging="106"/>
              <w:jc w:val="left"/>
              <w:rPr>
                <w:sz w:val="21"/>
              </w:rPr>
            </w:pPr>
            <w:r>
              <w:rPr>
                <w:sz w:val="21"/>
              </w:rPr>
              <w:t>养殖区、堆肥厂</w:t>
            </w:r>
          </w:p>
        </w:tc>
        <w:tc>
          <w:tcPr>
            <w:tcW w:w="1395" w:type="dxa"/>
          </w:tcPr>
          <w:p>
            <w:pPr>
              <w:pStyle w:val="19"/>
              <w:spacing w:before="28"/>
              <w:ind w:left="17" w:right="6"/>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p>
        </w:tc>
        <w:tc>
          <w:tcPr>
            <w:tcW w:w="2319" w:type="dxa"/>
            <w:vMerge w:val="restart"/>
          </w:tcPr>
          <w:p>
            <w:pPr>
              <w:pStyle w:val="19"/>
              <w:spacing w:before="109" w:line="213" w:lineRule="auto"/>
              <w:ind w:left="-7" w:right="4"/>
              <w:jc w:val="left"/>
              <w:rPr>
                <w:sz w:val="21"/>
              </w:rPr>
            </w:pPr>
            <w:r>
              <w:rPr>
                <w:sz w:val="21"/>
              </w:rPr>
              <w:t>绿化、除臭剂除臭、源头控制等</w:t>
            </w:r>
          </w:p>
        </w:tc>
        <w:tc>
          <w:tcPr>
            <w:tcW w:w="3163" w:type="dxa"/>
            <w:vMerge w:val="restart"/>
          </w:tcPr>
          <w:p>
            <w:pPr>
              <w:pStyle w:val="19"/>
              <w:spacing w:before="109" w:line="213" w:lineRule="auto"/>
              <w:ind w:left="-5" w:right="6"/>
              <w:jc w:val="left"/>
              <w:rPr>
                <w:sz w:val="21"/>
              </w:rPr>
            </w:pPr>
            <w:r>
              <w:rPr>
                <w:sz w:val="21"/>
              </w:rPr>
              <w:t>《恶臭污染物排放标准》、《畜禽养殖业污染物排放标准》相关要求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7"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1395" w:type="dxa"/>
          </w:tcPr>
          <w:p>
            <w:pPr>
              <w:pStyle w:val="19"/>
              <w:spacing w:before="31"/>
              <w:ind w:left="13" w:right="6"/>
              <w:rPr>
                <w:sz w:val="21"/>
              </w:rPr>
            </w:pPr>
            <w:r>
              <w:rPr>
                <w:sz w:val="21"/>
              </w:rPr>
              <w:t>臭气浓度</w:t>
            </w:r>
          </w:p>
        </w:tc>
        <w:tc>
          <w:tcPr>
            <w:tcW w:w="2319" w:type="dxa"/>
            <w:vMerge w:val="continue"/>
            <w:tcBorders>
              <w:top w:val="nil"/>
            </w:tcBorders>
          </w:tcPr>
          <w:p>
            <w:pPr>
              <w:rPr>
                <w:sz w:val="2"/>
                <w:szCs w:val="2"/>
              </w:rPr>
            </w:pPr>
          </w:p>
        </w:tc>
        <w:tc>
          <w:tcPr>
            <w:tcW w:w="31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37" w:type="dxa"/>
            <w:vMerge w:val="continue"/>
            <w:tcBorders>
              <w:top w:val="nil"/>
            </w:tcBorders>
          </w:tcPr>
          <w:p>
            <w:pPr>
              <w:rPr>
                <w:sz w:val="2"/>
                <w:szCs w:val="2"/>
              </w:rPr>
            </w:pPr>
          </w:p>
        </w:tc>
        <w:tc>
          <w:tcPr>
            <w:tcW w:w="869" w:type="dxa"/>
          </w:tcPr>
          <w:p>
            <w:pPr>
              <w:pStyle w:val="19"/>
              <w:spacing w:before="3"/>
              <w:jc w:val="left"/>
              <w:rPr>
                <w:b/>
                <w:sz w:val="17"/>
              </w:rPr>
            </w:pPr>
          </w:p>
          <w:p>
            <w:pPr>
              <w:pStyle w:val="19"/>
              <w:ind w:left="8"/>
              <w:rPr>
                <w:sz w:val="21"/>
              </w:rPr>
            </w:pPr>
            <w:r>
              <w:rPr>
                <w:sz w:val="21"/>
              </w:rPr>
              <w:t>养殖区</w:t>
            </w:r>
          </w:p>
        </w:tc>
        <w:tc>
          <w:tcPr>
            <w:tcW w:w="1395" w:type="dxa"/>
          </w:tcPr>
          <w:p>
            <w:pPr>
              <w:pStyle w:val="19"/>
              <w:spacing w:before="98" w:line="259" w:lineRule="exact"/>
              <w:ind w:left="-4" w:right="6"/>
              <w:rPr>
                <w:rFonts w:ascii="Times New Roman" w:eastAsia="Times New Roman"/>
                <w:sz w:val="21"/>
              </w:rPr>
            </w:pP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spacing w:val="-6"/>
                <w:position w:val="2"/>
                <w:sz w:val="21"/>
                <w:vertAlign w:val="baseline"/>
              </w:rPr>
              <w:t>NH</w:t>
            </w:r>
            <w:r>
              <w:rPr>
                <w:rFonts w:ascii="Times New Roman" w:eastAsia="Times New Roman"/>
                <w:spacing w:val="-6"/>
                <w:position w:val="2"/>
                <w:sz w:val="21"/>
                <w:vertAlign w:val="subscript"/>
              </w:rPr>
              <w:t>3</w:t>
            </w:r>
            <w:r>
              <w:rPr>
                <w:rFonts w:ascii="Times New Roman" w:eastAsia="Times New Roman"/>
                <w:spacing w:val="-6"/>
                <w:position w:val="2"/>
                <w:sz w:val="21"/>
                <w:vertAlign w:val="baseline"/>
              </w:rPr>
              <w:t>-N</w:t>
            </w:r>
          </w:p>
          <w:p>
            <w:pPr>
              <w:pStyle w:val="19"/>
              <w:spacing w:line="253" w:lineRule="exact"/>
              <w:ind w:left="7"/>
              <w:rPr>
                <w:sz w:val="21"/>
              </w:rPr>
            </w:pPr>
            <w:r>
              <w:rPr>
                <w:w w:val="99"/>
                <w:sz w:val="21"/>
              </w:rPr>
              <w:t>等</w:t>
            </w:r>
          </w:p>
        </w:tc>
        <w:tc>
          <w:tcPr>
            <w:tcW w:w="2319" w:type="dxa"/>
          </w:tcPr>
          <w:p>
            <w:pPr>
              <w:pStyle w:val="19"/>
              <w:spacing w:before="4" w:line="213" w:lineRule="auto"/>
              <w:ind w:left="-7" w:right="4"/>
              <w:jc w:val="left"/>
              <w:rPr>
                <w:sz w:val="21"/>
              </w:rPr>
            </w:pPr>
            <w:r>
              <w:rPr>
                <w:sz w:val="21"/>
              </w:rPr>
              <w:t>羊尿进入垫料中与羊粪、一起运至堆肥厂高温堆肥</w:t>
            </w:r>
          </w:p>
          <w:p>
            <w:pPr>
              <w:pStyle w:val="19"/>
              <w:spacing w:line="216" w:lineRule="exact"/>
              <w:ind w:left="-7"/>
              <w:jc w:val="left"/>
              <w:rPr>
                <w:sz w:val="21"/>
              </w:rPr>
            </w:pPr>
            <w:r>
              <w:rPr>
                <w:sz w:val="21"/>
              </w:rPr>
              <w:t>发酵</w:t>
            </w:r>
          </w:p>
        </w:tc>
        <w:tc>
          <w:tcPr>
            <w:tcW w:w="3163" w:type="dxa"/>
          </w:tcPr>
          <w:p>
            <w:pPr>
              <w:pStyle w:val="19"/>
              <w:spacing w:before="3"/>
              <w:jc w:val="left"/>
              <w:rPr>
                <w:b/>
                <w:sz w:val="17"/>
              </w:rPr>
            </w:pPr>
          </w:p>
          <w:p>
            <w:pPr>
              <w:pStyle w:val="19"/>
              <w:ind w:left="89" w:right="81"/>
              <w:rPr>
                <w:sz w:val="21"/>
              </w:rPr>
            </w:pPr>
            <w:r>
              <w:rPr>
                <w:sz w:val="21"/>
              </w:rPr>
              <w:t>不外排，不对外环境产生影响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37" w:type="dxa"/>
            <w:vMerge w:val="continue"/>
            <w:tcBorders>
              <w:top w:val="nil"/>
            </w:tcBorders>
          </w:tcPr>
          <w:p>
            <w:pPr>
              <w:rPr>
                <w:sz w:val="2"/>
                <w:szCs w:val="2"/>
              </w:rPr>
            </w:pPr>
          </w:p>
        </w:tc>
        <w:tc>
          <w:tcPr>
            <w:tcW w:w="869" w:type="dxa"/>
          </w:tcPr>
          <w:p>
            <w:pPr>
              <w:pStyle w:val="19"/>
              <w:spacing w:before="101"/>
              <w:ind w:left="3"/>
              <w:rPr>
                <w:sz w:val="21"/>
              </w:rPr>
            </w:pPr>
            <w:r>
              <w:rPr>
                <w:sz w:val="21"/>
              </w:rPr>
              <w:t>噪声</w:t>
            </w:r>
          </w:p>
        </w:tc>
        <w:tc>
          <w:tcPr>
            <w:tcW w:w="1395" w:type="dxa"/>
          </w:tcPr>
          <w:p>
            <w:pPr>
              <w:pStyle w:val="19"/>
              <w:spacing w:line="236" w:lineRule="exact"/>
              <w:ind w:left="8"/>
              <w:rPr>
                <w:sz w:val="21"/>
              </w:rPr>
            </w:pPr>
            <w:r>
              <w:rPr>
                <w:sz w:val="21"/>
              </w:rPr>
              <w:t>等效连续</w:t>
            </w:r>
            <w:r>
              <w:rPr>
                <w:rFonts w:ascii="Times New Roman" w:eastAsia="Times New Roman"/>
                <w:sz w:val="21"/>
              </w:rPr>
              <w:t>A</w:t>
            </w:r>
            <w:r>
              <w:rPr>
                <w:sz w:val="21"/>
              </w:rPr>
              <w:t>声</w:t>
            </w:r>
          </w:p>
          <w:p>
            <w:pPr>
              <w:pStyle w:val="19"/>
              <w:spacing w:line="224" w:lineRule="exact"/>
              <w:ind w:left="7"/>
              <w:rPr>
                <w:sz w:val="21"/>
              </w:rPr>
            </w:pPr>
            <w:r>
              <w:rPr>
                <w:w w:val="99"/>
                <w:sz w:val="21"/>
              </w:rPr>
              <w:t>级</w:t>
            </w:r>
          </w:p>
        </w:tc>
        <w:tc>
          <w:tcPr>
            <w:tcW w:w="2319" w:type="dxa"/>
          </w:tcPr>
          <w:p>
            <w:pPr>
              <w:pStyle w:val="19"/>
              <w:spacing w:before="101"/>
              <w:ind w:left="-7" w:right="4"/>
              <w:rPr>
                <w:sz w:val="21"/>
              </w:rPr>
            </w:pPr>
            <w:r>
              <w:rPr>
                <w:spacing w:val="-2"/>
                <w:sz w:val="21"/>
              </w:rPr>
              <w:t>基础减震、墙体隔声降噪</w:t>
            </w:r>
          </w:p>
        </w:tc>
        <w:tc>
          <w:tcPr>
            <w:tcW w:w="3163" w:type="dxa"/>
          </w:tcPr>
          <w:p>
            <w:pPr>
              <w:pStyle w:val="19"/>
              <w:spacing w:line="236" w:lineRule="exact"/>
              <w:ind w:left="-5"/>
              <w:jc w:val="left"/>
              <w:rPr>
                <w:sz w:val="21"/>
              </w:rPr>
            </w:pPr>
            <w:r>
              <w:rPr>
                <w:sz w:val="21"/>
              </w:rPr>
              <w:t>《工业企业厂界环境噪声排放标</w:t>
            </w:r>
          </w:p>
          <w:p>
            <w:pPr>
              <w:pStyle w:val="19"/>
              <w:spacing w:line="224" w:lineRule="exact"/>
              <w:ind w:left="-5"/>
              <w:jc w:val="left"/>
              <w:rPr>
                <w:sz w:val="21"/>
              </w:rPr>
            </w:pPr>
            <w:r>
              <w:rPr>
                <w:sz w:val="21"/>
              </w:rPr>
              <w:t>准》</w:t>
            </w:r>
            <w:r>
              <w:rPr>
                <w:rFonts w:ascii="Times New Roman" w:eastAsia="Times New Roman"/>
                <w:sz w:val="21"/>
              </w:rPr>
              <w:t>2</w:t>
            </w:r>
            <w:r>
              <w:rPr>
                <w:sz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637" w:type="dxa"/>
            <w:vMerge w:val="continue"/>
            <w:tcBorders>
              <w:top w:val="nil"/>
            </w:tcBorders>
          </w:tcPr>
          <w:p>
            <w:pPr>
              <w:rPr>
                <w:sz w:val="2"/>
                <w:szCs w:val="2"/>
              </w:rPr>
            </w:pPr>
          </w:p>
        </w:tc>
        <w:tc>
          <w:tcPr>
            <w:tcW w:w="869" w:type="dxa"/>
          </w:tcPr>
          <w:p>
            <w:pPr>
              <w:pStyle w:val="19"/>
              <w:jc w:val="left"/>
              <w:rPr>
                <w:b/>
                <w:sz w:val="20"/>
              </w:rPr>
            </w:pPr>
          </w:p>
          <w:p>
            <w:pPr>
              <w:pStyle w:val="19"/>
              <w:spacing w:before="1"/>
              <w:jc w:val="left"/>
              <w:rPr>
                <w:b/>
                <w:sz w:val="16"/>
              </w:rPr>
            </w:pPr>
          </w:p>
          <w:p>
            <w:pPr>
              <w:pStyle w:val="19"/>
              <w:spacing w:before="1"/>
              <w:ind w:left="8"/>
              <w:rPr>
                <w:sz w:val="21"/>
              </w:rPr>
            </w:pPr>
            <w:r>
              <w:rPr>
                <w:sz w:val="21"/>
              </w:rPr>
              <w:t>养殖区</w:t>
            </w:r>
          </w:p>
        </w:tc>
        <w:tc>
          <w:tcPr>
            <w:tcW w:w="1395" w:type="dxa"/>
          </w:tcPr>
          <w:p>
            <w:pPr>
              <w:pStyle w:val="19"/>
              <w:jc w:val="left"/>
              <w:rPr>
                <w:b/>
                <w:sz w:val="20"/>
              </w:rPr>
            </w:pPr>
          </w:p>
          <w:p>
            <w:pPr>
              <w:pStyle w:val="19"/>
              <w:spacing w:before="1"/>
              <w:jc w:val="left"/>
              <w:rPr>
                <w:b/>
                <w:sz w:val="16"/>
              </w:rPr>
            </w:pPr>
          </w:p>
          <w:p>
            <w:pPr>
              <w:pStyle w:val="19"/>
              <w:spacing w:before="1"/>
              <w:ind w:left="-6" w:right="-15"/>
              <w:rPr>
                <w:sz w:val="21"/>
              </w:rPr>
            </w:pPr>
            <w:r>
              <w:rPr>
                <w:spacing w:val="-12"/>
                <w:sz w:val="21"/>
              </w:rPr>
              <w:t>羊粪、废弃垫料</w:t>
            </w:r>
          </w:p>
        </w:tc>
        <w:tc>
          <w:tcPr>
            <w:tcW w:w="2319" w:type="dxa"/>
          </w:tcPr>
          <w:p>
            <w:pPr>
              <w:pStyle w:val="19"/>
              <w:spacing w:before="7"/>
              <w:jc w:val="left"/>
              <w:rPr>
                <w:b/>
                <w:sz w:val="28"/>
              </w:rPr>
            </w:pPr>
          </w:p>
          <w:p>
            <w:pPr>
              <w:pStyle w:val="19"/>
              <w:spacing w:line="213" w:lineRule="auto"/>
              <w:ind w:left="-7" w:right="4"/>
              <w:jc w:val="left"/>
              <w:rPr>
                <w:sz w:val="21"/>
              </w:rPr>
            </w:pPr>
            <w:r>
              <w:rPr>
                <w:sz w:val="21"/>
              </w:rPr>
              <w:t>全部高温堆肥发酵无害化处理</w:t>
            </w:r>
          </w:p>
        </w:tc>
        <w:tc>
          <w:tcPr>
            <w:tcW w:w="3163" w:type="dxa"/>
          </w:tcPr>
          <w:p>
            <w:pPr>
              <w:pStyle w:val="19"/>
              <w:spacing w:before="6" w:line="213" w:lineRule="auto"/>
              <w:ind w:left="-5" w:right="6"/>
              <w:jc w:val="left"/>
              <w:rPr>
                <w:sz w:val="21"/>
              </w:rPr>
            </w:pPr>
            <w:r>
              <w:rPr>
                <w:sz w:val="21"/>
              </w:rPr>
              <w:t>《畜禽养殖业污染物排放标准》相关要求《粪便无害化卫生要求》</w:t>
            </w:r>
          </w:p>
          <w:p>
            <w:pPr>
              <w:pStyle w:val="19"/>
              <w:spacing w:before="1" w:line="213" w:lineRule="auto"/>
              <w:ind w:left="-5" w:right="66"/>
              <w:jc w:val="left"/>
              <w:rPr>
                <w:sz w:val="21"/>
              </w:rPr>
            </w:pPr>
            <w:r>
              <w:rPr>
                <w:w w:val="95"/>
                <w:sz w:val="21"/>
              </w:rPr>
              <w:t>（</w:t>
            </w:r>
            <w:r>
              <w:rPr>
                <w:rFonts w:ascii="Times New Roman" w:eastAsia="Times New Roman"/>
                <w:w w:val="95"/>
                <w:sz w:val="21"/>
              </w:rPr>
              <w:t>GB7959-2012</w:t>
            </w:r>
            <w:r>
              <w:rPr>
                <w:w w:val="95"/>
                <w:sz w:val="21"/>
              </w:rPr>
              <w:t>）和《畜禽粪便无</w:t>
            </w:r>
            <w:r>
              <w:rPr>
                <w:sz w:val="21"/>
              </w:rPr>
              <w:t>害化处理技术规范》</w:t>
            </w:r>
          </w:p>
          <w:p>
            <w:pPr>
              <w:pStyle w:val="19"/>
              <w:spacing w:line="215" w:lineRule="exact"/>
              <w:ind w:left="-5"/>
              <w:jc w:val="left"/>
              <w:rPr>
                <w:sz w:val="24"/>
              </w:rPr>
            </w:pPr>
            <w:r>
              <w:rPr>
                <w:sz w:val="21"/>
              </w:rPr>
              <w:t>（</w:t>
            </w:r>
            <w:r>
              <w:rPr>
                <w:rFonts w:ascii="Times New Roman" w:eastAsia="Times New Roman"/>
                <w:sz w:val="21"/>
              </w:rPr>
              <w:t>GB/T36195-2018</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37" w:type="dxa"/>
            <w:vMerge w:val="continue"/>
            <w:tcBorders>
              <w:top w:val="nil"/>
            </w:tcBorders>
          </w:tcPr>
          <w:p>
            <w:pPr>
              <w:rPr>
                <w:sz w:val="2"/>
                <w:szCs w:val="2"/>
              </w:rPr>
            </w:pPr>
          </w:p>
        </w:tc>
        <w:tc>
          <w:tcPr>
            <w:tcW w:w="869" w:type="dxa"/>
          </w:tcPr>
          <w:p>
            <w:pPr>
              <w:pStyle w:val="19"/>
              <w:spacing w:before="4"/>
              <w:jc w:val="left"/>
              <w:rPr>
                <w:b/>
                <w:sz w:val="17"/>
              </w:rPr>
            </w:pPr>
          </w:p>
          <w:p>
            <w:pPr>
              <w:pStyle w:val="19"/>
              <w:spacing w:before="1"/>
              <w:ind w:left="8"/>
              <w:rPr>
                <w:sz w:val="21"/>
              </w:rPr>
            </w:pPr>
            <w:r>
              <w:rPr>
                <w:sz w:val="21"/>
              </w:rPr>
              <w:t>养殖区</w:t>
            </w:r>
          </w:p>
        </w:tc>
        <w:tc>
          <w:tcPr>
            <w:tcW w:w="1395" w:type="dxa"/>
          </w:tcPr>
          <w:p>
            <w:pPr>
              <w:pStyle w:val="19"/>
              <w:spacing w:before="126" w:line="213" w:lineRule="auto"/>
              <w:ind w:left="591" w:right="58" w:hanging="526"/>
              <w:jc w:val="left"/>
              <w:rPr>
                <w:sz w:val="21"/>
              </w:rPr>
            </w:pPr>
            <w:r>
              <w:rPr>
                <w:sz w:val="21"/>
              </w:rPr>
              <w:t>病死羊及分娩物</w:t>
            </w:r>
          </w:p>
        </w:tc>
        <w:tc>
          <w:tcPr>
            <w:tcW w:w="2319" w:type="dxa"/>
          </w:tcPr>
          <w:p>
            <w:pPr>
              <w:pStyle w:val="19"/>
              <w:spacing w:line="240" w:lineRule="exact"/>
              <w:ind w:left="-7" w:right="4"/>
              <w:jc w:val="both"/>
              <w:rPr>
                <w:sz w:val="21"/>
              </w:rPr>
            </w:pPr>
            <w:r>
              <w:rPr>
                <w:sz w:val="21"/>
              </w:rPr>
              <w:t>采用干化法畜禽无害化处理方式处理，采用高温高压灭菌技术</w:t>
            </w:r>
          </w:p>
        </w:tc>
        <w:tc>
          <w:tcPr>
            <w:tcW w:w="3163" w:type="dxa"/>
          </w:tcPr>
          <w:p>
            <w:pPr>
              <w:pStyle w:val="19"/>
              <w:spacing w:line="240" w:lineRule="exact"/>
              <w:ind w:left="-5" w:right="6"/>
              <w:jc w:val="left"/>
              <w:rPr>
                <w:sz w:val="21"/>
              </w:rPr>
            </w:pPr>
            <w:r>
              <w:rPr>
                <w:spacing w:val="-1"/>
                <w:sz w:val="21"/>
              </w:rPr>
              <w:t>病害动物的无害化处理应执行《病</w:t>
            </w:r>
            <w:r>
              <w:rPr>
                <w:sz w:val="21"/>
              </w:rPr>
              <w:t>死及病害动物无害化处理技术规范》（农医发〔</w:t>
            </w:r>
            <w:r>
              <w:rPr>
                <w:rFonts w:ascii="Times New Roman" w:eastAsia="Times New Roman"/>
                <w:sz w:val="21"/>
              </w:rPr>
              <w:t>2013</w:t>
            </w:r>
            <w:r>
              <w:rPr>
                <w:sz w:val="21"/>
              </w:rPr>
              <w:t>〕</w:t>
            </w:r>
            <w:r>
              <w:rPr>
                <w:rFonts w:ascii="Times New Roman" w:eastAsia="Times New Roman"/>
                <w:sz w:val="21"/>
              </w:rPr>
              <w:t>34</w:t>
            </w:r>
            <w:r>
              <w:rPr>
                <w:sz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637" w:type="dxa"/>
            <w:vMerge w:val="continue"/>
            <w:tcBorders>
              <w:top w:val="nil"/>
            </w:tcBorders>
          </w:tcPr>
          <w:p>
            <w:pPr>
              <w:rPr>
                <w:sz w:val="2"/>
                <w:szCs w:val="2"/>
              </w:rPr>
            </w:pPr>
          </w:p>
        </w:tc>
        <w:tc>
          <w:tcPr>
            <w:tcW w:w="869" w:type="dxa"/>
          </w:tcPr>
          <w:p>
            <w:pPr>
              <w:pStyle w:val="19"/>
              <w:spacing w:before="4"/>
              <w:jc w:val="left"/>
              <w:rPr>
                <w:b/>
                <w:sz w:val="17"/>
              </w:rPr>
            </w:pPr>
          </w:p>
          <w:p>
            <w:pPr>
              <w:pStyle w:val="19"/>
              <w:ind w:left="6"/>
              <w:rPr>
                <w:sz w:val="21"/>
              </w:rPr>
            </w:pPr>
            <w:r>
              <w:rPr>
                <w:sz w:val="21"/>
              </w:rPr>
              <w:t>医疗废物</w:t>
            </w:r>
          </w:p>
        </w:tc>
        <w:tc>
          <w:tcPr>
            <w:tcW w:w="1395" w:type="dxa"/>
          </w:tcPr>
          <w:p>
            <w:pPr>
              <w:pStyle w:val="19"/>
              <w:spacing w:line="240" w:lineRule="exact"/>
              <w:ind w:left="-6" w:right="-15"/>
              <w:rPr>
                <w:sz w:val="21"/>
              </w:rPr>
            </w:pPr>
            <w:r>
              <w:rPr>
                <w:spacing w:val="-16"/>
                <w:sz w:val="21"/>
              </w:rPr>
              <w:t>医疗废物</w:t>
            </w:r>
            <w:r>
              <w:rPr>
                <w:sz w:val="21"/>
              </w:rPr>
              <w:t>（</w:t>
            </w:r>
            <w:r>
              <w:rPr>
                <w:spacing w:val="-8"/>
                <w:sz w:val="21"/>
              </w:rPr>
              <w:t>危废</w:t>
            </w:r>
            <w:r>
              <w:rPr>
                <w:spacing w:val="-33"/>
                <w:w w:val="99"/>
                <w:sz w:val="21"/>
              </w:rPr>
              <w:t>类别：</w:t>
            </w:r>
            <w:r>
              <w:rPr>
                <w:rFonts w:ascii="Times New Roman" w:eastAsia="Times New Roman"/>
                <w:w w:val="99"/>
                <w:sz w:val="21"/>
              </w:rPr>
              <w:t>H</w:t>
            </w:r>
            <w:r>
              <w:rPr>
                <w:rFonts w:ascii="Times New Roman" w:eastAsia="Times New Roman"/>
                <w:spacing w:val="-1"/>
                <w:w w:val="99"/>
                <w:sz w:val="21"/>
              </w:rPr>
              <w:t>W</w:t>
            </w:r>
            <w:r>
              <w:rPr>
                <w:rFonts w:ascii="Times New Roman" w:eastAsia="Times New Roman"/>
                <w:spacing w:val="1"/>
                <w:w w:val="99"/>
                <w:sz w:val="21"/>
              </w:rPr>
              <w:t>0</w:t>
            </w:r>
            <w:r>
              <w:rPr>
                <w:rFonts w:ascii="Times New Roman" w:eastAsia="Times New Roman"/>
                <w:w w:val="99"/>
                <w:sz w:val="21"/>
              </w:rPr>
              <w:t>1</w:t>
            </w:r>
            <w:r>
              <w:rPr>
                <w:spacing w:val="-16"/>
                <w:w w:val="99"/>
                <w:sz w:val="21"/>
              </w:rPr>
              <w:t>危</w:t>
            </w:r>
            <w:r>
              <w:rPr>
                <w:sz w:val="21"/>
              </w:rPr>
              <w:t>废代码：</w:t>
            </w:r>
            <w:r>
              <w:rPr>
                <w:rFonts w:ascii="Times New Roman" w:eastAsia="Times New Roman"/>
                <w:sz w:val="21"/>
              </w:rPr>
              <w:t>900-001-01</w:t>
            </w:r>
            <w:r>
              <w:rPr>
                <w:sz w:val="21"/>
              </w:rPr>
              <w:t>）</w:t>
            </w:r>
          </w:p>
        </w:tc>
        <w:tc>
          <w:tcPr>
            <w:tcW w:w="2319" w:type="dxa"/>
          </w:tcPr>
          <w:p>
            <w:pPr>
              <w:pStyle w:val="19"/>
              <w:spacing w:before="125" w:line="213" w:lineRule="auto"/>
              <w:ind w:left="423" w:right="-15" w:hanging="420"/>
              <w:jc w:val="left"/>
              <w:rPr>
                <w:sz w:val="21"/>
              </w:rPr>
            </w:pPr>
            <w:r>
              <w:rPr>
                <w:sz w:val="21"/>
              </w:rPr>
              <w:t>交由当地有相应危废处置资质的单位处置</w:t>
            </w:r>
          </w:p>
        </w:tc>
        <w:tc>
          <w:tcPr>
            <w:tcW w:w="3163" w:type="dxa"/>
          </w:tcPr>
          <w:p>
            <w:pPr>
              <w:pStyle w:val="19"/>
              <w:spacing w:before="4"/>
              <w:jc w:val="left"/>
              <w:rPr>
                <w:b/>
                <w:sz w:val="17"/>
              </w:rPr>
            </w:pPr>
          </w:p>
          <w:p>
            <w:pPr>
              <w:pStyle w:val="19"/>
              <w:ind w:left="89" w:right="83"/>
              <w:rPr>
                <w:sz w:val="21"/>
              </w:rPr>
            </w:pPr>
            <w:r>
              <w:rPr>
                <w:sz w:val="21"/>
              </w:rPr>
              <w:t>《危险废物贮存污染控制标准》</w:t>
            </w:r>
          </w:p>
        </w:tc>
      </w:tr>
    </w:tbl>
    <w:p>
      <w:pPr>
        <w:pStyle w:val="7"/>
        <w:spacing w:before="11"/>
        <w:ind w:left="0"/>
        <w:rPr>
          <w:b/>
          <w:sz w:val="4"/>
        </w:rPr>
      </w:pPr>
    </w:p>
    <w:p>
      <w:pPr>
        <w:pStyle w:val="7"/>
        <w:ind w:left="0"/>
        <w:rPr>
          <w:b/>
          <w:sz w:val="17"/>
        </w:rPr>
      </w:pPr>
    </w:p>
    <w:p>
      <w:pPr>
        <w:pStyle w:val="18"/>
        <w:numPr>
          <w:ilvl w:val="2"/>
          <w:numId w:val="16"/>
        </w:numPr>
        <w:tabs>
          <w:tab w:val="left" w:pos="1241"/>
        </w:tabs>
        <w:spacing w:before="73" w:after="0" w:line="240" w:lineRule="auto"/>
        <w:ind w:left="1240" w:right="0" w:hanging="701"/>
        <w:jc w:val="left"/>
        <w:outlineLvl w:val="2"/>
        <w:rPr>
          <w:b/>
          <w:sz w:val="28"/>
        </w:rPr>
      </w:pPr>
      <w:bookmarkStart w:id="91" w:name="2.7.2 环境保护目标"/>
      <w:bookmarkEnd w:id="91"/>
      <w:bookmarkStart w:id="92" w:name="2.7.2 环境保护目标"/>
      <w:bookmarkEnd w:id="92"/>
      <w:bookmarkStart w:id="93" w:name="_Toc25635"/>
      <w:r>
        <w:rPr>
          <w:b/>
          <w:sz w:val="28"/>
        </w:rPr>
        <w:t>环境保护目标</w:t>
      </w:r>
      <w:bookmarkEnd w:id="93"/>
    </w:p>
    <w:p>
      <w:pPr>
        <w:pStyle w:val="7"/>
        <w:spacing w:before="5"/>
        <w:ind w:left="0"/>
        <w:rPr>
          <w:b/>
          <w:sz w:val="21"/>
        </w:rPr>
      </w:pPr>
    </w:p>
    <w:p>
      <w:pPr>
        <w:pStyle w:val="7"/>
        <w:spacing w:line="364" w:lineRule="auto"/>
        <w:ind w:right="577" w:firstLine="480"/>
      </w:pPr>
      <w:r>
        <w:rPr>
          <w:spacing w:val="-11"/>
        </w:rPr>
        <w:t>根据技术导则，环境保护目标包括环境敏感目标与保护区域应达到的环境质</w:t>
      </w:r>
      <w:r>
        <w:t>量标准或功能要求。</w:t>
      </w:r>
    </w:p>
    <w:p>
      <w:pPr>
        <w:pStyle w:val="7"/>
        <w:spacing w:before="1" w:line="364" w:lineRule="auto"/>
        <w:ind w:right="485" w:firstLine="480"/>
      </w:pPr>
      <w:r>
        <w:rPr>
          <w:spacing w:val="-7"/>
        </w:rPr>
        <w:t>根据现场踏勘及相关资料查阅，项目区域不属于自然保护区和风景名胜游览</w:t>
      </w:r>
      <w:r>
        <w:rPr>
          <w:spacing w:val="-8"/>
        </w:rPr>
        <w:t>地；项目不占用基本农田；因此核定主要环境保护目标是评价区内的环境空气、</w:t>
      </w:r>
      <w:r>
        <w:rPr>
          <w:spacing w:val="-5"/>
        </w:rPr>
        <w:t>地下水及选址地周围人群相对集中的居民区、村庄等人群健康。本项目主要环境保护目标如下：</w:t>
      </w:r>
    </w:p>
    <w:p>
      <w:pPr>
        <w:pStyle w:val="18"/>
        <w:numPr>
          <w:ilvl w:val="3"/>
          <w:numId w:val="16"/>
        </w:numPr>
        <w:tabs>
          <w:tab w:val="left" w:pos="1621"/>
        </w:tabs>
        <w:spacing w:before="2" w:after="0" w:line="240" w:lineRule="auto"/>
        <w:ind w:left="1621" w:right="0" w:hanging="601"/>
        <w:jc w:val="left"/>
        <w:rPr>
          <w:sz w:val="24"/>
        </w:rPr>
      </w:pPr>
      <w:r>
        <w:rPr>
          <w:sz w:val="24"/>
        </w:rPr>
        <w:t>环境空气</w:t>
      </w:r>
    </w:p>
    <w:p>
      <w:pPr>
        <w:pStyle w:val="7"/>
        <w:spacing w:before="161" w:line="364" w:lineRule="auto"/>
        <w:ind w:right="577" w:firstLine="480"/>
      </w:pPr>
      <w:r>
        <w:rPr>
          <w:spacing w:val="-7"/>
        </w:rPr>
        <w:t>保护评价区空气环境质量，使之维持现有水平，不因项目实施而恶化。保护</w:t>
      </w:r>
      <w:r>
        <w:t>级别为《环境空气标准》（</w:t>
      </w:r>
      <w:r>
        <w:rPr>
          <w:rFonts w:ascii="Times New Roman" w:eastAsia="Times New Roman"/>
        </w:rPr>
        <w:t>GB3095-2012</w:t>
      </w:r>
      <w:r>
        <w:t>）的二级标准；</w:t>
      </w:r>
    </w:p>
    <w:p>
      <w:pPr>
        <w:pStyle w:val="18"/>
        <w:numPr>
          <w:ilvl w:val="3"/>
          <w:numId w:val="16"/>
        </w:numPr>
        <w:tabs>
          <w:tab w:val="left" w:pos="1621"/>
        </w:tabs>
        <w:spacing w:before="1" w:after="0" w:line="240" w:lineRule="auto"/>
        <w:ind w:left="1621" w:right="0" w:hanging="601"/>
        <w:jc w:val="left"/>
        <w:rPr>
          <w:sz w:val="24"/>
        </w:rPr>
      </w:pPr>
      <w:r>
        <w:rPr>
          <w:sz w:val="24"/>
        </w:rPr>
        <w:t>地下水水环境</w:t>
      </w:r>
    </w:p>
    <w:p>
      <w:pPr>
        <w:pStyle w:val="7"/>
        <w:spacing w:before="160" w:line="364" w:lineRule="auto"/>
        <w:ind w:right="457" w:firstLine="480"/>
      </w:pPr>
      <w:r>
        <w:rPr>
          <w:spacing w:val="-8"/>
        </w:rPr>
        <w:t>保护评价区地下水，防止污染物进入地下水，确保项目影响区域的地下水环境质量符合《地下水环境质量标准》（</w:t>
      </w:r>
      <w:r>
        <w:rPr>
          <w:rFonts w:ascii="Times New Roman" w:hAnsi="Times New Roman" w:eastAsia="Times New Roman"/>
          <w:spacing w:val="-8"/>
        </w:rPr>
        <w:t>GB/T14848-2017</w:t>
      </w:r>
      <w:r>
        <w:rPr>
          <w:spacing w:val="-8"/>
        </w:rPr>
        <w:t>）Ⅲ</w:t>
      </w:r>
      <w:r>
        <w:rPr>
          <w:spacing w:val="-9"/>
        </w:rPr>
        <w:t>类标准的限值要求。</w:t>
      </w:r>
    </w:p>
    <w:p>
      <w:pPr>
        <w:pStyle w:val="18"/>
        <w:numPr>
          <w:ilvl w:val="3"/>
          <w:numId w:val="16"/>
        </w:numPr>
        <w:tabs>
          <w:tab w:val="left" w:pos="1621"/>
        </w:tabs>
        <w:spacing w:before="2" w:after="0" w:line="240" w:lineRule="auto"/>
        <w:ind w:left="1621" w:right="0" w:hanging="601"/>
        <w:jc w:val="left"/>
        <w:rPr>
          <w:sz w:val="24"/>
        </w:rPr>
      </w:pPr>
      <w:r>
        <w:rPr>
          <w:sz w:val="24"/>
        </w:rPr>
        <w:t>声环境</w:t>
      </w:r>
    </w:p>
    <w:p>
      <w:pPr>
        <w:pStyle w:val="7"/>
        <w:spacing w:before="160"/>
        <w:ind w:left="1020"/>
      </w:pPr>
      <w:r>
        <w:t>保护区域声环境质量，使厂界噪声值符合《工业企业厂界环境噪声排放标准》</w:t>
      </w:r>
    </w:p>
    <w:p>
      <w:pPr>
        <w:pStyle w:val="7"/>
        <w:spacing w:before="161"/>
      </w:pPr>
      <w:r>
        <w:t>（</w:t>
      </w:r>
      <w:r>
        <w:rPr>
          <w:rFonts w:ascii="Times New Roman" w:eastAsia="Times New Roman"/>
        </w:rPr>
        <w:t>GB12348-2008</w:t>
      </w:r>
      <w:r>
        <w:t>）</w:t>
      </w:r>
      <w:r>
        <w:rPr>
          <w:rFonts w:ascii="Times New Roman" w:eastAsia="Times New Roman"/>
        </w:rPr>
        <w:t>2</w:t>
      </w:r>
      <w:r>
        <w:t>类标准。</w:t>
      </w:r>
    </w:p>
    <w:p>
      <w:pPr>
        <w:pStyle w:val="18"/>
        <w:numPr>
          <w:ilvl w:val="3"/>
          <w:numId w:val="16"/>
        </w:numPr>
        <w:tabs>
          <w:tab w:val="left" w:pos="1621"/>
        </w:tabs>
        <w:spacing w:before="160" w:after="0" w:line="240" w:lineRule="auto"/>
        <w:ind w:left="1621" w:right="0" w:hanging="601"/>
        <w:jc w:val="left"/>
        <w:rPr>
          <w:sz w:val="24"/>
        </w:rPr>
      </w:pPr>
      <w:r>
        <w:rPr>
          <w:sz w:val="24"/>
        </w:rPr>
        <w:t>土壤环境</w:t>
      </w:r>
    </w:p>
    <w:p>
      <w:pPr>
        <w:pStyle w:val="7"/>
        <w:spacing w:before="161"/>
        <w:ind w:left="1020"/>
      </w:pPr>
      <w:r>
        <w:t>保护评价区内土壤环境，使土壤质量符合《畜禽养殖产地环境评价规范》</w:t>
      </w:r>
    </w:p>
    <w:p>
      <w:pPr>
        <w:pStyle w:val="7"/>
        <w:spacing w:before="160"/>
      </w:pPr>
      <w:r>
        <w:t>（</w:t>
      </w:r>
      <w:r>
        <w:rPr>
          <w:rFonts w:ascii="Times New Roman" w:eastAsia="Times New Roman"/>
        </w:rPr>
        <w:t>HJ568-2010</w:t>
      </w:r>
      <w:r>
        <w:t>）》中限值要求。</w:t>
      </w:r>
    </w:p>
    <w:p>
      <w:pPr>
        <w:pStyle w:val="18"/>
        <w:numPr>
          <w:ilvl w:val="3"/>
          <w:numId w:val="16"/>
        </w:numPr>
        <w:tabs>
          <w:tab w:val="left" w:pos="1621"/>
        </w:tabs>
        <w:spacing w:before="161" w:after="0" w:line="240" w:lineRule="auto"/>
        <w:ind w:left="1621" w:right="0" w:hanging="601"/>
        <w:jc w:val="left"/>
        <w:rPr>
          <w:sz w:val="24"/>
        </w:rPr>
      </w:pPr>
      <w:r>
        <w:rPr>
          <w:sz w:val="24"/>
        </w:rPr>
        <w:t>生态环境</w:t>
      </w:r>
    </w:p>
    <w:p>
      <w:pPr>
        <w:pStyle w:val="7"/>
        <w:spacing w:before="160" w:line="364" w:lineRule="auto"/>
        <w:ind w:right="457" w:firstLine="480"/>
        <w:rPr>
          <w:rFonts w:hint="eastAsia" w:ascii="宋体" w:hAnsi="宋体" w:eastAsia="宋体" w:cs="宋体"/>
        </w:rPr>
      </w:pPr>
      <w:r>
        <w:rPr>
          <w:rFonts w:hint="eastAsia" w:ascii="宋体" w:hAnsi="宋体" w:eastAsia="宋体" w:cs="宋体"/>
          <w:spacing w:val="-12"/>
        </w:rPr>
        <w:t>保护项目区周边的农田及天然草场，农田作物主要为玉米、苜蓿草和饲草等。</w:t>
      </w:r>
      <w:r>
        <w:rPr>
          <w:rFonts w:hint="eastAsia" w:ascii="宋体" w:hAnsi="宋体" w:eastAsia="宋体" w:cs="宋体"/>
        </w:rPr>
        <w:t>合理处置场区粪污，避免对土壤、植被等产生不利影响。</w:t>
      </w:r>
    </w:p>
    <w:p>
      <w:pPr>
        <w:pStyle w:val="18"/>
        <w:numPr>
          <w:ilvl w:val="3"/>
          <w:numId w:val="16"/>
        </w:numPr>
        <w:tabs>
          <w:tab w:val="left" w:pos="1621"/>
        </w:tabs>
        <w:spacing w:before="1" w:after="0" w:line="240" w:lineRule="auto"/>
        <w:ind w:left="1621" w:right="0" w:hanging="601"/>
        <w:jc w:val="left"/>
        <w:rPr>
          <w:rFonts w:hint="eastAsia" w:ascii="宋体" w:hAnsi="宋体" w:eastAsia="宋体" w:cs="宋体"/>
          <w:sz w:val="24"/>
        </w:rPr>
      </w:pPr>
      <w:r>
        <w:rPr>
          <w:rFonts w:hint="eastAsia" w:ascii="宋体" w:hAnsi="宋体" w:eastAsia="宋体" w:cs="宋体"/>
          <w:sz w:val="24"/>
        </w:rPr>
        <w:t>环境风险</w:t>
      </w:r>
    </w:p>
    <w:p>
      <w:pPr>
        <w:pStyle w:val="7"/>
        <w:keepNext w:val="0"/>
        <w:keepLines w:val="0"/>
        <w:pageBreakBefore w:val="0"/>
        <w:widowControl w:val="0"/>
        <w:kinsoku/>
        <w:wordWrap/>
        <w:overflowPunct/>
        <w:topLinePunct w:val="0"/>
        <w:autoSpaceDE w:val="0"/>
        <w:autoSpaceDN w:val="0"/>
        <w:bidi w:val="0"/>
        <w:adjustRightInd/>
        <w:snapToGrid/>
        <w:spacing w:before="161" w:line="360" w:lineRule="auto"/>
        <w:ind w:left="567"/>
        <w:textAlignment w:val="auto"/>
        <w:rPr>
          <w:rFonts w:hint="eastAsia" w:ascii="宋体" w:hAnsi="宋体" w:eastAsia="宋体" w:cs="宋体"/>
        </w:rPr>
      </w:pPr>
      <w:r>
        <w:rPr>
          <w:rFonts w:hint="eastAsia" w:ascii="宋体" w:hAnsi="宋体" w:eastAsia="宋体" w:cs="宋体"/>
        </w:rPr>
        <w:t>确保项目运行不对周围环境敏感点产生较大影响。环境敏感目标见表2.7-2，敏感目标分布情况见图2.7-1。</w:t>
      </w:r>
    </w:p>
    <w:p>
      <w:pPr>
        <w:pStyle w:val="7"/>
        <w:bidi w:val="0"/>
        <w:jc w:val="center"/>
      </w:pPr>
      <w:r>
        <w:t>表</w:t>
      </w:r>
      <w:r>
        <w:rPr>
          <w:rFonts w:ascii="Times New Roman" w:eastAsia="Times New Roman"/>
        </w:rPr>
        <w:t>2.7-2</w:t>
      </w:r>
      <w:r>
        <w:rPr>
          <w:rFonts w:ascii="Times New Roman" w:eastAsia="Times New Roman"/>
        </w:rPr>
        <w:tab/>
      </w:r>
      <w:r>
        <w:rPr>
          <w:w w:val="95"/>
        </w:rPr>
        <w:t>环境保护目标一览表</w:t>
      </w:r>
    </w:p>
    <w:tbl>
      <w:tblPr>
        <w:tblStyle w:val="15"/>
        <w:tblpPr w:leftFromText="180" w:rightFromText="180" w:vertAnchor="text" w:horzAnchor="page" w:tblpX="1683" w:tblpY="24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1902"/>
        <w:gridCol w:w="1190"/>
        <w:gridCol w:w="1029"/>
        <w:gridCol w:w="1061"/>
        <w:gridCol w:w="820"/>
        <w:gridCol w:w="22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760" w:type="dxa"/>
          </w:tcPr>
          <w:p>
            <w:pPr>
              <w:pStyle w:val="19"/>
              <w:spacing w:before="109" w:line="213" w:lineRule="auto"/>
              <w:ind w:left="142" w:right="134"/>
              <w:jc w:val="left"/>
              <w:rPr>
                <w:b/>
                <w:sz w:val="21"/>
              </w:rPr>
            </w:pPr>
            <w:r>
              <w:rPr>
                <w:b/>
                <w:sz w:val="21"/>
              </w:rPr>
              <w:t>环境要素</w:t>
            </w:r>
          </w:p>
        </w:tc>
        <w:tc>
          <w:tcPr>
            <w:tcW w:w="1902" w:type="dxa"/>
          </w:tcPr>
          <w:p>
            <w:pPr>
              <w:pStyle w:val="19"/>
              <w:spacing w:before="1"/>
              <w:jc w:val="left"/>
              <w:rPr>
                <w:sz w:val="16"/>
              </w:rPr>
            </w:pPr>
          </w:p>
          <w:p>
            <w:pPr>
              <w:pStyle w:val="19"/>
              <w:ind w:left="24" w:right="12"/>
              <w:rPr>
                <w:b/>
                <w:sz w:val="21"/>
              </w:rPr>
            </w:pPr>
            <w:r>
              <w:rPr>
                <w:b/>
                <w:sz w:val="21"/>
              </w:rPr>
              <w:t>敏感目标名称</w:t>
            </w:r>
          </w:p>
        </w:tc>
        <w:tc>
          <w:tcPr>
            <w:tcW w:w="1190" w:type="dxa"/>
          </w:tcPr>
          <w:p>
            <w:pPr>
              <w:pStyle w:val="19"/>
              <w:spacing w:before="109" w:line="213" w:lineRule="auto"/>
              <w:ind w:left="345" w:right="121" w:hanging="212"/>
              <w:jc w:val="left"/>
              <w:rPr>
                <w:b/>
                <w:sz w:val="21"/>
              </w:rPr>
            </w:pPr>
            <w:r>
              <w:rPr>
                <w:b/>
                <w:sz w:val="21"/>
              </w:rPr>
              <w:t>相对场址方位</w:t>
            </w:r>
          </w:p>
        </w:tc>
        <w:tc>
          <w:tcPr>
            <w:tcW w:w="1029" w:type="dxa"/>
          </w:tcPr>
          <w:p>
            <w:pPr>
              <w:pStyle w:val="19"/>
              <w:spacing w:before="109" w:line="213" w:lineRule="auto"/>
              <w:ind w:left="36" w:right="46" w:firstLine="21"/>
              <w:jc w:val="left"/>
              <w:rPr>
                <w:rFonts w:ascii="Times New Roman" w:eastAsia="Times New Roman"/>
                <w:b/>
                <w:sz w:val="21"/>
              </w:rPr>
            </w:pPr>
            <w:r>
              <w:rPr>
                <w:b/>
                <w:sz w:val="21"/>
              </w:rPr>
              <w:t>相对场址距离（</w:t>
            </w:r>
            <w:r>
              <w:rPr>
                <w:rFonts w:ascii="Times New Roman" w:eastAsia="Times New Roman"/>
                <w:b/>
                <w:sz w:val="21"/>
              </w:rPr>
              <w:t>m</w:t>
            </w:r>
          </w:p>
        </w:tc>
        <w:tc>
          <w:tcPr>
            <w:tcW w:w="1061" w:type="dxa"/>
          </w:tcPr>
          <w:p>
            <w:pPr>
              <w:pStyle w:val="19"/>
              <w:spacing w:before="206"/>
              <w:ind w:left="-141"/>
              <w:jc w:val="left"/>
              <w:rPr>
                <w:b/>
                <w:sz w:val="21"/>
              </w:rPr>
            </w:pPr>
            <w:r>
              <w:rPr>
                <w:b/>
                <w:position w:val="-11"/>
                <w:sz w:val="21"/>
              </w:rPr>
              <w:t>）</w:t>
            </w:r>
            <w:r>
              <w:rPr>
                <w:b/>
                <w:sz w:val="21"/>
              </w:rPr>
              <w:t>保护对象</w:t>
            </w:r>
          </w:p>
        </w:tc>
        <w:tc>
          <w:tcPr>
            <w:tcW w:w="820" w:type="dxa"/>
          </w:tcPr>
          <w:p>
            <w:pPr>
              <w:pStyle w:val="19"/>
              <w:spacing w:before="1"/>
              <w:jc w:val="left"/>
              <w:rPr>
                <w:sz w:val="16"/>
              </w:rPr>
            </w:pPr>
          </w:p>
          <w:p>
            <w:pPr>
              <w:pStyle w:val="19"/>
              <w:ind w:left="151" w:right="141"/>
              <w:rPr>
                <w:b/>
                <w:sz w:val="21"/>
              </w:rPr>
            </w:pPr>
            <w:r>
              <w:rPr>
                <w:b/>
                <w:sz w:val="21"/>
              </w:rPr>
              <w:t>人数</w:t>
            </w:r>
          </w:p>
        </w:tc>
        <w:tc>
          <w:tcPr>
            <w:tcW w:w="2295" w:type="dxa"/>
          </w:tcPr>
          <w:p>
            <w:pPr>
              <w:pStyle w:val="19"/>
              <w:spacing w:before="1"/>
              <w:jc w:val="left"/>
              <w:rPr>
                <w:sz w:val="16"/>
              </w:rPr>
            </w:pPr>
          </w:p>
          <w:p>
            <w:pPr>
              <w:pStyle w:val="19"/>
              <w:ind w:left="33" w:right="19"/>
              <w:rPr>
                <w:b/>
                <w:sz w:val="21"/>
              </w:rPr>
            </w:pPr>
            <w:r>
              <w:rPr>
                <w:b/>
                <w:sz w:val="21"/>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60" w:type="dxa"/>
            <w:vMerge w:val="restart"/>
          </w:tcPr>
          <w:p>
            <w:pPr>
              <w:pStyle w:val="19"/>
              <w:jc w:val="left"/>
              <w:rPr>
                <w:color w:val="0000FF"/>
                <w:sz w:val="20"/>
              </w:rPr>
            </w:pPr>
          </w:p>
          <w:p>
            <w:pPr>
              <w:pStyle w:val="19"/>
              <w:jc w:val="left"/>
              <w:rPr>
                <w:color w:val="0000FF"/>
                <w:sz w:val="20"/>
              </w:rPr>
            </w:pPr>
          </w:p>
          <w:p>
            <w:pPr>
              <w:pStyle w:val="19"/>
              <w:spacing w:before="3"/>
              <w:jc w:val="left"/>
              <w:rPr>
                <w:color w:val="0000FF"/>
                <w:sz w:val="23"/>
              </w:rPr>
            </w:pPr>
          </w:p>
          <w:p>
            <w:pPr>
              <w:pStyle w:val="19"/>
              <w:spacing w:line="213" w:lineRule="auto"/>
              <w:ind w:left="142" w:right="136"/>
              <w:jc w:val="left"/>
              <w:rPr>
                <w:color w:val="0000FF"/>
                <w:sz w:val="21"/>
              </w:rPr>
            </w:pPr>
            <w:r>
              <w:rPr>
                <w:color w:val="0000FF"/>
                <w:sz w:val="21"/>
              </w:rPr>
              <w:t>大气环境</w:t>
            </w:r>
          </w:p>
        </w:tc>
        <w:tc>
          <w:tcPr>
            <w:tcW w:w="1902" w:type="dxa"/>
          </w:tcPr>
          <w:p>
            <w:pPr>
              <w:pStyle w:val="19"/>
              <w:spacing w:before="31"/>
              <w:ind w:left="24" w:right="17"/>
              <w:rPr>
                <w:color w:val="0000FF"/>
                <w:sz w:val="21"/>
              </w:rPr>
            </w:pPr>
            <w:r>
              <w:rPr>
                <w:rFonts w:hint="eastAsia"/>
                <w:color w:val="0000FF"/>
                <w:sz w:val="21"/>
                <w:lang w:val="en-US" w:eastAsia="zh-CN"/>
              </w:rPr>
              <w:t>萨依吾斯塘</w:t>
            </w:r>
            <w:r>
              <w:rPr>
                <w:color w:val="0000FF"/>
                <w:sz w:val="21"/>
              </w:rPr>
              <w:t>村</w:t>
            </w:r>
          </w:p>
        </w:tc>
        <w:tc>
          <w:tcPr>
            <w:tcW w:w="1190" w:type="dxa"/>
          </w:tcPr>
          <w:p>
            <w:pPr>
              <w:pStyle w:val="19"/>
              <w:spacing w:before="31"/>
              <w:ind w:left="111" w:right="103"/>
              <w:rPr>
                <w:color w:val="0000FF"/>
                <w:sz w:val="21"/>
              </w:rPr>
            </w:pPr>
            <w:r>
              <w:rPr>
                <w:color w:val="0000FF"/>
                <w:sz w:val="21"/>
              </w:rPr>
              <w:t>西侧</w:t>
            </w:r>
          </w:p>
        </w:tc>
        <w:tc>
          <w:tcPr>
            <w:tcW w:w="1029" w:type="dxa"/>
          </w:tcPr>
          <w:p>
            <w:pPr>
              <w:pStyle w:val="19"/>
              <w:spacing w:before="45"/>
              <w:ind w:left="37" w:right="27"/>
              <w:rPr>
                <w:rFonts w:hint="default" w:ascii="Times New Roman" w:eastAsia="宋体"/>
                <w:color w:val="0000FF"/>
                <w:sz w:val="21"/>
                <w:lang w:val="en-US" w:eastAsia="zh-CN"/>
              </w:rPr>
            </w:pPr>
            <w:r>
              <w:rPr>
                <w:rFonts w:hint="eastAsia" w:ascii="Times New Roman"/>
                <w:color w:val="0000FF"/>
                <w:sz w:val="21"/>
                <w:lang w:val="en-US" w:eastAsia="zh-CN"/>
              </w:rPr>
              <w:t>1600</w:t>
            </w:r>
          </w:p>
        </w:tc>
        <w:tc>
          <w:tcPr>
            <w:tcW w:w="1061" w:type="dxa"/>
          </w:tcPr>
          <w:p>
            <w:pPr>
              <w:pStyle w:val="19"/>
              <w:spacing w:before="31"/>
              <w:ind w:left="284"/>
              <w:jc w:val="left"/>
              <w:rPr>
                <w:color w:val="0000FF"/>
                <w:sz w:val="21"/>
              </w:rPr>
            </w:pPr>
            <w:r>
              <w:rPr>
                <w:color w:val="0000FF"/>
                <w:sz w:val="21"/>
              </w:rPr>
              <w:t>村庄</w:t>
            </w:r>
          </w:p>
        </w:tc>
        <w:tc>
          <w:tcPr>
            <w:tcW w:w="820" w:type="dxa"/>
          </w:tcPr>
          <w:p>
            <w:pPr>
              <w:pStyle w:val="19"/>
              <w:spacing w:before="45"/>
              <w:ind w:left="150" w:right="141"/>
              <w:rPr>
                <w:rFonts w:ascii="Times New Roman"/>
                <w:color w:val="0000FF"/>
                <w:sz w:val="21"/>
              </w:rPr>
            </w:pPr>
            <w:r>
              <w:rPr>
                <w:rFonts w:ascii="Times New Roman"/>
                <w:color w:val="0000FF"/>
                <w:sz w:val="21"/>
              </w:rPr>
              <w:t>1500</w:t>
            </w:r>
          </w:p>
        </w:tc>
        <w:tc>
          <w:tcPr>
            <w:tcW w:w="2295" w:type="dxa"/>
            <w:vMerge w:val="restart"/>
          </w:tcPr>
          <w:p>
            <w:pPr>
              <w:pStyle w:val="19"/>
              <w:jc w:val="left"/>
              <w:rPr>
                <w:color w:val="0000FF"/>
                <w:sz w:val="20"/>
              </w:rPr>
            </w:pPr>
          </w:p>
          <w:p>
            <w:pPr>
              <w:pStyle w:val="19"/>
              <w:jc w:val="left"/>
              <w:rPr>
                <w:color w:val="0000FF"/>
                <w:sz w:val="20"/>
              </w:rPr>
            </w:pPr>
          </w:p>
          <w:p>
            <w:pPr>
              <w:pStyle w:val="19"/>
              <w:spacing w:before="155" w:line="255" w:lineRule="exact"/>
              <w:ind w:left="70" w:right="19"/>
              <w:rPr>
                <w:color w:val="0000FF"/>
                <w:sz w:val="21"/>
              </w:rPr>
            </w:pPr>
            <w:r>
              <w:rPr>
                <w:color w:val="0000FF"/>
                <w:w w:val="95"/>
                <w:sz w:val="21"/>
              </w:rPr>
              <w:t>《环境空气质量标准》</w:t>
            </w:r>
          </w:p>
          <w:p>
            <w:pPr>
              <w:pStyle w:val="19"/>
              <w:spacing w:line="240" w:lineRule="exact"/>
              <w:ind w:left="28" w:right="19"/>
              <w:rPr>
                <w:color w:val="0000FF"/>
                <w:sz w:val="21"/>
              </w:rPr>
            </w:pPr>
            <w:r>
              <w:rPr>
                <w:color w:val="0000FF"/>
                <w:sz w:val="21"/>
              </w:rPr>
              <w:t>（</w:t>
            </w:r>
            <w:r>
              <w:rPr>
                <w:rFonts w:ascii="Times New Roman" w:eastAsia="Times New Roman"/>
                <w:color w:val="0000FF"/>
                <w:sz w:val="21"/>
              </w:rPr>
              <w:t>GB3095-2012</w:t>
            </w:r>
            <w:r>
              <w:rPr>
                <w:color w:val="0000FF"/>
                <w:sz w:val="21"/>
              </w:rPr>
              <w:t>）二级</w:t>
            </w:r>
          </w:p>
          <w:p>
            <w:pPr>
              <w:pStyle w:val="19"/>
              <w:spacing w:line="255" w:lineRule="exact"/>
              <w:ind w:left="25" w:right="19"/>
              <w:rPr>
                <w:color w:val="0000FF"/>
                <w:sz w:val="21"/>
              </w:rPr>
            </w:pPr>
            <w:r>
              <w:rPr>
                <w:color w:val="0000FF"/>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760" w:type="dxa"/>
            <w:vMerge w:val="continue"/>
            <w:tcBorders>
              <w:top w:val="nil"/>
            </w:tcBorders>
          </w:tcPr>
          <w:p>
            <w:pPr>
              <w:rPr>
                <w:color w:val="0000FF"/>
                <w:sz w:val="2"/>
                <w:szCs w:val="2"/>
              </w:rPr>
            </w:pPr>
          </w:p>
        </w:tc>
        <w:tc>
          <w:tcPr>
            <w:tcW w:w="1902" w:type="dxa"/>
          </w:tcPr>
          <w:p>
            <w:pPr>
              <w:pStyle w:val="19"/>
              <w:spacing w:before="32"/>
              <w:ind w:left="24" w:right="17"/>
              <w:jc w:val="both"/>
              <w:rPr>
                <w:rFonts w:hint="default" w:eastAsia="宋体"/>
                <w:color w:val="0000FF"/>
                <w:sz w:val="21"/>
                <w:lang w:val="en-US" w:eastAsia="zh-CN"/>
              </w:rPr>
            </w:pPr>
            <w:r>
              <w:rPr>
                <w:rFonts w:hint="eastAsia"/>
                <w:color w:val="0000FF"/>
                <w:sz w:val="21"/>
                <w:lang w:val="en-US" w:eastAsia="zh-CN"/>
              </w:rPr>
              <w:t>孜热普夏提塔吉克族乡</w:t>
            </w:r>
          </w:p>
        </w:tc>
        <w:tc>
          <w:tcPr>
            <w:tcW w:w="1190" w:type="dxa"/>
          </w:tcPr>
          <w:p>
            <w:pPr>
              <w:pStyle w:val="19"/>
              <w:spacing w:before="32"/>
              <w:ind w:left="111" w:right="103"/>
              <w:rPr>
                <w:color w:val="0000FF"/>
                <w:sz w:val="21"/>
              </w:rPr>
            </w:pPr>
            <w:r>
              <w:rPr>
                <w:color w:val="0000FF"/>
                <w:sz w:val="21"/>
              </w:rPr>
              <w:t>西侧</w:t>
            </w:r>
          </w:p>
        </w:tc>
        <w:tc>
          <w:tcPr>
            <w:tcW w:w="1029" w:type="dxa"/>
          </w:tcPr>
          <w:p>
            <w:pPr>
              <w:pStyle w:val="19"/>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1800</w:t>
            </w:r>
          </w:p>
        </w:tc>
        <w:tc>
          <w:tcPr>
            <w:tcW w:w="1061" w:type="dxa"/>
          </w:tcPr>
          <w:p>
            <w:pPr>
              <w:pStyle w:val="19"/>
              <w:spacing w:before="32"/>
              <w:ind w:left="284"/>
              <w:jc w:val="left"/>
              <w:rPr>
                <w:color w:val="0000FF"/>
                <w:sz w:val="21"/>
              </w:rPr>
            </w:pPr>
            <w:r>
              <w:rPr>
                <w:color w:val="0000FF"/>
                <w:sz w:val="21"/>
              </w:rPr>
              <w:t>村庄</w:t>
            </w:r>
          </w:p>
        </w:tc>
        <w:tc>
          <w:tcPr>
            <w:tcW w:w="820" w:type="dxa"/>
          </w:tcPr>
          <w:p>
            <w:pPr>
              <w:pStyle w:val="19"/>
              <w:spacing w:before="46"/>
              <w:ind w:left="150" w:right="141"/>
              <w:rPr>
                <w:rFonts w:ascii="Times New Roman"/>
                <w:color w:val="0000FF"/>
                <w:sz w:val="21"/>
              </w:rPr>
            </w:pPr>
            <w:r>
              <w:rPr>
                <w:rFonts w:ascii="Times New Roman"/>
                <w:color w:val="0000FF"/>
                <w:sz w:val="21"/>
              </w:rPr>
              <w:t>1200</w:t>
            </w:r>
          </w:p>
        </w:tc>
        <w:tc>
          <w:tcPr>
            <w:tcW w:w="2295"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760" w:type="dxa"/>
            <w:vMerge w:val="continue"/>
            <w:tcBorders>
              <w:top w:val="nil"/>
            </w:tcBorders>
          </w:tcPr>
          <w:p>
            <w:pPr>
              <w:rPr>
                <w:color w:val="0000FF"/>
                <w:sz w:val="2"/>
                <w:szCs w:val="2"/>
              </w:rPr>
            </w:pPr>
          </w:p>
        </w:tc>
        <w:tc>
          <w:tcPr>
            <w:tcW w:w="1902" w:type="dxa"/>
          </w:tcPr>
          <w:p>
            <w:pPr>
              <w:pStyle w:val="19"/>
              <w:spacing w:before="32"/>
              <w:ind w:left="24" w:right="17"/>
              <w:rPr>
                <w:color w:val="0000FF"/>
                <w:sz w:val="21"/>
              </w:rPr>
            </w:pPr>
            <w:r>
              <w:rPr>
                <w:rFonts w:hint="eastAsia"/>
                <w:color w:val="0000FF"/>
                <w:sz w:val="21"/>
                <w:lang w:val="en-US" w:eastAsia="zh-CN"/>
              </w:rPr>
              <w:t>孜热普夏提</w:t>
            </w:r>
            <w:r>
              <w:rPr>
                <w:color w:val="0000FF"/>
                <w:sz w:val="21"/>
              </w:rPr>
              <w:t>村</w:t>
            </w:r>
          </w:p>
        </w:tc>
        <w:tc>
          <w:tcPr>
            <w:tcW w:w="1190" w:type="dxa"/>
          </w:tcPr>
          <w:p>
            <w:pPr>
              <w:pStyle w:val="19"/>
              <w:spacing w:before="32"/>
              <w:ind w:left="111" w:right="103"/>
              <w:rPr>
                <w:color w:val="0000FF"/>
                <w:sz w:val="21"/>
              </w:rPr>
            </w:pPr>
            <w:r>
              <w:rPr>
                <w:color w:val="0000FF"/>
                <w:sz w:val="21"/>
              </w:rPr>
              <w:t>西北侧</w:t>
            </w:r>
          </w:p>
        </w:tc>
        <w:tc>
          <w:tcPr>
            <w:tcW w:w="1029" w:type="dxa"/>
          </w:tcPr>
          <w:p>
            <w:pPr>
              <w:pStyle w:val="19"/>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1700</w:t>
            </w:r>
          </w:p>
        </w:tc>
        <w:tc>
          <w:tcPr>
            <w:tcW w:w="1061" w:type="dxa"/>
          </w:tcPr>
          <w:p>
            <w:pPr>
              <w:pStyle w:val="19"/>
              <w:spacing w:before="32"/>
              <w:ind w:left="284"/>
              <w:jc w:val="left"/>
              <w:rPr>
                <w:color w:val="0000FF"/>
                <w:sz w:val="21"/>
              </w:rPr>
            </w:pPr>
            <w:r>
              <w:rPr>
                <w:color w:val="0000FF"/>
                <w:sz w:val="21"/>
              </w:rPr>
              <w:t>村庄</w:t>
            </w:r>
          </w:p>
        </w:tc>
        <w:tc>
          <w:tcPr>
            <w:tcW w:w="820" w:type="dxa"/>
          </w:tcPr>
          <w:p>
            <w:pPr>
              <w:pStyle w:val="19"/>
              <w:spacing w:before="46"/>
              <w:ind w:left="150" w:right="141"/>
              <w:rPr>
                <w:rFonts w:ascii="Times New Roman"/>
                <w:color w:val="0000FF"/>
                <w:sz w:val="21"/>
              </w:rPr>
            </w:pPr>
            <w:r>
              <w:rPr>
                <w:rFonts w:ascii="Times New Roman"/>
                <w:color w:val="0000FF"/>
                <w:sz w:val="21"/>
              </w:rPr>
              <w:t>500</w:t>
            </w:r>
          </w:p>
        </w:tc>
        <w:tc>
          <w:tcPr>
            <w:tcW w:w="2295"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760" w:type="dxa"/>
            <w:vMerge w:val="continue"/>
            <w:tcBorders>
              <w:top w:val="nil"/>
            </w:tcBorders>
          </w:tcPr>
          <w:p>
            <w:pPr>
              <w:rPr>
                <w:color w:val="0000FF"/>
                <w:sz w:val="2"/>
                <w:szCs w:val="2"/>
              </w:rPr>
            </w:pPr>
          </w:p>
        </w:tc>
        <w:tc>
          <w:tcPr>
            <w:tcW w:w="1902" w:type="dxa"/>
          </w:tcPr>
          <w:p>
            <w:pPr>
              <w:pStyle w:val="19"/>
              <w:spacing w:before="32"/>
              <w:ind w:left="24" w:right="14"/>
              <w:rPr>
                <w:color w:val="0000FF"/>
                <w:sz w:val="21"/>
              </w:rPr>
            </w:pPr>
            <w:r>
              <w:rPr>
                <w:rFonts w:hint="eastAsia"/>
                <w:color w:val="0000FF"/>
                <w:sz w:val="21"/>
                <w:lang w:val="en-US" w:eastAsia="zh-CN"/>
              </w:rPr>
              <w:t>库孜玛勒</w:t>
            </w:r>
            <w:r>
              <w:rPr>
                <w:color w:val="0000FF"/>
                <w:sz w:val="21"/>
              </w:rPr>
              <w:t>村</w:t>
            </w:r>
          </w:p>
        </w:tc>
        <w:tc>
          <w:tcPr>
            <w:tcW w:w="1190" w:type="dxa"/>
          </w:tcPr>
          <w:p>
            <w:pPr>
              <w:pStyle w:val="19"/>
              <w:spacing w:before="32"/>
              <w:ind w:left="111" w:right="103"/>
              <w:rPr>
                <w:color w:val="0000FF"/>
                <w:sz w:val="21"/>
              </w:rPr>
            </w:pPr>
            <w:r>
              <w:rPr>
                <w:color w:val="0000FF"/>
                <w:sz w:val="21"/>
              </w:rPr>
              <w:t>西南侧</w:t>
            </w:r>
          </w:p>
        </w:tc>
        <w:tc>
          <w:tcPr>
            <w:tcW w:w="1029" w:type="dxa"/>
          </w:tcPr>
          <w:p>
            <w:pPr>
              <w:pStyle w:val="19"/>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2100</w:t>
            </w:r>
          </w:p>
        </w:tc>
        <w:tc>
          <w:tcPr>
            <w:tcW w:w="1061" w:type="dxa"/>
          </w:tcPr>
          <w:p>
            <w:pPr>
              <w:pStyle w:val="19"/>
              <w:spacing w:before="32"/>
              <w:ind w:left="284"/>
              <w:jc w:val="left"/>
              <w:rPr>
                <w:color w:val="0000FF"/>
                <w:sz w:val="21"/>
              </w:rPr>
            </w:pPr>
            <w:r>
              <w:rPr>
                <w:color w:val="0000FF"/>
                <w:sz w:val="21"/>
              </w:rPr>
              <w:t>村庄</w:t>
            </w:r>
          </w:p>
        </w:tc>
        <w:tc>
          <w:tcPr>
            <w:tcW w:w="820" w:type="dxa"/>
          </w:tcPr>
          <w:p>
            <w:pPr>
              <w:pStyle w:val="19"/>
              <w:spacing w:before="46"/>
              <w:ind w:left="150" w:right="141"/>
              <w:rPr>
                <w:rFonts w:ascii="Times New Roman"/>
                <w:color w:val="0000FF"/>
                <w:sz w:val="21"/>
              </w:rPr>
            </w:pPr>
            <w:r>
              <w:rPr>
                <w:rFonts w:ascii="Times New Roman"/>
                <w:color w:val="0000FF"/>
                <w:sz w:val="21"/>
              </w:rPr>
              <w:t>1500</w:t>
            </w:r>
          </w:p>
        </w:tc>
        <w:tc>
          <w:tcPr>
            <w:tcW w:w="2295"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760" w:type="dxa"/>
            <w:vMerge w:val="continue"/>
            <w:tcBorders>
              <w:top w:val="nil"/>
            </w:tcBorders>
          </w:tcPr>
          <w:p>
            <w:pPr>
              <w:rPr>
                <w:color w:val="0000FF"/>
                <w:sz w:val="2"/>
                <w:szCs w:val="2"/>
              </w:rPr>
            </w:pPr>
          </w:p>
        </w:tc>
        <w:tc>
          <w:tcPr>
            <w:tcW w:w="1902" w:type="dxa"/>
          </w:tcPr>
          <w:p>
            <w:pPr>
              <w:pStyle w:val="19"/>
              <w:spacing w:before="33"/>
              <w:ind w:left="23" w:right="18"/>
              <w:rPr>
                <w:color w:val="0000FF"/>
                <w:sz w:val="21"/>
              </w:rPr>
            </w:pPr>
            <w:r>
              <w:rPr>
                <w:rFonts w:hint="eastAsia"/>
                <w:color w:val="0000FF"/>
                <w:sz w:val="21"/>
                <w:lang w:val="en-US" w:eastAsia="zh-CN"/>
              </w:rPr>
              <w:t>喀勒提拉</w:t>
            </w:r>
            <w:r>
              <w:rPr>
                <w:color w:val="0000FF"/>
                <w:sz w:val="21"/>
              </w:rPr>
              <w:t>村</w:t>
            </w:r>
          </w:p>
        </w:tc>
        <w:tc>
          <w:tcPr>
            <w:tcW w:w="1190" w:type="dxa"/>
          </w:tcPr>
          <w:p>
            <w:pPr>
              <w:pStyle w:val="19"/>
              <w:spacing w:before="33"/>
              <w:ind w:left="111" w:right="103"/>
              <w:rPr>
                <w:color w:val="0000FF"/>
                <w:sz w:val="21"/>
              </w:rPr>
            </w:pPr>
            <w:r>
              <w:rPr>
                <w:rFonts w:hint="eastAsia"/>
                <w:color w:val="0000FF"/>
                <w:sz w:val="21"/>
                <w:lang w:val="en-US" w:eastAsia="zh-CN"/>
              </w:rPr>
              <w:t>东</w:t>
            </w:r>
            <w:r>
              <w:rPr>
                <w:color w:val="0000FF"/>
                <w:sz w:val="21"/>
              </w:rPr>
              <w:t>侧</w:t>
            </w:r>
          </w:p>
        </w:tc>
        <w:tc>
          <w:tcPr>
            <w:tcW w:w="1029" w:type="dxa"/>
          </w:tcPr>
          <w:p>
            <w:pPr>
              <w:pStyle w:val="19"/>
              <w:spacing w:before="47"/>
              <w:ind w:left="37" w:right="27"/>
              <w:rPr>
                <w:rFonts w:ascii="Times New Roman"/>
                <w:color w:val="0000FF"/>
                <w:sz w:val="21"/>
              </w:rPr>
            </w:pPr>
            <w:r>
              <w:rPr>
                <w:rFonts w:hint="eastAsia" w:ascii="Times New Roman"/>
                <w:color w:val="0000FF"/>
                <w:sz w:val="21"/>
                <w:lang w:val="en-US" w:eastAsia="zh-CN"/>
              </w:rPr>
              <w:t>22</w:t>
            </w:r>
            <w:r>
              <w:rPr>
                <w:rFonts w:ascii="Times New Roman"/>
                <w:color w:val="0000FF"/>
                <w:sz w:val="21"/>
              </w:rPr>
              <w:t>80</w:t>
            </w:r>
          </w:p>
        </w:tc>
        <w:tc>
          <w:tcPr>
            <w:tcW w:w="1061" w:type="dxa"/>
          </w:tcPr>
          <w:p>
            <w:pPr>
              <w:pStyle w:val="19"/>
              <w:spacing w:before="33"/>
              <w:ind w:left="284"/>
              <w:jc w:val="left"/>
              <w:rPr>
                <w:color w:val="0000FF"/>
                <w:sz w:val="21"/>
              </w:rPr>
            </w:pPr>
            <w:r>
              <w:rPr>
                <w:color w:val="0000FF"/>
                <w:sz w:val="21"/>
              </w:rPr>
              <w:t>村庄</w:t>
            </w:r>
          </w:p>
        </w:tc>
        <w:tc>
          <w:tcPr>
            <w:tcW w:w="820" w:type="dxa"/>
          </w:tcPr>
          <w:p>
            <w:pPr>
              <w:pStyle w:val="19"/>
              <w:spacing w:before="47"/>
              <w:ind w:left="151" w:right="140"/>
              <w:rPr>
                <w:rFonts w:ascii="Times New Roman"/>
                <w:color w:val="0000FF"/>
                <w:sz w:val="21"/>
              </w:rPr>
            </w:pPr>
            <w:r>
              <w:rPr>
                <w:rFonts w:ascii="Times New Roman"/>
                <w:color w:val="0000FF"/>
                <w:sz w:val="21"/>
              </w:rPr>
              <w:t>700</w:t>
            </w:r>
          </w:p>
        </w:tc>
        <w:tc>
          <w:tcPr>
            <w:tcW w:w="2295"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760" w:type="dxa"/>
          </w:tcPr>
          <w:p>
            <w:pPr>
              <w:pStyle w:val="19"/>
              <w:spacing w:before="3"/>
              <w:jc w:val="left"/>
              <w:rPr>
                <w:color w:val="0000FF"/>
                <w:sz w:val="17"/>
              </w:rPr>
            </w:pPr>
          </w:p>
          <w:p>
            <w:pPr>
              <w:pStyle w:val="19"/>
              <w:ind w:left="39"/>
              <w:jc w:val="left"/>
              <w:rPr>
                <w:color w:val="0000FF"/>
                <w:sz w:val="21"/>
              </w:rPr>
            </w:pPr>
            <w:r>
              <w:rPr>
                <w:color w:val="0000FF"/>
                <w:sz w:val="21"/>
              </w:rPr>
              <w:t>水环境</w:t>
            </w:r>
          </w:p>
        </w:tc>
        <w:tc>
          <w:tcPr>
            <w:tcW w:w="1902" w:type="dxa"/>
          </w:tcPr>
          <w:p>
            <w:pPr>
              <w:pStyle w:val="19"/>
              <w:spacing w:before="3"/>
              <w:jc w:val="left"/>
              <w:rPr>
                <w:color w:val="0000FF"/>
                <w:sz w:val="17"/>
              </w:rPr>
            </w:pPr>
          </w:p>
          <w:p>
            <w:pPr>
              <w:pStyle w:val="19"/>
              <w:ind w:left="24" w:right="17"/>
              <w:rPr>
                <w:color w:val="0000FF"/>
                <w:sz w:val="21"/>
              </w:rPr>
            </w:pPr>
            <w:r>
              <w:rPr>
                <w:color w:val="0000FF"/>
                <w:sz w:val="21"/>
              </w:rPr>
              <w:t>地下水</w:t>
            </w:r>
          </w:p>
        </w:tc>
        <w:tc>
          <w:tcPr>
            <w:tcW w:w="1190" w:type="dxa"/>
          </w:tcPr>
          <w:p>
            <w:pPr>
              <w:pStyle w:val="19"/>
              <w:spacing w:before="3"/>
              <w:jc w:val="left"/>
              <w:rPr>
                <w:color w:val="0000FF"/>
                <w:sz w:val="17"/>
              </w:rPr>
            </w:pPr>
          </w:p>
          <w:p>
            <w:pPr>
              <w:pStyle w:val="19"/>
              <w:ind w:left="109" w:right="103"/>
              <w:rPr>
                <w:color w:val="0000FF"/>
                <w:sz w:val="21"/>
              </w:rPr>
            </w:pPr>
            <w:r>
              <w:rPr>
                <w:color w:val="0000FF"/>
                <w:sz w:val="21"/>
              </w:rPr>
              <w:t>厂址区域</w:t>
            </w:r>
          </w:p>
        </w:tc>
        <w:tc>
          <w:tcPr>
            <w:tcW w:w="1029" w:type="dxa"/>
          </w:tcPr>
          <w:p>
            <w:pPr>
              <w:pStyle w:val="19"/>
              <w:spacing w:before="3"/>
              <w:jc w:val="left"/>
              <w:rPr>
                <w:color w:val="0000FF"/>
                <w:sz w:val="17"/>
              </w:rPr>
            </w:pPr>
          </w:p>
          <w:p>
            <w:pPr>
              <w:pStyle w:val="19"/>
              <w:ind w:left="37" w:right="33"/>
              <w:rPr>
                <w:color w:val="0000FF"/>
                <w:sz w:val="21"/>
              </w:rPr>
            </w:pPr>
            <w:r>
              <w:rPr>
                <w:color w:val="0000FF"/>
                <w:sz w:val="21"/>
              </w:rPr>
              <w:t>厂址区域</w:t>
            </w:r>
          </w:p>
        </w:tc>
        <w:tc>
          <w:tcPr>
            <w:tcW w:w="1061" w:type="dxa"/>
          </w:tcPr>
          <w:p>
            <w:pPr>
              <w:pStyle w:val="19"/>
              <w:spacing w:before="3"/>
              <w:jc w:val="left"/>
              <w:rPr>
                <w:color w:val="0000FF"/>
                <w:sz w:val="17"/>
              </w:rPr>
            </w:pPr>
          </w:p>
          <w:p>
            <w:pPr>
              <w:pStyle w:val="19"/>
              <w:ind w:left="284"/>
              <w:jc w:val="left"/>
              <w:rPr>
                <w:color w:val="0000FF"/>
                <w:sz w:val="21"/>
              </w:rPr>
            </w:pPr>
            <w:r>
              <w:rPr>
                <w:color w:val="0000FF"/>
                <w:sz w:val="21"/>
              </w:rPr>
              <w:t>水质</w:t>
            </w:r>
          </w:p>
        </w:tc>
        <w:tc>
          <w:tcPr>
            <w:tcW w:w="820" w:type="dxa"/>
          </w:tcPr>
          <w:p>
            <w:pPr>
              <w:pStyle w:val="19"/>
              <w:spacing w:before="3"/>
              <w:jc w:val="left"/>
              <w:rPr>
                <w:color w:val="0000FF"/>
                <w:sz w:val="17"/>
              </w:rPr>
            </w:pPr>
          </w:p>
          <w:p>
            <w:pPr>
              <w:pStyle w:val="19"/>
              <w:ind w:left="5"/>
              <w:rPr>
                <w:color w:val="0000FF"/>
                <w:sz w:val="21"/>
              </w:rPr>
            </w:pPr>
            <w:r>
              <w:rPr>
                <w:color w:val="0000FF"/>
                <w:w w:val="99"/>
                <w:sz w:val="21"/>
              </w:rPr>
              <w:t>—</w:t>
            </w:r>
          </w:p>
        </w:tc>
        <w:tc>
          <w:tcPr>
            <w:tcW w:w="2295" w:type="dxa"/>
          </w:tcPr>
          <w:p>
            <w:pPr>
              <w:pStyle w:val="19"/>
              <w:spacing w:before="4" w:line="213" w:lineRule="auto"/>
              <w:ind w:left="36" w:right="129"/>
              <w:jc w:val="left"/>
              <w:rPr>
                <w:rFonts w:ascii="Times New Roman" w:eastAsia="Times New Roman"/>
                <w:color w:val="0000FF"/>
                <w:sz w:val="21"/>
              </w:rPr>
            </w:pPr>
            <w:r>
              <w:rPr>
                <w:color w:val="0000FF"/>
                <w:sz w:val="21"/>
              </w:rPr>
              <w:t>《地下水环境质量标</w:t>
            </w:r>
            <w:r>
              <w:rPr>
                <w:color w:val="0000FF"/>
                <w:spacing w:val="-80"/>
                <w:w w:val="95"/>
                <w:sz w:val="21"/>
              </w:rPr>
              <w:t>准》</w:t>
            </w:r>
            <w:r>
              <w:rPr>
                <w:color w:val="0000FF"/>
                <w:w w:val="95"/>
                <w:sz w:val="21"/>
              </w:rPr>
              <w:t>（</w:t>
            </w:r>
            <w:r>
              <w:rPr>
                <w:rFonts w:ascii="Times New Roman" w:eastAsia="Times New Roman"/>
                <w:color w:val="0000FF"/>
                <w:w w:val="95"/>
                <w:sz w:val="21"/>
              </w:rPr>
              <w:t>GB/T14848-2017</w:t>
            </w:r>
          </w:p>
          <w:p>
            <w:pPr>
              <w:pStyle w:val="19"/>
              <w:spacing w:line="217" w:lineRule="exact"/>
              <w:ind w:left="36"/>
              <w:jc w:val="left"/>
              <w:rPr>
                <w:color w:val="0000FF"/>
                <w:sz w:val="21"/>
              </w:rPr>
            </w:pPr>
            <w:r>
              <w:rPr>
                <w:color w:val="0000FF"/>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760" w:type="dxa"/>
          </w:tcPr>
          <w:p>
            <w:pPr>
              <w:pStyle w:val="19"/>
              <w:spacing w:before="1" w:line="240" w:lineRule="exact"/>
              <w:ind w:left="142" w:right="136"/>
              <w:jc w:val="left"/>
              <w:rPr>
                <w:color w:val="0000FF"/>
                <w:sz w:val="21"/>
              </w:rPr>
            </w:pPr>
            <w:r>
              <w:rPr>
                <w:color w:val="0000FF"/>
                <w:sz w:val="21"/>
              </w:rPr>
              <w:t>土壤环境</w:t>
            </w:r>
          </w:p>
        </w:tc>
        <w:tc>
          <w:tcPr>
            <w:tcW w:w="1902" w:type="dxa"/>
          </w:tcPr>
          <w:p>
            <w:pPr>
              <w:pStyle w:val="19"/>
              <w:spacing w:before="103"/>
              <w:ind w:left="24" w:right="17"/>
              <w:rPr>
                <w:color w:val="0000FF"/>
                <w:sz w:val="21"/>
              </w:rPr>
            </w:pPr>
            <w:r>
              <w:rPr>
                <w:color w:val="0000FF"/>
                <w:sz w:val="21"/>
              </w:rPr>
              <w:t>耕地</w:t>
            </w:r>
          </w:p>
        </w:tc>
        <w:tc>
          <w:tcPr>
            <w:tcW w:w="1190" w:type="dxa"/>
          </w:tcPr>
          <w:p>
            <w:pPr>
              <w:pStyle w:val="19"/>
              <w:spacing w:before="103"/>
              <w:ind w:left="111" w:right="103"/>
              <w:rPr>
                <w:color w:val="0000FF"/>
                <w:sz w:val="21"/>
              </w:rPr>
            </w:pPr>
            <w:r>
              <w:rPr>
                <w:color w:val="0000FF"/>
                <w:sz w:val="21"/>
              </w:rPr>
              <w:t>四周</w:t>
            </w:r>
          </w:p>
        </w:tc>
        <w:tc>
          <w:tcPr>
            <w:tcW w:w="1029" w:type="dxa"/>
          </w:tcPr>
          <w:p>
            <w:pPr>
              <w:pStyle w:val="19"/>
              <w:spacing w:before="103"/>
              <w:ind w:left="37" w:right="30"/>
              <w:rPr>
                <w:color w:val="0000FF"/>
                <w:sz w:val="21"/>
              </w:rPr>
            </w:pPr>
            <w:r>
              <w:rPr>
                <w:color w:val="0000FF"/>
                <w:sz w:val="21"/>
              </w:rPr>
              <w:t>四周</w:t>
            </w:r>
          </w:p>
        </w:tc>
        <w:tc>
          <w:tcPr>
            <w:tcW w:w="1061" w:type="dxa"/>
          </w:tcPr>
          <w:p>
            <w:pPr>
              <w:pStyle w:val="19"/>
              <w:spacing w:before="103"/>
              <w:ind w:left="284"/>
              <w:jc w:val="left"/>
              <w:rPr>
                <w:color w:val="0000FF"/>
                <w:sz w:val="21"/>
              </w:rPr>
            </w:pPr>
            <w:r>
              <w:rPr>
                <w:color w:val="0000FF"/>
                <w:sz w:val="21"/>
              </w:rPr>
              <w:t>耕地</w:t>
            </w:r>
          </w:p>
        </w:tc>
        <w:tc>
          <w:tcPr>
            <w:tcW w:w="820" w:type="dxa"/>
          </w:tcPr>
          <w:p>
            <w:pPr>
              <w:pStyle w:val="19"/>
              <w:spacing w:before="103"/>
              <w:ind w:left="5"/>
              <w:rPr>
                <w:color w:val="0000FF"/>
                <w:sz w:val="21"/>
              </w:rPr>
            </w:pPr>
            <w:r>
              <w:rPr>
                <w:color w:val="0000FF"/>
                <w:w w:val="99"/>
                <w:sz w:val="21"/>
              </w:rPr>
              <w:t>—</w:t>
            </w:r>
          </w:p>
        </w:tc>
        <w:tc>
          <w:tcPr>
            <w:tcW w:w="2295" w:type="dxa"/>
          </w:tcPr>
          <w:p>
            <w:pPr>
              <w:pStyle w:val="19"/>
              <w:spacing w:before="103"/>
              <w:ind w:left="28" w:right="19"/>
              <w:rPr>
                <w:color w:val="0000FF"/>
                <w:sz w:val="21"/>
              </w:rPr>
            </w:pPr>
            <w:r>
              <w:rPr>
                <w:color w:val="0000FF"/>
                <w:sz w:val="21"/>
              </w:rPr>
              <w:t>不受影响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60" w:type="dxa"/>
          </w:tcPr>
          <w:p>
            <w:pPr>
              <w:pStyle w:val="19"/>
              <w:spacing w:line="236" w:lineRule="exact"/>
              <w:ind w:left="142"/>
              <w:jc w:val="left"/>
              <w:rPr>
                <w:color w:val="0000FF"/>
                <w:sz w:val="21"/>
              </w:rPr>
            </w:pPr>
            <w:r>
              <w:rPr>
                <w:color w:val="0000FF"/>
                <w:spacing w:val="-1"/>
                <w:w w:val="95"/>
                <w:sz w:val="21"/>
              </w:rPr>
              <w:t>环境</w:t>
            </w:r>
          </w:p>
          <w:p>
            <w:pPr>
              <w:pStyle w:val="19"/>
              <w:spacing w:line="223" w:lineRule="exact"/>
              <w:ind w:left="142"/>
              <w:jc w:val="left"/>
              <w:rPr>
                <w:color w:val="0000FF"/>
                <w:sz w:val="21"/>
              </w:rPr>
            </w:pPr>
            <w:r>
              <w:rPr>
                <w:color w:val="0000FF"/>
                <w:spacing w:val="-1"/>
                <w:w w:val="95"/>
                <w:sz w:val="21"/>
              </w:rPr>
              <w:t>风险</w:t>
            </w:r>
          </w:p>
        </w:tc>
        <w:tc>
          <w:tcPr>
            <w:tcW w:w="1902" w:type="dxa"/>
          </w:tcPr>
          <w:p>
            <w:pPr>
              <w:pStyle w:val="19"/>
              <w:spacing w:line="236" w:lineRule="exact"/>
              <w:ind w:left="36"/>
              <w:jc w:val="left"/>
              <w:rPr>
                <w:color w:val="0000FF"/>
                <w:sz w:val="21"/>
              </w:rPr>
            </w:pPr>
            <w:r>
              <w:rPr>
                <w:color w:val="0000FF"/>
                <w:sz w:val="21"/>
              </w:rPr>
              <w:t>村庄、地下水、大</w:t>
            </w:r>
          </w:p>
          <w:p>
            <w:pPr>
              <w:pStyle w:val="19"/>
              <w:spacing w:line="223" w:lineRule="exact"/>
              <w:ind w:left="36"/>
              <w:jc w:val="left"/>
              <w:rPr>
                <w:color w:val="0000FF"/>
                <w:sz w:val="21"/>
              </w:rPr>
            </w:pPr>
            <w:r>
              <w:rPr>
                <w:color w:val="0000FF"/>
                <w:sz w:val="21"/>
              </w:rPr>
              <w:t>气环境</w:t>
            </w:r>
          </w:p>
        </w:tc>
        <w:tc>
          <w:tcPr>
            <w:tcW w:w="1190" w:type="dxa"/>
          </w:tcPr>
          <w:p>
            <w:pPr>
              <w:pStyle w:val="19"/>
              <w:spacing w:line="236" w:lineRule="exact"/>
              <w:ind w:left="35"/>
              <w:jc w:val="left"/>
              <w:rPr>
                <w:color w:val="0000FF"/>
                <w:sz w:val="21"/>
              </w:rPr>
            </w:pPr>
            <w:r>
              <w:rPr>
                <w:color w:val="0000FF"/>
                <w:sz w:val="21"/>
              </w:rPr>
              <w:t>村庄、地下</w:t>
            </w:r>
          </w:p>
          <w:p>
            <w:pPr>
              <w:pStyle w:val="19"/>
              <w:spacing w:line="223" w:lineRule="exact"/>
              <w:ind w:left="35"/>
              <w:jc w:val="left"/>
              <w:rPr>
                <w:color w:val="0000FF"/>
                <w:sz w:val="21"/>
              </w:rPr>
            </w:pPr>
            <w:r>
              <w:rPr>
                <w:color w:val="0000FF"/>
                <w:sz w:val="21"/>
              </w:rPr>
              <w:t>水、大气</w:t>
            </w:r>
          </w:p>
        </w:tc>
        <w:tc>
          <w:tcPr>
            <w:tcW w:w="1029" w:type="dxa"/>
          </w:tcPr>
          <w:p>
            <w:pPr>
              <w:pStyle w:val="19"/>
              <w:spacing w:before="115"/>
              <w:ind w:left="37" w:right="27"/>
              <w:rPr>
                <w:rFonts w:ascii="Times New Roman"/>
                <w:color w:val="0000FF"/>
                <w:sz w:val="21"/>
              </w:rPr>
            </w:pPr>
            <w:r>
              <w:rPr>
                <w:rFonts w:ascii="Times New Roman"/>
                <w:color w:val="0000FF"/>
                <w:sz w:val="21"/>
              </w:rPr>
              <w:t>500</w:t>
            </w:r>
          </w:p>
        </w:tc>
        <w:tc>
          <w:tcPr>
            <w:tcW w:w="1061" w:type="dxa"/>
          </w:tcPr>
          <w:p>
            <w:pPr>
              <w:pStyle w:val="19"/>
              <w:spacing w:before="101"/>
              <w:ind w:left="8"/>
              <w:rPr>
                <w:color w:val="0000FF"/>
                <w:sz w:val="21"/>
              </w:rPr>
            </w:pPr>
            <w:r>
              <w:rPr>
                <w:color w:val="0000FF"/>
                <w:w w:val="99"/>
                <w:sz w:val="21"/>
              </w:rPr>
              <w:t>—</w:t>
            </w:r>
          </w:p>
        </w:tc>
        <w:tc>
          <w:tcPr>
            <w:tcW w:w="820" w:type="dxa"/>
          </w:tcPr>
          <w:p>
            <w:pPr>
              <w:pStyle w:val="19"/>
              <w:spacing w:before="101"/>
              <w:ind w:left="5"/>
              <w:rPr>
                <w:color w:val="0000FF"/>
                <w:sz w:val="21"/>
              </w:rPr>
            </w:pPr>
            <w:r>
              <w:rPr>
                <w:color w:val="0000FF"/>
                <w:w w:val="99"/>
                <w:sz w:val="21"/>
              </w:rPr>
              <w:t>—</w:t>
            </w:r>
          </w:p>
        </w:tc>
        <w:tc>
          <w:tcPr>
            <w:tcW w:w="2295" w:type="dxa"/>
          </w:tcPr>
          <w:p>
            <w:pPr>
              <w:pStyle w:val="19"/>
              <w:spacing w:before="101"/>
              <w:ind w:left="28" w:right="19"/>
              <w:rPr>
                <w:color w:val="0000FF"/>
                <w:sz w:val="21"/>
              </w:rPr>
            </w:pPr>
            <w:r>
              <w:rPr>
                <w:color w:val="0000FF"/>
                <w:sz w:val="21"/>
              </w:rPr>
              <w:t>不受风险事故影响</w:t>
            </w:r>
          </w:p>
        </w:tc>
      </w:tr>
    </w:tbl>
    <w:p>
      <w:pPr>
        <w:pStyle w:val="4"/>
        <w:numPr>
          <w:ilvl w:val="1"/>
          <w:numId w:val="16"/>
        </w:numPr>
        <w:tabs>
          <w:tab w:val="left" w:pos="1100"/>
        </w:tabs>
        <w:spacing w:before="171" w:after="0" w:line="240" w:lineRule="auto"/>
        <w:ind w:left="1099" w:right="0" w:hanging="560"/>
        <w:jc w:val="left"/>
        <w:outlineLvl w:val="1"/>
      </w:pPr>
      <w:bookmarkStart w:id="94" w:name="_bookmark15"/>
      <w:bookmarkEnd w:id="94"/>
      <w:bookmarkStart w:id="95" w:name="2.8 评价总体思路及评价重点"/>
      <w:bookmarkEnd w:id="95"/>
      <w:bookmarkStart w:id="96" w:name="_Toc4758"/>
      <w:r>
        <w:t>评价总体思路及评价重点</w:t>
      </w:r>
      <w:bookmarkEnd w:id="96"/>
    </w:p>
    <w:p>
      <w:pPr>
        <w:pStyle w:val="7"/>
        <w:spacing w:before="5"/>
        <w:ind w:left="0"/>
        <w:rPr>
          <w:b/>
          <w:sz w:val="28"/>
        </w:rPr>
      </w:pPr>
    </w:p>
    <w:p>
      <w:pPr>
        <w:pStyle w:val="5"/>
        <w:numPr>
          <w:ilvl w:val="2"/>
          <w:numId w:val="16"/>
        </w:numPr>
        <w:tabs>
          <w:tab w:val="left" w:pos="1241"/>
        </w:tabs>
        <w:spacing w:before="0" w:after="0" w:line="240" w:lineRule="auto"/>
        <w:ind w:left="1240" w:right="0" w:hanging="701"/>
        <w:jc w:val="left"/>
        <w:outlineLvl w:val="2"/>
      </w:pPr>
      <w:bookmarkStart w:id="97" w:name="2.8.1 评价总体思路"/>
      <w:bookmarkEnd w:id="97"/>
      <w:bookmarkStart w:id="98" w:name="2.8.1 评价总体思路"/>
      <w:bookmarkEnd w:id="98"/>
      <w:bookmarkStart w:id="99" w:name="_Toc694"/>
      <w:r>
        <w:t>评价总体思路</w:t>
      </w:r>
      <w:bookmarkEnd w:id="99"/>
    </w:p>
    <w:p>
      <w:pPr>
        <w:pStyle w:val="7"/>
        <w:spacing w:before="8"/>
        <w:ind w:left="0"/>
        <w:rPr>
          <w:b/>
          <w:sz w:val="21"/>
        </w:rPr>
      </w:pPr>
    </w:p>
    <w:p>
      <w:pPr>
        <w:pStyle w:val="7"/>
        <w:ind w:left="0" w:right="2885"/>
        <w:jc w:val="right"/>
      </w:pPr>
      <w:r>
        <w:t>针对本项目工程特点，本次评价工作的总体思路为：</w:t>
      </w:r>
    </w:p>
    <w:p>
      <w:pPr>
        <w:pStyle w:val="18"/>
        <w:numPr>
          <w:ilvl w:val="0"/>
          <w:numId w:val="17"/>
        </w:numPr>
        <w:tabs>
          <w:tab w:val="left" w:pos="1621"/>
        </w:tabs>
        <w:spacing w:before="160" w:after="0" w:line="364" w:lineRule="auto"/>
        <w:ind w:left="540" w:right="577" w:firstLine="480"/>
        <w:jc w:val="both"/>
        <w:rPr>
          <w:sz w:val="24"/>
        </w:rPr>
      </w:pPr>
      <w:r>
        <w:rPr>
          <w:spacing w:val="-1"/>
          <w:sz w:val="24"/>
        </w:rPr>
        <w:t>通过类比同类工程、实测数据和查阅资料的方法对本次工程产污情况</w:t>
      </w:r>
      <w:r>
        <w:rPr>
          <w:spacing w:val="-11"/>
          <w:sz w:val="24"/>
        </w:rPr>
        <w:t>进行分析，确定工程污染物产生源强。分析工程各污染物所采取的治理措施的技</w:t>
      </w:r>
      <w:r>
        <w:rPr>
          <w:spacing w:val="-10"/>
          <w:sz w:val="24"/>
        </w:rPr>
        <w:t>术成熟性、稳定性及可靠性，并根据所采取的污染治理措施的治理效果，对工程</w:t>
      </w:r>
      <w:r>
        <w:rPr>
          <w:sz w:val="24"/>
        </w:rPr>
        <w:t>所排放的各类污染物进行达标分析。</w:t>
      </w:r>
    </w:p>
    <w:p>
      <w:pPr>
        <w:pStyle w:val="18"/>
        <w:numPr>
          <w:ilvl w:val="0"/>
          <w:numId w:val="17"/>
        </w:numPr>
        <w:tabs>
          <w:tab w:val="left" w:pos="1621"/>
        </w:tabs>
        <w:spacing w:before="3" w:after="0" w:line="364" w:lineRule="auto"/>
        <w:ind w:left="540" w:right="580" w:firstLine="480"/>
        <w:jc w:val="left"/>
        <w:rPr>
          <w:sz w:val="24"/>
        </w:rPr>
      </w:pPr>
      <w:r>
        <w:rPr>
          <w:spacing w:val="-1"/>
          <w:sz w:val="24"/>
        </w:rPr>
        <w:t>在对项目区域的自然环境进行调研及环境质量现状监测的基础上，评</w:t>
      </w:r>
      <w:r>
        <w:rPr>
          <w:sz w:val="24"/>
        </w:rPr>
        <w:t>价其环境质量现状。</w:t>
      </w:r>
    </w:p>
    <w:p>
      <w:pPr>
        <w:pStyle w:val="18"/>
        <w:numPr>
          <w:ilvl w:val="0"/>
          <w:numId w:val="17"/>
        </w:numPr>
        <w:tabs>
          <w:tab w:val="left" w:pos="1621"/>
        </w:tabs>
        <w:spacing w:before="1" w:after="0" w:line="364" w:lineRule="auto"/>
        <w:ind w:left="540" w:right="580" w:firstLine="480"/>
        <w:jc w:val="left"/>
        <w:rPr>
          <w:sz w:val="24"/>
        </w:rPr>
      </w:pPr>
      <w:r>
        <w:rPr>
          <w:spacing w:val="-1"/>
          <w:sz w:val="24"/>
        </w:rPr>
        <w:t>根据工程特点及环境特点，采用合适的预测模式及预测参数，预测分</w:t>
      </w:r>
      <w:r>
        <w:rPr>
          <w:sz w:val="24"/>
        </w:rPr>
        <w:t>析本工程污染物排放对周围环境的影响程度和范围，从而分析环境可接受性。</w:t>
      </w:r>
    </w:p>
    <w:p>
      <w:pPr>
        <w:pStyle w:val="18"/>
        <w:numPr>
          <w:ilvl w:val="0"/>
          <w:numId w:val="17"/>
        </w:numPr>
        <w:tabs>
          <w:tab w:val="left" w:pos="1621"/>
        </w:tabs>
        <w:spacing w:before="1" w:after="0" w:line="364" w:lineRule="auto"/>
        <w:ind w:left="540" w:right="580" w:firstLine="480"/>
        <w:jc w:val="left"/>
        <w:rPr>
          <w:sz w:val="24"/>
        </w:rPr>
      </w:pPr>
      <w:r>
        <w:rPr>
          <w:spacing w:val="-1"/>
          <w:sz w:val="24"/>
        </w:rPr>
        <w:t>从经济效益、社会效益、环境效益三个方面分析项目环境影响经济损</w:t>
      </w:r>
      <w:r>
        <w:rPr>
          <w:sz w:val="24"/>
        </w:rPr>
        <w:t>益，从环境经济角度分析项目建设的可行性。</w:t>
      </w:r>
    </w:p>
    <w:p>
      <w:pPr>
        <w:pStyle w:val="18"/>
        <w:numPr>
          <w:ilvl w:val="0"/>
          <w:numId w:val="17"/>
        </w:numPr>
        <w:tabs>
          <w:tab w:val="left" w:pos="1621"/>
        </w:tabs>
        <w:spacing w:before="1" w:after="0" w:line="364" w:lineRule="auto"/>
        <w:ind w:left="540" w:right="580" w:firstLine="480"/>
        <w:jc w:val="left"/>
        <w:rPr>
          <w:sz w:val="9"/>
        </w:rPr>
      </w:pPr>
      <w:r>
        <w:rPr>
          <w:spacing w:val="-1"/>
          <w:sz w:val="24"/>
        </w:rPr>
        <w:t>根据工程产污特征，提出运行环境管理要求，并制订相应的环境监测</w:t>
      </w:r>
      <w:r>
        <w:rPr>
          <w:sz w:val="24"/>
        </w:rPr>
        <w:t>计划，为环境管理和环保主管部门决策提供科学依据。从环保角度对工程的环境可行性做出明确的结论。</w:t>
      </w:r>
    </w:p>
    <w:p>
      <w:pPr>
        <w:pStyle w:val="5"/>
        <w:numPr>
          <w:ilvl w:val="2"/>
          <w:numId w:val="16"/>
        </w:numPr>
        <w:tabs>
          <w:tab w:val="left" w:pos="1241"/>
        </w:tabs>
        <w:spacing w:before="73" w:after="0" w:line="240" w:lineRule="auto"/>
        <w:ind w:left="1240" w:right="0" w:hanging="701"/>
        <w:jc w:val="left"/>
        <w:outlineLvl w:val="2"/>
      </w:pPr>
      <w:bookmarkStart w:id="100" w:name="2.8.2 评价重点"/>
      <w:bookmarkEnd w:id="100"/>
      <w:bookmarkStart w:id="101" w:name="2.8.2 评价重点"/>
      <w:bookmarkEnd w:id="101"/>
      <w:bookmarkStart w:id="102" w:name="_Toc2143"/>
      <w:r>
        <w:t>评价重点</w:t>
      </w:r>
      <w:bookmarkEnd w:id="102"/>
    </w:p>
    <w:p>
      <w:pPr>
        <w:pStyle w:val="7"/>
        <w:spacing w:before="5"/>
        <w:ind w:left="0"/>
        <w:rPr>
          <w:b/>
          <w:sz w:val="21"/>
        </w:rPr>
      </w:pPr>
    </w:p>
    <w:p>
      <w:pPr>
        <w:pStyle w:val="7"/>
        <w:spacing w:line="364" w:lineRule="auto"/>
        <w:ind w:right="577" w:firstLine="480"/>
      </w:pPr>
      <w:r>
        <w:rPr>
          <w:spacing w:val="-7"/>
        </w:rPr>
        <w:t>根据项目所在区域环境质量现状，针对本项目的特点和排污特征，确定本次</w:t>
      </w:r>
      <w:r>
        <w:t>评价的重点如下：</w:t>
      </w:r>
    </w:p>
    <w:p>
      <w:pPr>
        <w:pStyle w:val="18"/>
        <w:numPr>
          <w:ilvl w:val="0"/>
          <w:numId w:val="18"/>
        </w:numPr>
        <w:tabs>
          <w:tab w:val="left" w:pos="1621"/>
        </w:tabs>
        <w:spacing w:before="1" w:after="0" w:line="364" w:lineRule="auto"/>
        <w:ind w:left="540" w:right="577" w:firstLine="480"/>
        <w:jc w:val="both"/>
        <w:rPr>
          <w:sz w:val="24"/>
        </w:rPr>
      </w:pPr>
      <w:r>
        <w:rPr>
          <w:spacing w:val="-1"/>
          <w:sz w:val="24"/>
        </w:rPr>
        <w:t>突出工程分析，认真调查本工程建设情况，清楚了解养殖生产过程中</w:t>
      </w:r>
      <w:r>
        <w:rPr>
          <w:spacing w:val="-7"/>
          <w:sz w:val="24"/>
        </w:rPr>
        <w:t>各类污染物的排放特点、排放规律及排放量，分析项目废水不外排的可行性，恶</w:t>
      </w:r>
      <w:r>
        <w:rPr>
          <w:spacing w:val="-6"/>
          <w:sz w:val="24"/>
        </w:rPr>
        <w:t>臭的环境影响及防治措施的可行性，粪便以及病疫动物尸体处置的可行性，确保</w:t>
      </w:r>
      <w:r>
        <w:rPr>
          <w:sz w:val="24"/>
        </w:rPr>
        <w:t>各项污染物达标排放。</w:t>
      </w:r>
    </w:p>
    <w:p>
      <w:pPr>
        <w:pStyle w:val="18"/>
        <w:numPr>
          <w:ilvl w:val="0"/>
          <w:numId w:val="18"/>
        </w:numPr>
        <w:tabs>
          <w:tab w:val="left" w:pos="1621"/>
        </w:tabs>
        <w:spacing w:before="3" w:after="0" w:line="364" w:lineRule="auto"/>
        <w:ind w:left="540" w:right="580" w:firstLine="480"/>
        <w:jc w:val="left"/>
        <w:rPr>
          <w:sz w:val="24"/>
        </w:rPr>
      </w:pPr>
      <w:r>
        <w:rPr>
          <w:spacing w:val="-1"/>
          <w:sz w:val="24"/>
        </w:rPr>
        <w:t>从达标排放、固废资源化、农业生态的角度出发，论证环保措施的可</w:t>
      </w:r>
      <w:r>
        <w:rPr>
          <w:sz w:val="24"/>
        </w:rPr>
        <w:t>行性。</w:t>
      </w:r>
    </w:p>
    <w:p>
      <w:pPr>
        <w:spacing w:after="0" w:line="364" w:lineRule="auto"/>
        <w:jc w:val="left"/>
        <w:rPr>
          <w:sz w:val="24"/>
        </w:rPr>
        <w:sectPr>
          <w:footerReference r:id="rId18"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2"/>
        </w:tabs>
        <w:ind w:right="35"/>
        <w:outlineLvl w:val="0"/>
      </w:pPr>
      <w:bookmarkStart w:id="103" w:name="_Toc23542"/>
      <w:r>
        <w:t>第三章</w:t>
      </w:r>
      <w:r>
        <w:tab/>
      </w:r>
      <w:bookmarkStart w:id="104" w:name="第三章 建设项目工程概况和工程分析"/>
      <w:bookmarkEnd w:id="104"/>
      <w:r>
        <w:t>建设项目工程概况和工程分析</w:t>
      </w:r>
      <w:bookmarkEnd w:id="103"/>
    </w:p>
    <w:p>
      <w:pPr>
        <w:pStyle w:val="4"/>
        <w:numPr>
          <w:ilvl w:val="1"/>
          <w:numId w:val="19"/>
        </w:numPr>
        <w:tabs>
          <w:tab w:val="left" w:pos="1100"/>
        </w:tabs>
        <w:spacing w:before="315" w:after="0" w:line="240" w:lineRule="auto"/>
        <w:ind w:left="1099" w:right="0" w:hanging="560"/>
        <w:jc w:val="both"/>
        <w:outlineLvl w:val="1"/>
      </w:pPr>
      <w:bookmarkStart w:id="105" w:name="_bookmark17"/>
      <w:bookmarkEnd w:id="105"/>
      <w:bookmarkStart w:id="106" w:name="3.1 工程概况"/>
      <w:bookmarkEnd w:id="106"/>
      <w:bookmarkStart w:id="107" w:name="_Toc16235"/>
      <w:r>
        <w:t>工程概况</w:t>
      </w:r>
      <w:bookmarkEnd w:id="107"/>
    </w:p>
    <w:p>
      <w:pPr>
        <w:pStyle w:val="7"/>
        <w:spacing w:before="6"/>
        <w:ind w:left="0"/>
        <w:rPr>
          <w:b/>
          <w:sz w:val="28"/>
        </w:rPr>
      </w:pPr>
    </w:p>
    <w:p>
      <w:pPr>
        <w:pStyle w:val="5"/>
        <w:numPr>
          <w:ilvl w:val="2"/>
          <w:numId w:val="19"/>
        </w:numPr>
        <w:tabs>
          <w:tab w:val="left" w:pos="1241"/>
        </w:tabs>
        <w:spacing w:before="0" w:after="0" w:line="240" w:lineRule="auto"/>
        <w:ind w:left="1240" w:right="0" w:hanging="701"/>
        <w:jc w:val="both"/>
      </w:pPr>
      <w:bookmarkStart w:id="108" w:name="3.1.1 项目基本情况"/>
      <w:bookmarkEnd w:id="108"/>
      <w:bookmarkStart w:id="109" w:name="3.1.1 项目基本情况"/>
      <w:bookmarkEnd w:id="109"/>
      <w:r>
        <w:rPr>
          <w:rFonts w:hint="eastAsia"/>
          <w:lang w:val="en-US" w:eastAsia="zh-CN"/>
        </w:rPr>
        <w:t xml:space="preserve"> </w:t>
      </w:r>
      <w:r>
        <w:t>项目基本情况</w:t>
      </w:r>
    </w:p>
    <w:p>
      <w:pPr>
        <w:pStyle w:val="7"/>
        <w:spacing w:before="5"/>
        <w:ind w:left="0"/>
        <w:rPr>
          <w:b/>
          <w:sz w:val="21"/>
        </w:rPr>
      </w:pPr>
    </w:p>
    <w:p>
      <w:pPr>
        <w:pStyle w:val="18"/>
        <w:numPr>
          <w:ilvl w:val="3"/>
          <w:numId w:val="19"/>
        </w:numPr>
        <w:tabs>
          <w:tab w:val="left" w:pos="1621"/>
        </w:tabs>
        <w:spacing w:before="0" w:after="0" w:line="240" w:lineRule="auto"/>
        <w:ind w:left="1621" w:right="0" w:hanging="601"/>
        <w:jc w:val="left"/>
        <w:rPr>
          <w:color w:val="0000FF"/>
          <w:sz w:val="24"/>
        </w:rPr>
      </w:pPr>
      <w:r>
        <w:rPr>
          <w:color w:val="0000FF"/>
          <w:sz w:val="24"/>
        </w:rPr>
        <w:t>项目名称：</w:t>
      </w:r>
      <w:r>
        <w:rPr>
          <w:rFonts w:ascii="宋?" w:hAnsi="宋?" w:cs="宋?"/>
          <w:color w:val="0000FF"/>
          <w:kern w:val="0"/>
          <w:sz w:val="24"/>
          <w:szCs w:val="24"/>
        </w:rPr>
        <w:t>莎车县孜热甫夏提良种繁育中心建设项目</w:t>
      </w:r>
      <w:r>
        <w:rPr>
          <w:color w:val="0000FF"/>
          <w:sz w:val="24"/>
        </w:rPr>
        <w:t>；</w:t>
      </w:r>
    </w:p>
    <w:p>
      <w:pPr>
        <w:pStyle w:val="18"/>
        <w:numPr>
          <w:ilvl w:val="3"/>
          <w:numId w:val="19"/>
        </w:numPr>
        <w:tabs>
          <w:tab w:val="left" w:pos="1621"/>
        </w:tabs>
        <w:spacing w:before="160" w:after="0" w:line="240" w:lineRule="auto"/>
        <w:ind w:left="1621" w:right="0" w:hanging="601"/>
        <w:jc w:val="left"/>
        <w:rPr>
          <w:color w:val="0000FF"/>
          <w:sz w:val="24"/>
        </w:rPr>
      </w:pPr>
      <w:r>
        <w:rPr>
          <w:color w:val="0000FF"/>
          <w:sz w:val="24"/>
        </w:rPr>
        <w:t>建设单位：</w:t>
      </w:r>
      <w:r>
        <w:rPr>
          <w:rFonts w:ascii="宋?" w:hAnsi="宋?" w:cs="宋?"/>
          <w:color w:val="0000FF"/>
          <w:kern w:val="0"/>
          <w:sz w:val="24"/>
          <w:szCs w:val="24"/>
        </w:rPr>
        <w:t>莎车县畜牧兽医局</w:t>
      </w:r>
      <w:r>
        <w:rPr>
          <w:color w:val="0000FF"/>
          <w:sz w:val="24"/>
        </w:rPr>
        <w:t>；</w:t>
      </w:r>
    </w:p>
    <w:p>
      <w:pPr>
        <w:pStyle w:val="18"/>
        <w:numPr>
          <w:ilvl w:val="3"/>
          <w:numId w:val="19"/>
        </w:numPr>
        <w:tabs>
          <w:tab w:val="left" w:pos="1621"/>
        </w:tabs>
        <w:spacing w:before="161" w:after="0" w:line="240" w:lineRule="auto"/>
        <w:ind w:left="1621" w:right="0" w:hanging="601"/>
        <w:jc w:val="left"/>
        <w:rPr>
          <w:color w:val="0000FF"/>
          <w:sz w:val="24"/>
        </w:rPr>
      </w:pPr>
      <w:r>
        <w:rPr>
          <w:color w:val="0000FF"/>
          <w:sz w:val="24"/>
        </w:rPr>
        <w:t>建设性质：新建；</w:t>
      </w:r>
    </w:p>
    <w:p>
      <w:pPr>
        <w:pStyle w:val="18"/>
        <w:numPr>
          <w:ilvl w:val="3"/>
          <w:numId w:val="19"/>
        </w:numPr>
        <w:tabs>
          <w:tab w:val="left" w:pos="1623"/>
        </w:tabs>
        <w:spacing w:before="160" w:after="0" w:line="364" w:lineRule="auto"/>
        <w:ind w:left="540" w:right="524" w:firstLine="480"/>
        <w:jc w:val="both"/>
        <w:rPr>
          <w:color w:val="0000FF"/>
          <w:sz w:val="24"/>
        </w:rPr>
      </w:pPr>
      <w:r>
        <w:rPr>
          <w:color w:val="0000FF"/>
          <w:sz w:val="24"/>
        </w:rPr>
        <w:t>建设地点：本项目位于新疆</w:t>
      </w:r>
      <w:r>
        <w:rPr>
          <w:rFonts w:hint="eastAsia"/>
          <w:color w:val="0000FF"/>
          <w:sz w:val="24"/>
          <w:lang w:val="en-US" w:eastAsia="zh-CN"/>
        </w:rPr>
        <w:t>喀什地区莎车县孜热普夏提村3村</w:t>
      </w:r>
      <w:r>
        <w:rPr>
          <w:color w:val="0000FF"/>
          <w:sz w:val="24"/>
        </w:rPr>
        <w:t>，中心点经纬度坐标：</w:t>
      </w:r>
      <w:r>
        <w:rPr>
          <w:rFonts w:ascii="Times New Roman" w:hAnsi="Times New Roman" w:eastAsia="Times New Roman"/>
          <w:color w:val="0000FF"/>
          <w:sz w:val="24"/>
        </w:rPr>
        <w:t>E</w:t>
      </w:r>
      <w:r>
        <w:rPr>
          <w:rFonts w:hint="eastAsia" w:ascii="Times New Roman" w:hAnsi="Times New Roman" w:eastAsia="宋体"/>
          <w:color w:val="0000FF"/>
          <w:sz w:val="24"/>
          <w:lang w:val="en-US" w:eastAsia="zh-CN"/>
        </w:rPr>
        <w:t>77</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2</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59</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32</w:t>
      </w:r>
      <w:r>
        <w:rPr>
          <w:rFonts w:ascii="Times New Roman" w:hAnsi="Times New Roman" w:eastAsia="Times New Roman"/>
          <w:color w:val="0000FF"/>
          <w:sz w:val="24"/>
        </w:rPr>
        <w:t>"</w:t>
      </w:r>
      <w:r>
        <w:rPr>
          <w:color w:val="0000FF"/>
          <w:sz w:val="24"/>
        </w:rPr>
        <w:t>，</w:t>
      </w:r>
      <w:r>
        <w:rPr>
          <w:rFonts w:ascii="Times New Roman" w:hAnsi="Times New Roman" w:eastAsia="Times New Roman"/>
          <w:color w:val="0000FF"/>
          <w:sz w:val="24"/>
        </w:rPr>
        <w:t>N3</w:t>
      </w:r>
      <w:r>
        <w:rPr>
          <w:rFonts w:hint="eastAsia" w:ascii="Times New Roman" w:hAnsi="Times New Roman" w:eastAsia="宋体"/>
          <w:color w:val="0000FF"/>
          <w:sz w:val="24"/>
          <w:lang w:val="en-US" w:eastAsia="zh-CN"/>
        </w:rPr>
        <w:t>8</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12</w:t>
      </w:r>
      <w:r>
        <w:rPr>
          <w:rFonts w:ascii="Times New Roman" w:hAnsi="Times New Roman" w:eastAsia="Times New Roman"/>
          <w:color w:val="0000FF"/>
          <w:sz w:val="24"/>
        </w:rPr>
        <w:t>'5</w:t>
      </w:r>
      <w:r>
        <w:rPr>
          <w:rFonts w:hint="eastAsia" w:ascii="Times New Roman" w:hAnsi="Times New Roman" w:eastAsia="宋体"/>
          <w:color w:val="0000FF"/>
          <w:sz w:val="24"/>
          <w:lang w:val="en-US" w:eastAsia="zh-CN"/>
        </w:rPr>
        <w:t>5</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5</w:t>
      </w:r>
      <w:r>
        <w:rPr>
          <w:rFonts w:ascii="Times New Roman" w:hAnsi="Times New Roman" w:eastAsia="Times New Roman"/>
          <w:color w:val="0000FF"/>
          <w:sz w:val="24"/>
        </w:rPr>
        <w:t>"</w:t>
      </w:r>
      <w:r>
        <w:rPr>
          <w:color w:val="0000FF"/>
          <w:spacing w:val="-1"/>
          <w:sz w:val="24"/>
        </w:rPr>
        <w:t>，四周均为</w:t>
      </w:r>
      <w:r>
        <w:rPr>
          <w:rFonts w:hint="eastAsia"/>
          <w:color w:val="0000FF"/>
          <w:spacing w:val="-1"/>
          <w:sz w:val="24"/>
          <w:lang w:val="en-US" w:eastAsia="zh-CN"/>
        </w:rPr>
        <w:t>荒地</w:t>
      </w:r>
      <w:r>
        <w:rPr>
          <w:color w:val="0000FF"/>
          <w:spacing w:val="-1"/>
          <w:sz w:val="24"/>
        </w:rPr>
        <w:t>，</w:t>
      </w:r>
      <w:r>
        <w:rPr>
          <w:rFonts w:hint="eastAsia"/>
          <w:color w:val="0000FF"/>
          <w:spacing w:val="-1"/>
          <w:sz w:val="24"/>
          <w:lang w:val="en-US" w:eastAsia="zh-CN"/>
        </w:rPr>
        <w:t>北</w:t>
      </w:r>
      <w:r>
        <w:rPr>
          <w:color w:val="0000FF"/>
          <w:spacing w:val="-1"/>
          <w:sz w:val="24"/>
        </w:rPr>
        <w:t>侧为道路，隔路为</w:t>
      </w:r>
      <w:r>
        <w:rPr>
          <w:rFonts w:hint="eastAsia"/>
          <w:color w:val="0000FF"/>
          <w:spacing w:val="-1"/>
          <w:sz w:val="24"/>
          <w:lang w:val="en-US" w:eastAsia="zh-CN"/>
        </w:rPr>
        <w:t>荒地</w:t>
      </w:r>
      <w:r>
        <w:rPr>
          <w:color w:val="0000FF"/>
          <w:spacing w:val="-1"/>
          <w:sz w:val="24"/>
        </w:rPr>
        <w:t>，</w:t>
      </w:r>
      <w:r>
        <w:rPr>
          <w:color w:val="0000FF"/>
          <w:spacing w:val="-15"/>
          <w:sz w:val="24"/>
        </w:rPr>
        <w:t>西侧约</w:t>
      </w:r>
      <w:r>
        <w:rPr>
          <w:rFonts w:hint="eastAsia" w:ascii="Times New Roman" w:hAnsi="Times New Roman" w:eastAsia="宋体"/>
          <w:color w:val="0000FF"/>
          <w:sz w:val="24"/>
          <w:lang w:val="en-US" w:eastAsia="zh-CN"/>
        </w:rPr>
        <w:t>1.6</w:t>
      </w:r>
      <w:r>
        <w:rPr>
          <w:rFonts w:ascii="Times New Roman" w:hAnsi="Times New Roman" w:eastAsia="Times New Roman"/>
          <w:color w:val="0000FF"/>
          <w:sz w:val="24"/>
        </w:rPr>
        <w:t>km</w:t>
      </w:r>
      <w:r>
        <w:rPr>
          <w:color w:val="0000FF"/>
          <w:spacing w:val="-7"/>
          <w:sz w:val="24"/>
        </w:rPr>
        <w:t>处为</w:t>
      </w:r>
      <w:r>
        <w:rPr>
          <w:rFonts w:hint="eastAsia"/>
          <w:color w:val="0000FF"/>
          <w:spacing w:val="-4"/>
          <w:sz w:val="24"/>
          <w:szCs w:val="24"/>
          <w:lang w:val="en-US" w:eastAsia="zh-CN"/>
        </w:rPr>
        <w:t>萨依吾斯塘村</w:t>
      </w:r>
      <w:r>
        <w:rPr>
          <w:color w:val="0000FF"/>
          <w:spacing w:val="-7"/>
          <w:sz w:val="24"/>
          <w:szCs w:val="24"/>
        </w:rPr>
        <w:t>；</w:t>
      </w:r>
      <w:r>
        <w:rPr>
          <w:color w:val="0000FF"/>
          <w:spacing w:val="-7"/>
          <w:sz w:val="24"/>
        </w:rPr>
        <w:t>养殖区</w:t>
      </w:r>
      <w:r>
        <w:rPr>
          <w:rFonts w:hint="eastAsia"/>
          <w:color w:val="0000FF"/>
          <w:spacing w:val="-7"/>
          <w:sz w:val="24"/>
          <w:lang w:val="en-US" w:eastAsia="zh-CN"/>
        </w:rPr>
        <w:t>北</w:t>
      </w:r>
      <w:r>
        <w:rPr>
          <w:color w:val="0000FF"/>
          <w:spacing w:val="-7"/>
          <w:sz w:val="24"/>
        </w:rPr>
        <w:t>侧距约</w:t>
      </w:r>
      <w:r>
        <w:rPr>
          <w:rFonts w:ascii="Times New Roman" w:hAnsi="Times New Roman" w:eastAsia="Times New Roman"/>
          <w:color w:val="0000FF"/>
          <w:sz w:val="24"/>
        </w:rPr>
        <w:t>5</w:t>
      </w:r>
      <w:r>
        <w:rPr>
          <w:rFonts w:hint="eastAsia" w:ascii="Times New Roman" w:hAnsi="Times New Roman" w:eastAsia="宋体"/>
          <w:color w:val="0000FF"/>
          <w:sz w:val="24"/>
          <w:lang w:val="en-US" w:eastAsia="zh-CN"/>
        </w:rPr>
        <w:t>50</w:t>
      </w:r>
      <w:r>
        <w:rPr>
          <w:rFonts w:ascii="Times New Roman" w:hAnsi="Times New Roman" w:eastAsia="Times New Roman"/>
          <w:color w:val="0000FF"/>
          <w:sz w:val="24"/>
        </w:rPr>
        <w:t>m</w:t>
      </w:r>
      <w:r>
        <w:rPr>
          <w:color w:val="0000FF"/>
          <w:spacing w:val="-20"/>
          <w:sz w:val="24"/>
        </w:rPr>
        <w:t>处为</w:t>
      </w:r>
      <w:r>
        <w:rPr>
          <w:rFonts w:hint="eastAsia" w:ascii="Times New Roman" w:hAnsi="Times New Roman" w:eastAsia="宋体"/>
          <w:color w:val="0000FF"/>
          <w:sz w:val="24"/>
          <w:lang w:val="en-US" w:eastAsia="zh-CN"/>
        </w:rPr>
        <w:t>508县</w:t>
      </w:r>
      <w:r>
        <w:rPr>
          <w:color w:val="0000FF"/>
          <w:spacing w:val="-6"/>
          <w:sz w:val="24"/>
        </w:rPr>
        <w:t>道。</w:t>
      </w:r>
    </w:p>
    <w:p>
      <w:pPr>
        <w:pStyle w:val="18"/>
        <w:numPr>
          <w:ilvl w:val="3"/>
          <w:numId w:val="19"/>
        </w:numPr>
        <w:tabs>
          <w:tab w:val="left" w:pos="1621"/>
        </w:tabs>
        <w:spacing w:before="3" w:after="0" w:line="240" w:lineRule="auto"/>
        <w:ind w:left="1621" w:right="0" w:hanging="601"/>
        <w:jc w:val="both"/>
        <w:rPr>
          <w:color w:val="0000FF"/>
          <w:sz w:val="24"/>
        </w:rPr>
      </w:pPr>
      <w:r>
        <w:rPr>
          <w:color w:val="0000FF"/>
          <w:spacing w:val="-4"/>
          <w:sz w:val="24"/>
        </w:rPr>
        <w:t>占地面积：本项目总占地面积约</w:t>
      </w:r>
      <w:r>
        <w:rPr>
          <w:rFonts w:hint="eastAsia" w:ascii="Times New Roman" w:hAnsi="Times New Roman" w:cs="Times New Roman"/>
          <w:color w:val="0000FF"/>
          <w:sz w:val="24"/>
          <w:lang w:val="en-US" w:eastAsia="zh-CN"/>
        </w:rPr>
        <w:t>2.073</w:t>
      </w:r>
      <w:r>
        <w:rPr>
          <w:rFonts w:hint="eastAsia" w:ascii="Times New Roman" w:hAnsi="Times New Roman" w:eastAsia="宋体" w:cs="Times New Roman"/>
          <w:color w:val="0000FF"/>
          <w:sz w:val="24"/>
          <w:lang w:val="en-US" w:eastAsia="zh-CN"/>
        </w:rPr>
        <w:t>hm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vertAlign w:val="baseline"/>
          <w:lang w:val="en-US" w:eastAsia="zh-CN"/>
        </w:rPr>
        <w:t>（</w:t>
      </w:r>
      <w:r>
        <w:rPr>
          <w:rFonts w:hint="eastAsia" w:ascii="Times New Roman" w:hAnsi="Times New Roman" w:cs="Times New Roman"/>
          <w:color w:val="0000FF"/>
          <w:sz w:val="24"/>
          <w:vertAlign w:val="baseline"/>
          <w:lang w:val="en-US" w:eastAsia="zh-CN"/>
        </w:rPr>
        <w:t>31.095</w:t>
      </w:r>
      <w:r>
        <w:rPr>
          <w:rFonts w:hint="eastAsia" w:ascii="Times New Roman" w:hAnsi="Times New Roman" w:eastAsia="宋体" w:cs="Times New Roman"/>
          <w:color w:val="0000FF"/>
          <w:sz w:val="24"/>
          <w:vertAlign w:val="baseline"/>
          <w:lang w:val="en-US" w:eastAsia="zh-CN"/>
        </w:rPr>
        <w:t>亩）</w:t>
      </w:r>
      <w:r>
        <w:rPr>
          <w:color w:val="0000FF"/>
          <w:sz w:val="24"/>
        </w:rPr>
        <w:t>。</w:t>
      </w:r>
    </w:p>
    <w:p>
      <w:pPr>
        <w:pStyle w:val="18"/>
        <w:numPr>
          <w:ilvl w:val="3"/>
          <w:numId w:val="19"/>
        </w:numPr>
        <w:tabs>
          <w:tab w:val="left" w:pos="1635"/>
        </w:tabs>
        <w:spacing w:before="160" w:after="0" w:line="240" w:lineRule="auto"/>
        <w:ind w:left="1634" w:right="0" w:hanging="615"/>
        <w:jc w:val="both"/>
        <w:rPr>
          <w:color w:val="0000FF"/>
        </w:rPr>
      </w:pPr>
      <w:r>
        <w:rPr>
          <w:color w:val="0000FF"/>
          <w:spacing w:val="-1"/>
          <w:sz w:val="24"/>
        </w:rPr>
        <w:t>生产规模：本项目建成后实</w:t>
      </w:r>
      <w:r>
        <w:rPr>
          <w:rFonts w:hint="eastAsia"/>
          <w:color w:val="0000FF"/>
          <w:spacing w:val="-1"/>
          <w:sz w:val="24"/>
          <w:lang w:val="en-US" w:eastAsia="zh-CN"/>
        </w:rPr>
        <w:t>现种羊场存栏规模达到10万只以上，年出栏</w:t>
      </w:r>
    </w:p>
    <w:p>
      <w:pPr>
        <w:pStyle w:val="18"/>
        <w:numPr>
          <w:ilvl w:val="0"/>
          <w:numId w:val="0"/>
        </w:numPr>
        <w:tabs>
          <w:tab w:val="left" w:pos="1635"/>
        </w:tabs>
        <w:spacing w:before="160" w:after="0" w:line="240" w:lineRule="auto"/>
        <w:ind w:left="1019" w:leftChars="0" w:right="0" w:rightChars="0"/>
        <w:jc w:val="both"/>
        <w:rPr>
          <w:rFonts w:hint="default"/>
          <w:color w:val="0000FF"/>
          <w:lang w:val="en-US"/>
        </w:rPr>
      </w:pPr>
      <w:r>
        <w:rPr>
          <w:rFonts w:hint="eastAsia"/>
          <w:color w:val="0000FF"/>
          <w:spacing w:val="-1"/>
          <w:sz w:val="24"/>
          <w:lang w:val="en-US" w:eastAsia="zh-CN"/>
        </w:rPr>
        <w:t>种公羊4万余只。</w:t>
      </w:r>
    </w:p>
    <w:p>
      <w:pPr>
        <w:pStyle w:val="18"/>
        <w:numPr>
          <w:ilvl w:val="3"/>
          <w:numId w:val="19"/>
        </w:numPr>
        <w:tabs>
          <w:tab w:val="left" w:pos="1621"/>
        </w:tabs>
        <w:spacing w:before="160" w:after="0" w:line="364" w:lineRule="auto"/>
        <w:ind w:left="540" w:right="457" w:firstLine="480"/>
        <w:jc w:val="both"/>
        <w:rPr>
          <w:color w:val="0000FF"/>
          <w:sz w:val="24"/>
        </w:rPr>
      </w:pPr>
      <w:r>
        <w:rPr>
          <w:color w:val="0000FF"/>
          <w:spacing w:val="-7"/>
          <w:sz w:val="24"/>
        </w:rPr>
        <w:t>项目总投资：本工程总投资</w:t>
      </w:r>
      <w:r>
        <w:rPr>
          <w:rFonts w:hint="eastAsia" w:ascii="Times New Roman" w:eastAsia="宋体"/>
          <w:color w:val="0000FF"/>
          <w:sz w:val="24"/>
          <w:lang w:val="en-US" w:eastAsia="zh-CN"/>
        </w:rPr>
        <w:t>3120.00</w:t>
      </w:r>
      <w:r>
        <w:rPr>
          <w:color w:val="0000FF"/>
          <w:spacing w:val="-9"/>
          <w:sz w:val="24"/>
        </w:rPr>
        <w:t>万元，其中</w:t>
      </w:r>
      <w:r>
        <w:rPr>
          <w:rFonts w:ascii="宋?" w:hAnsi="宋?" w:cs="宋?"/>
          <w:color w:val="0000FF"/>
          <w:kern w:val="0"/>
          <w:sz w:val="24"/>
          <w:szCs w:val="24"/>
        </w:rPr>
        <w:t>工程费用</w:t>
      </w:r>
      <w:r>
        <w:rPr>
          <w:rFonts w:ascii="Times New Roman" w:hAnsi="Times New Roman" w:cs="Times New Roman"/>
          <w:color w:val="0000FF"/>
          <w:kern w:val="0"/>
          <w:sz w:val="24"/>
          <w:szCs w:val="24"/>
        </w:rPr>
        <w:t xml:space="preserve"> 2000.00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64.10%</w:t>
      </w:r>
      <w:r>
        <w:rPr>
          <w:color w:val="0000FF"/>
          <w:spacing w:val="-8"/>
          <w:sz w:val="24"/>
        </w:rPr>
        <w:t>；</w:t>
      </w:r>
      <w:r>
        <w:rPr>
          <w:rFonts w:ascii="宋?" w:hAnsi="宋?" w:cs="宋?"/>
          <w:color w:val="0000FF"/>
          <w:kern w:val="0"/>
          <w:sz w:val="24"/>
          <w:szCs w:val="24"/>
        </w:rPr>
        <w:t>多胎羊购置费用</w:t>
      </w:r>
      <w:r>
        <w:rPr>
          <w:rFonts w:ascii="Times New Roman" w:hAnsi="Times New Roman" w:cs="Times New Roman"/>
          <w:color w:val="0000FF"/>
          <w:kern w:val="0"/>
          <w:sz w:val="24"/>
          <w:szCs w:val="24"/>
        </w:rPr>
        <w:t xml:space="preserve"> 1120.00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35.90%</w:t>
      </w:r>
      <w:r>
        <w:rPr>
          <w:color w:val="0000FF"/>
          <w:sz w:val="24"/>
          <w:szCs w:val="24"/>
        </w:rPr>
        <w:t>；</w:t>
      </w:r>
      <w:r>
        <w:rPr>
          <w:color w:val="0000FF"/>
          <w:spacing w:val="-10"/>
          <w:sz w:val="24"/>
        </w:rPr>
        <w:t>资金筹措：项目总投资 3120.00 万元，资金来源为申请涉农整合资金 2000.00万元；财政专项扶贫资金 1120.00 万元。</w:t>
      </w:r>
    </w:p>
    <w:p>
      <w:pPr>
        <w:pStyle w:val="18"/>
        <w:numPr>
          <w:ilvl w:val="3"/>
          <w:numId w:val="19"/>
        </w:numPr>
        <w:tabs>
          <w:tab w:val="left" w:pos="1621"/>
        </w:tabs>
        <w:spacing w:before="2" w:after="0" w:line="364" w:lineRule="auto"/>
        <w:ind w:left="540" w:right="575" w:firstLine="480"/>
        <w:jc w:val="both"/>
        <w:rPr>
          <w:color w:val="0000FF"/>
          <w:sz w:val="24"/>
        </w:rPr>
      </w:pPr>
      <w:r>
        <w:rPr>
          <w:color w:val="0000FF"/>
          <w:spacing w:val="-8"/>
          <w:sz w:val="24"/>
        </w:rPr>
        <w:t>劳动定员及工作制度：本项目建成投产后，劳动定员为</w:t>
      </w:r>
      <w:r>
        <w:rPr>
          <w:rFonts w:ascii="Times New Roman" w:eastAsia="Times New Roman"/>
          <w:color w:val="0000FF"/>
          <w:sz w:val="24"/>
        </w:rPr>
        <w:t>30</w:t>
      </w:r>
      <w:r>
        <w:rPr>
          <w:color w:val="0000FF"/>
          <w:spacing w:val="-7"/>
          <w:sz w:val="24"/>
        </w:rPr>
        <w:t>人。工人</w:t>
      </w:r>
      <w:r>
        <w:rPr>
          <w:color w:val="0000FF"/>
          <w:spacing w:val="-8"/>
          <w:sz w:val="24"/>
        </w:rPr>
        <w:t>均为本村或本乡居民，养殖区全年</w:t>
      </w:r>
      <w:r>
        <w:rPr>
          <w:rFonts w:ascii="Times New Roman" w:eastAsia="Times New Roman"/>
          <w:color w:val="0000FF"/>
          <w:sz w:val="24"/>
        </w:rPr>
        <w:t>365d</w:t>
      </w:r>
      <w:r>
        <w:rPr>
          <w:color w:val="0000FF"/>
          <w:sz w:val="24"/>
        </w:rPr>
        <w:t>运行，厂区单班制生产运行。</w:t>
      </w:r>
    </w:p>
    <w:p>
      <w:pPr>
        <w:pStyle w:val="5"/>
        <w:numPr>
          <w:ilvl w:val="2"/>
          <w:numId w:val="19"/>
        </w:numPr>
        <w:tabs>
          <w:tab w:val="left" w:pos="1241"/>
        </w:tabs>
        <w:spacing w:before="115" w:after="0" w:line="240" w:lineRule="auto"/>
        <w:ind w:left="1240" w:right="0" w:hanging="701"/>
        <w:jc w:val="both"/>
      </w:pPr>
      <w:bookmarkStart w:id="110" w:name="3.1.2 主要建设内容"/>
      <w:bookmarkEnd w:id="110"/>
      <w:bookmarkStart w:id="111" w:name="3.1.2 主要建设内容"/>
      <w:bookmarkEnd w:id="111"/>
      <w:r>
        <w:rPr>
          <w:rFonts w:hint="eastAsia"/>
          <w:lang w:val="en-US" w:eastAsia="zh-CN"/>
        </w:rPr>
        <w:t xml:space="preserve"> </w:t>
      </w:r>
      <w:r>
        <w:t>主要建设内容</w:t>
      </w:r>
    </w:p>
    <w:p>
      <w:pPr>
        <w:pStyle w:val="7"/>
        <w:spacing w:before="7"/>
        <w:ind w:left="0"/>
        <w:rPr>
          <w:b/>
          <w:sz w:val="21"/>
        </w:rPr>
      </w:pPr>
    </w:p>
    <w:p>
      <w:pPr>
        <w:pStyle w:val="7"/>
        <w:spacing w:line="364" w:lineRule="auto"/>
        <w:ind w:right="575" w:firstLine="480"/>
        <w:jc w:val="both"/>
        <w:rPr>
          <w:color w:val="0000FF"/>
        </w:rPr>
      </w:pPr>
      <w:r>
        <w:rPr>
          <w:color w:val="0000FF"/>
          <w:spacing w:val="-6"/>
        </w:rPr>
        <w:t>本项目新建年出栏</w:t>
      </w:r>
      <w:r>
        <w:rPr>
          <w:rFonts w:ascii="Times New Roman" w:eastAsia="Times New Roman"/>
          <w:color w:val="0000FF"/>
        </w:rPr>
        <w:t>4</w:t>
      </w:r>
      <w:r>
        <w:rPr>
          <w:color w:val="0000FF"/>
          <w:spacing w:val="-8"/>
        </w:rPr>
        <w:t>万只羊养殖场</w:t>
      </w:r>
      <w:r>
        <w:rPr>
          <w:rFonts w:ascii="Times New Roman" w:eastAsia="Times New Roman"/>
          <w:color w:val="0000FF"/>
        </w:rPr>
        <w:t>1</w:t>
      </w:r>
      <w:r>
        <w:rPr>
          <w:color w:val="0000FF"/>
        </w:rPr>
        <w:t>座，包括养殖区、饲料堆放区、堆</w:t>
      </w:r>
      <w:r>
        <w:rPr>
          <w:color w:val="0000FF"/>
          <w:spacing w:val="-4"/>
        </w:rPr>
        <w:t>肥厂及相应的附属配套设施设备。建设项目总占地面积</w:t>
      </w:r>
      <w:r>
        <w:rPr>
          <w:rFonts w:hint="eastAsia" w:ascii="Times New Roman" w:hAnsi="Times New Roman" w:cs="Times New Roman"/>
          <w:color w:val="0000FF"/>
          <w:sz w:val="24"/>
          <w:lang w:val="en-US" w:eastAsia="zh-CN"/>
        </w:rPr>
        <w:t>2.073</w:t>
      </w:r>
      <w:r>
        <w:rPr>
          <w:rFonts w:hint="eastAsia" w:ascii="Times New Roman" w:hAnsi="Times New Roman" w:eastAsia="宋体" w:cs="Times New Roman"/>
          <w:color w:val="0000FF"/>
          <w:sz w:val="24"/>
          <w:lang w:val="en-US" w:eastAsia="zh-CN"/>
        </w:rPr>
        <w:t>hm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vertAlign w:val="baseline"/>
          <w:lang w:val="en-US" w:eastAsia="zh-CN"/>
        </w:rPr>
        <w:t>（</w:t>
      </w:r>
      <w:r>
        <w:rPr>
          <w:rFonts w:hint="eastAsia" w:ascii="Times New Roman" w:hAnsi="Times New Roman" w:cs="Times New Roman"/>
          <w:color w:val="0000FF"/>
          <w:sz w:val="24"/>
          <w:vertAlign w:val="baseline"/>
          <w:lang w:val="en-US" w:eastAsia="zh-CN"/>
        </w:rPr>
        <w:t>31.095</w:t>
      </w:r>
      <w:r>
        <w:rPr>
          <w:rFonts w:hint="eastAsia" w:ascii="Times New Roman" w:hAnsi="Times New Roman" w:eastAsia="宋体" w:cs="Times New Roman"/>
          <w:color w:val="0000FF"/>
          <w:sz w:val="24"/>
          <w:vertAlign w:val="baseline"/>
          <w:lang w:val="en-US" w:eastAsia="zh-CN"/>
        </w:rPr>
        <w:t>亩）</w:t>
      </w:r>
      <w:r>
        <w:rPr>
          <w:color w:val="0000FF"/>
          <w:spacing w:val="-15"/>
        </w:rPr>
        <w:t>，总</w:t>
      </w:r>
      <w:r>
        <w:rPr>
          <w:color w:val="0000FF"/>
          <w:spacing w:val="-10"/>
        </w:rPr>
        <w:t>建筑面积为</w:t>
      </w:r>
      <w:r>
        <w:rPr>
          <w:rFonts w:ascii="Times New Roman" w:hAnsi="Times New Roman" w:cs="Times New Roman"/>
          <w:color w:val="0000FF"/>
          <w:kern w:val="0"/>
          <w:sz w:val="28"/>
          <w:szCs w:val="28"/>
        </w:rPr>
        <w:t xml:space="preserve"> </w:t>
      </w:r>
      <w:r>
        <w:rPr>
          <w:rFonts w:ascii="Times New Roman" w:hAnsi="Times New Roman" w:cs="Times New Roman"/>
          <w:color w:val="0000FF"/>
          <w:kern w:val="0"/>
          <w:sz w:val="24"/>
          <w:szCs w:val="24"/>
        </w:rPr>
        <w:t>20730.00m</w:t>
      </w:r>
      <w:r>
        <w:rPr>
          <w:rFonts w:ascii="Times New Roman" w:hAnsi="Times New Roman" w:cs="Times New Roman"/>
          <w:color w:val="0000FF"/>
          <w:kern w:val="0"/>
          <w:sz w:val="18"/>
          <w:szCs w:val="18"/>
          <w:vertAlign w:val="superscript"/>
        </w:rPr>
        <w:t>2</w:t>
      </w:r>
      <w:r>
        <w:rPr>
          <w:color w:val="0000FF"/>
        </w:rPr>
        <w:t>。</w:t>
      </w:r>
    </w:p>
    <w:p>
      <w:pPr>
        <w:pStyle w:val="7"/>
        <w:spacing w:before="2" w:line="364" w:lineRule="auto"/>
        <w:ind w:right="577" w:firstLine="480"/>
        <w:jc w:val="both"/>
        <w:rPr>
          <w:color w:val="0000FF"/>
        </w:rPr>
      </w:pPr>
      <w:r>
        <w:rPr>
          <w:color w:val="0000FF"/>
          <w:spacing w:val="-6"/>
        </w:rPr>
        <w:t>项目区供水由农村安全饮用水供水管网供给，可保证养殖场日常用水；冬季</w:t>
      </w:r>
      <w:r>
        <w:rPr>
          <w:color w:val="0000FF"/>
          <w:spacing w:val="-10"/>
        </w:rPr>
        <w:t>采用电供暖；项目区电力由</w:t>
      </w:r>
      <w:r>
        <w:rPr>
          <w:rFonts w:hint="eastAsia"/>
          <w:color w:val="0000FF"/>
          <w:spacing w:val="-10"/>
          <w:lang w:eastAsia="zh-CN"/>
        </w:rPr>
        <w:t>莎车</w:t>
      </w:r>
      <w:r>
        <w:rPr>
          <w:color w:val="0000FF"/>
          <w:spacing w:val="-10"/>
        </w:rPr>
        <w:t>县供电公司供应，由养殖场周边道路农村低压电</w:t>
      </w:r>
      <w:r>
        <w:rPr>
          <w:color w:val="0000FF"/>
        </w:rPr>
        <w:t>网就近接入。</w:t>
      </w:r>
    </w:p>
    <w:p>
      <w:pPr>
        <w:pStyle w:val="7"/>
        <w:spacing w:before="2"/>
        <w:ind w:left="1020"/>
        <w:rPr>
          <w:color w:val="0000FF"/>
        </w:rPr>
      </w:pPr>
      <w:r>
        <w:rPr>
          <w:color w:val="0000FF"/>
        </w:rPr>
        <w:t>项目具体建设内容：</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1020"/>
        <w:textAlignment w:val="auto"/>
        <w:rPr>
          <w:color w:val="0000FF"/>
        </w:rPr>
      </w:pPr>
      <w:r>
        <w:rPr>
          <w:color w:val="0000FF"/>
        </w:rPr>
        <w:t>本项目拟在莎车县孜热甫夏提乡新建一座良种羊繁育中心。拟建</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1020"/>
        <w:textAlignment w:val="auto"/>
        <w:rPr>
          <w:color w:val="0000FF"/>
        </w:rPr>
      </w:pP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1020"/>
        <w:textAlignment w:val="auto"/>
        <w:rPr>
          <w:color w:val="0000FF"/>
        </w:rPr>
      </w:pPr>
      <w:r>
        <w:rPr>
          <w:color w:val="0000FF"/>
        </w:rPr>
        <w:t>筑面积为 20730.00m</w:t>
      </w:r>
      <w:r>
        <w:rPr>
          <w:color w:val="0000FF"/>
          <w:vertAlign w:val="superscript"/>
        </w:rPr>
        <w:t>2</w:t>
      </w:r>
      <w:r>
        <w:rPr>
          <w:color w:val="0000FF"/>
        </w:rPr>
        <w:t>，包括土建工程（宿舍楼、附属用房、办公楼、</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1020"/>
        <w:textAlignment w:val="auto"/>
        <w:rPr>
          <w:color w:val="0000FF"/>
        </w:rPr>
      </w:pPr>
      <w:r>
        <w:rPr>
          <w:color w:val="0000FF"/>
        </w:rPr>
        <w:t>消毒通道、TMR 加工搅拌站、青贮池、精料加工间、干草棚、羊圈、</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1020"/>
        <w:textAlignment w:val="auto"/>
        <w:rPr>
          <w:color w:val="0000FF"/>
        </w:rPr>
      </w:pPr>
      <w:r>
        <w:rPr>
          <w:color w:val="0000FF"/>
        </w:rPr>
        <w:t>隔离舍、防疫区、配电室、消防水池等）；购置多胎羊等。主要建设</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1020"/>
        <w:textAlignment w:val="auto"/>
        <w:rPr>
          <w:color w:val="0000FF"/>
        </w:rPr>
      </w:pPr>
      <w:r>
        <w:rPr>
          <w:color w:val="0000FF"/>
        </w:rPr>
        <w:t>规模及内容如下表所示。</w:t>
      </w:r>
    </w:p>
    <w:p>
      <w:pPr>
        <w:pStyle w:val="7"/>
        <w:spacing w:before="160"/>
        <w:ind w:left="1020"/>
      </w:pPr>
      <w:r>
        <w:t>项目各部分具体工程量详下表</w:t>
      </w:r>
      <w:r>
        <w:rPr>
          <w:rFonts w:ascii="Times New Roman" w:eastAsia="Times New Roman"/>
        </w:rPr>
        <w:t>3.1-1</w:t>
      </w:r>
      <w:r>
        <w:t>。</w:t>
      </w:r>
    </w:p>
    <w:p>
      <w:pPr>
        <w:pStyle w:val="7"/>
        <w:spacing w:before="9"/>
        <w:ind w:left="0"/>
        <w:rPr>
          <w:sz w:val="18"/>
        </w:rPr>
      </w:pPr>
    </w:p>
    <w:tbl>
      <w:tblPr>
        <w:tblStyle w:val="15"/>
        <w:tblpPr w:leftFromText="180" w:rightFromText="180" w:vertAnchor="text" w:horzAnchor="page" w:tblpX="1516" w:tblpY="664"/>
        <w:tblOverlap w:val="never"/>
        <w:tblW w:w="0" w:type="auto"/>
        <w:tblInd w:w="0" w:type="dxa"/>
        <w:tblLayout w:type="fixed"/>
        <w:tblCellMar>
          <w:top w:w="0" w:type="dxa"/>
          <w:left w:w="0" w:type="dxa"/>
          <w:bottom w:w="0" w:type="dxa"/>
          <w:right w:w="0" w:type="dxa"/>
        </w:tblCellMar>
      </w:tblPr>
      <w:tblGrid>
        <w:gridCol w:w="640"/>
        <w:gridCol w:w="1850"/>
        <w:gridCol w:w="2890"/>
        <w:gridCol w:w="1270"/>
        <w:gridCol w:w="760"/>
        <w:gridCol w:w="910"/>
        <w:gridCol w:w="770"/>
      </w:tblGrid>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20"/>
              <w:jc w:val="left"/>
              <w:rPr>
                <w:rFonts w:ascii="宋?" w:hAnsi="宋?" w:cs="宋?"/>
                <w:color w:val="2B2BFF"/>
                <w:kern w:val="0"/>
                <w:sz w:val="18"/>
                <w:szCs w:val="18"/>
              </w:rPr>
            </w:pPr>
            <w:r>
              <w:rPr>
                <w:rFonts w:ascii="宋?" w:hAnsi="宋?" w:cs="宋?"/>
                <w:color w:val="2B2BFF"/>
                <w:kern w:val="0"/>
                <w:sz w:val="18"/>
                <w:szCs w:val="18"/>
              </w:rPr>
              <w:t>序号</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524"/>
              <w:jc w:val="left"/>
              <w:rPr>
                <w:rFonts w:ascii="宋?" w:hAnsi="宋?" w:cs="宋?"/>
                <w:color w:val="2B2BFF"/>
                <w:kern w:val="0"/>
                <w:sz w:val="18"/>
                <w:szCs w:val="18"/>
              </w:rPr>
            </w:pPr>
            <w:r>
              <w:rPr>
                <w:rFonts w:ascii="宋?" w:hAnsi="宋?" w:cs="宋?"/>
                <w:color w:val="2B2BFF"/>
                <w:kern w:val="0"/>
                <w:sz w:val="18"/>
                <w:szCs w:val="18"/>
              </w:rPr>
              <w:t>项目名称</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项目描述</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34"/>
              <w:jc w:val="left"/>
              <w:rPr>
                <w:rFonts w:ascii="宋?" w:hAnsi="宋?" w:cs="宋?"/>
                <w:color w:val="2B2BFF"/>
                <w:kern w:val="0"/>
                <w:sz w:val="18"/>
                <w:szCs w:val="18"/>
              </w:rPr>
            </w:pPr>
            <w:r>
              <w:rPr>
                <w:rFonts w:ascii="宋?" w:hAnsi="宋?" w:cs="宋?"/>
                <w:color w:val="2B2BFF"/>
                <w:kern w:val="0"/>
                <w:sz w:val="18"/>
                <w:szCs w:val="18"/>
              </w:rPr>
              <w:t>外形尺寸</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78"/>
              <w:jc w:val="left"/>
              <w:rPr>
                <w:rFonts w:ascii="宋?" w:hAnsi="宋?" w:cs="宋?"/>
                <w:color w:val="2B2BFF"/>
                <w:kern w:val="0"/>
                <w:sz w:val="18"/>
                <w:szCs w:val="18"/>
              </w:rPr>
            </w:pPr>
            <w:r>
              <w:rPr>
                <w:rFonts w:ascii="宋?" w:hAnsi="宋?" w:cs="宋?"/>
                <w:color w:val="2B2BFF"/>
                <w:kern w:val="0"/>
                <w:sz w:val="18"/>
                <w:szCs w:val="18"/>
              </w:rPr>
              <w:t>单位</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54"/>
              <w:jc w:val="left"/>
              <w:rPr>
                <w:rFonts w:ascii="宋?" w:hAnsi="宋?" w:cs="宋?"/>
                <w:color w:val="2B2BFF"/>
                <w:kern w:val="0"/>
                <w:sz w:val="18"/>
                <w:szCs w:val="18"/>
              </w:rPr>
            </w:pPr>
            <w:r>
              <w:rPr>
                <w:rFonts w:ascii="宋?" w:hAnsi="宋?" w:cs="宋?"/>
                <w:color w:val="2B2BFF"/>
                <w:kern w:val="0"/>
                <w:sz w:val="18"/>
                <w:szCs w:val="18"/>
              </w:rPr>
              <w:t>数量</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84"/>
              <w:jc w:val="left"/>
              <w:rPr>
                <w:rFonts w:ascii="宋?" w:hAnsi="宋?" w:cs="宋?"/>
                <w:color w:val="2B2BFF"/>
                <w:kern w:val="0"/>
                <w:sz w:val="18"/>
                <w:szCs w:val="18"/>
              </w:rPr>
            </w:pPr>
            <w:r>
              <w:rPr>
                <w:rFonts w:ascii="宋?" w:hAnsi="宋?" w:cs="宋?"/>
                <w:color w:val="2B2BFF"/>
                <w:kern w:val="0"/>
                <w:sz w:val="18"/>
                <w:szCs w:val="18"/>
              </w:rPr>
              <w:t>备注</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724"/>
              <w:jc w:val="left"/>
              <w:rPr>
                <w:rFonts w:ascii="宋?" w:hAnsi="宋?" w:cs="宋?"/>
                <w:color w:val="2B2BFF"/>
                <w:kern w:val="0"/>
                <w:sz w:val="18"/>
                <w:szCs w:val="18"/>
              </w:rPr>
            </w:pPr>
            <w:r>
              <w:rPr>
                <w:rFonts w:ascii="宋?" w:hAnsi="宋?" w:cs="宋?"/>
                <w:color w:val="2B2BFF"/>
                <w:kern w:val="0"/>
                <w:sz w:val="18"/>
                <w:szCs w:val="18"/>
              </w:rPr>
              <w:t>宿舍</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1046"/>
              <w:jc w:val="left"/>
              <w:rPr>
                <w:rFonts w:ascii="宋?" w:hAnsi="宋?" w:cs="宋?"/>
                <w:color w:val="2B2BFF"/>
                <w:kern w:val="0"/>
                <w:sz w:val="18"/>
                <w:szCs w:val="18"/>
              </w:rPr>
            </w:pPr>
            <w:r>
              <w:rPr>
                <w:rFonts w:ascii="宋?" w:hAnsi="宋?" w:cs="宋?"/>
                <w:color w:val="2B2BFF"/>
                <w:kern w:val="0"/>
                <w:sz w:val="18"/>
                <w:szCs w:val="18"/>
              </w:rPr>
              <w:t>砖混结构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72"/>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80m×8m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7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640.00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2</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524"/>
              <w:jc w:val="left"/>
              <w:rPr>
                <w:rFonts w:ascii="宋?" w:hAnsi="宋?" w:cs="宋?"/>
                <w:color w:val="2B2BFF"/>
                <w:kern w:val="0"/>
                <w:sz w:val="18"/>
                <w:szCs w:val="18"/>
              </w:rPr>
            </w:pPr>
            <w:r>
              <w:rPr>
                <w:rFonts w:ascii="宋?" w:hAnsi="宋?" w:cs="宋?"/>
                <w:color w:val="2B2BFF"/>
                <w:kern w:val="0"/>
                <w:sz w:val="18"/>
                <w:szCs w:val="18"/>
              </w:rPr>
              <w:t>附属用房</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砖混结构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72"/>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60m×8m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7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480.00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3</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625"/>
              <w:jc w:val="left"/>
              <w:rPr>
                <w:rFonts w:ascii="宋?" w:hAnsi="宋?" w:cs="宋?"/>
                <w:color w:val="2B2BFF"/>
                <w:kern w:val="0"/>
                <w:sz w:val="18"/>
                <w:szCs w:val="18"/>
              </w:rPr>
            </w:pPr>
            <w:r>
              <w:rPr>
                <w:rFonts w:ascii="宋?" w:hAnsi="宋?" w:cs="宋?"/>
                <w:color w:val="2B2BFF"/>
                <w:kern w:val="0"/>
                <w:sz w:val="18"/>
                <w:szCs w:val="18"/>
              </w:rPr>
              <w:t>办公楼</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砖混结构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30m×12m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79"/>
              <w:jc w:val="left"/>
              <w:rPr>
                <w:rFonts w:hint="eastAsia" w:ascii="Times New Roman" w:hAnsi="Times New Roman" w:eastAsia="宋体" w:cs="Times New Roman"/>
                <w:color w:val="2B2BFF"/>
                <w:kern w:val="0"/>
                <w:sz w:val="18"/>
                <w:szCs w:val="18"/>
                <w:lang w:val="en-US" w:eastAsia="zh-CN"/>
              </w:rPr>
            </w:pPr>
            <w:r>
              <w:rPr>
                <w:rFonts w:ascii="Times New Roman" w:hAnsi="Times New Roman" w:cs="Times New Roman"/>
                <w:color w:val="2B2BFF"/>
                <w:kern w:val="0"/>
                <w:sz w:val="18"/>
                <w:szCs w:val="18"/>
              </w:rPr>
              <w:t>360.00</w:t>
            </w:r>
            <w:r>
              <w:rPr>
                <w:rFonts w:hint="eastAsia" w:ascii="Times New Roman" w:hAnsi="Times New Roman" w:cs="Times New Roman"/>
                <w:color w:val="2B2BFF"/>
                <w:kern w:val="0"/>
                <w:sz w:val="18"/>
                <w:szCs w:val="18"/>
                <w:lang w:val="en-US" w:eastAsia="zh-CN"/>
              </w:rPr>
              <w:t xml:space="preserve"> </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4</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524"/>
              <w:jc w:val="left"/>
              <w:rPr>
                <w:rFonts w:ascii="宋?" w:hAnsi="宋?" w:cs="宋?"/>
                <w:color w:val="2B2BFF"/>
                <w:kern w:val="0"/>
                <w:sz w:val="18"/>
                <w:szCs w:val="18"/>
              </w:rPr>
            </w:pPr>
            <w:r>
              <w:rPr>
                <w:rFonts w:ascii="宋?" w:hAnsi="宋?" w:cs="宋?"/>
                <w:color w:val="2B2BFF"/>
                <w:kern w:val="0"/>
                <w:sz w:val="18"/>
                <w:szCs w:val="18"/>
              </w:rPr>
              <w:t>消毒通道</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1046"/>
              <w:jc w:val="left"/>
              <w:rPr>
                <w:rFonts w:ascii="宋?" w:hAnsi="宋?" w:cs="宋?"/>
                <w:color w:val="2B2BFF"/>
                <w:kern w:val="0"/>
                <w:sz w:val="18"/>
                <w:szCs w:val="18"/>
              </w:rPr>
            </w:pPr>
            <w:r>
              <w:rPr>
                <w:rFonts w:ascii="宋?" w:hAnsi="宋?" w:cs="宋?"/>
                <w:color w:val="2B2BFF"/>
                <w:kern w:val="0"/>
                <w:sz w:val="18"/>
                <w:szCs w:val="18"/>
              </w:rPr>
              <w:t>砖混结构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72"/>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10m×4m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30"/>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40.00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5</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83"/>
              <w:jc w:val="left"/>
              <w:rPr>
                <w:rFonts w:ascii="宋?" w:hAnsi="宋?" w:cs="宋?"/>
                <w:color w:val="2B2BFF"/>
                <w:kern w:val="0"/>
                <w:sz w:val="18"/>
                <w:szCs w:val="18"/>
              </w:rPr>
            </w:pPr>
            <w:r>
              <w:rPr>
                <w:rFonts w:ascii="Times New Roman" w:hAnsi="Times New Roman" w:cs="Times New Roman"/>
                <w:color w:val="2B2BFF"/>
                <w:kern w:val="0"/>
                <w:sz w:val="18"/>
                <w:szCs w:val="18"/>
              </w:rPr>
              <w:t>TMR</w:t>
            </w:r>
            <w:r>
              <w:rPr>
                <w:rFonts w:ascii="宋?" w:hAnsi="宋?" w:cs="宋?"/>
                <w:color w:val="2B2BFF"/>
                <w:kern w:val="0"/>
                <w:sz w:val="18"/>
                <w:szCs w:val="18"/>
              </w:rPr>
              <w:t xml:space="preserve"> 加工搅拌站</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60m×25m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1500.00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6</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625"/>
              <w:jc w:val="left"/>
              <w:rPr>
                <w:rFonts w:ascii="宋?" w:hAnsi="宋?" w:cs="宋?"/>
                <w:color w:val="2B2BFF"/>
                <w:kern w:val="0"/>
                <w:sz w:val="18"/>
                <w:szCs w:val="18"/>
              </w:rPr>
            </w:pPr>
            <w:r>
              <w:rPr>
                <w:rFonts w:ascii="宋?" w:hAnsi="宋?" w:cs="宋?"/>
                <w:color w:val="2B2BFF"/>
                <w:kern w:val="0"/>
                <w:sz w:val="18"/>
                <w:szCs w:val="18"/>
              </w:rPr>
              <w:t>青贮池</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60m×20m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1200.00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7</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524"/>
              <w:jc w:val="left"/>
              <w:rPr>
                <w:rFonts w:ascii="宋?" w:hAnsi="宋?" w:cs="宋?"/>
                <w:color w:val="2B2BFF"/>
                <w:kern w:val="0"/>
                <w:sz w:val="18"/>
                <w:szCs w:val="18"/>
              </w:rPr>
            </w:pPr>
            <w:r>
              <w:rPr>
                <w:rFonts w:ascii="宋?" w:hAnsi="宋?" w:cs="宋?"/>
                <w:color w:val="2B2BFF"/>
                <w:kern w:val="0"/>
                <w:sz w:val="18"/>
                <w:szCs w:val="18"/>
              </w:rPr>
              <w:t>精料加工</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30m×15m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7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450.00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8</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625"/>
              <w:jc w:val="left"/>
              <w:rPr>
                <w:rFonts w:ascii="宋?" w:hAnsi="宋?" w:cs="宋?"/>
                <w:color w:val="2B2BFF"/>
                <w:kern w:val="0"/>
                <w:sz w:val="18"/>
                <w:szCs w:val="18"/>
              </w:rPr>
            </w:pPr>
            <w:r>
              <w:rPr>
                <w:rFonts w:ascii="宋?" w:hAnsi="宋?" w:cs="宋?"/>
                <w:color w:val="2B2BFF"/>
                <w:kern w:val="0"/>
                <w:sz w:val="18"/>
                <w:szCs w:val="18"/>
              </w:rPr>
              <w:t>干草棚</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80m×30m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2400.00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1</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446"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7" w:lineRule="exact"/>
              <w:ind w:left="26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9</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4" w:lineRule="exact"/>
              <w:ind w:left="724"/>
              <w:jc w:val="left"/>
              <w:rPr>
                <w:rFonts w:ascii="宋?" w:hAnsi="宋?" w:cs="宋?"/>
                <w:color w:val="2B2BFF"/>
                <w:kern w:val="0"/>
                <w:sz w:val="18"/>
                <w:szCs w:val="18"/>
              </w:rPr>
            </w:pPr>
            <w:r>
              <w:rPr>
                <w:rFonts w:ascii="宋?" w:hAnsi="宋?" w:cs="宋?"/>
                <w:color w:val="2B2BFF"/>
                <w:kern w:val="0"/>
                <w:sz w:val="18"/>
                <w:szCs w:val="18"/>
              </w:rPr>
              <w:t>羊圈</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4"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7" w:lineRule="exact"/>
              <w:ind w:left="17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100m×12m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4"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7"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9600.00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7"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8</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625"/>
              <w:jc w:val="left"/>
              <w:rPr>
                <w:rFonts w:ascii="宋?" w:hAnsi="宋?" w:cs="宋?"/>
                <w:color w:val="2B2BFF"/>
                <w:kern w:val="0"/>
                <w:sz w:val="18"/>
                <w:szCs w:val="18"/>
              </w:rPr>
            </w:pPr>
            <w:r>
              <w:rPr>
                <w:rFonts w:ascii="宋?" w:hAnsi="宋?" w:cs="宋?"/>
                <w:color w:val="2B2BFF"/>
                <w:kern w:val="0"/>
                <w:sz w:val="18"/>
                <w:szCs w:val="18"/>
              </w:rPr>
              <w:t>隔离舍</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1046"/>
              <w:jc w:val="left"/>
              <w:rPr>
                <w:rFonts w:ascii="宋?" w:hAnsi="宋?" w:cs="宋?"/>
                <w:color w:val="2B2BFF"/>
                <w:kern w:val="0"/>
                <w:sz w:val="18"/>
                <w:szCs w:val="18"/>
              </w:rPr>
            </w:pPr>
            <w:r>
              <w:rPr>
                <w:rFonts w:ascii="宋?" w:hAnsi="宋?" w:cs="宋?"/>
                <w:color w:val="2B2BFF"/>
                <w:kern w:val="0"/>
                <w:sz w:val="18"/>
                <w:szCs w:val="18"/>
              </w:rPr>
              <w:t>门钢结构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7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100m×12m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2400.00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2</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1" w:lineRule="exact"/>
              <w:ind w:left="21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11</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8" w:lineRule="exact"/>
              <w:ind w:left="625"/>
              <w:jc w:val="left"/>
              <w:rPr>
                <w:rFonts w:ascii="宋?" w:hAnsi="宋?" w:cs="宋?"/>
                <w:color w:val="2B2BFF"/>
                <w:kern w:val="0"/>
                <w:sz w:val="18"/>
                <w:szCs w:val="18"/>
              </w:rPr>
            </w:pPr>
            <w:r>
              <w:rPr>
                <w:rFonts w:ascii="宋?" w:hAnsi="宋?" w:cs="宋?"/>
                <w:color w:val="2B2BFF"/>
                <w:kern w:val="0"/>
                <w:sz w:val="18"/>
                <w:szCs w:val="18"/>
              </w:rPr>
              <w:t>防疫区</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8" w:lineRule="exact"/>
              <w:ind w:left="625"/>
              <w:jc w:val="left"/>
              <w:rPr>
                <w:rFonts w:ascii="宋?" w:hAnsi="宋?" w:cs="宋?"/>
                <w:color w:val="2B2BFF"/>
                <w:kern w:val="0"/>
                <w:sz w:val="18"/>
                <w:szCs w:val="18"/>
              </w:rPr>
            </w:pP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8" w:lineRule="exact"/>
              <w:ind w:left="625"/>
              <w:jc w:val="left"/>
              <w:rPr>
                <w:rFonts w:ascii="宋?" w:hAnsi="宋?" w:cs="宋?"/>
                <w:color w:val="2B2BFF"/>
                <w:kern w:val="0"/>
                <w:sz w:val="18"/>
                <w:szCs w:val="18"/>
              </w:rPr>
            </w:pP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5"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1" w:lineRule="exact"/>
              <w:ind w:left="12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1" w:lineRule="exact"/>
              <w:ind w:left="129"/>
              <w:jc w:val="left"/>
              <w:rPr>
                <w:rFonts w:ascii="Times New Roman" w:hAnsi="Times New Roman" w:cs="Times New Roman"/>
                <w:color w:val="2B2BFF"/>
                <w:kern w:val="0"/>
                <w:sz w:val="18"/>
                <w:szCs w:val="18"/>
              </w:rPr>
            </w:pP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12</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625"/>
              <w:jc w:val="left"/>
              <w:rPr>
                <w:rFonts w:ascii="宋?" w:hAnsi="宋?" w:cs="宋?"/>
                <w:color w:val="2B2BFF"/>
                <w:kern w:val="0"/>
                <w:sz w:val="18"/>
                <w:szCs w:val="18"/>
              </w:rPr>
            </w:pPr>
            <w:r>
              <w:rPr>
                <w:rFonts w:ascii="宋?" w:hAnsi="宋?" w:cs="宋?"/>
                <w:color w:val="2B2BFF"/>
                <w:kern w:val="0"/>
                <w:sz w:val="18"/>
                <w:szCs w:val="18"/>
              </w:rPr>
              <w:t>配电室</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1046"/>
              <w:jc w:val="left"/>
              <w:rPr>
                <w:rFonts w:ascii="宋?" w:hAnsi="宋?" w:cs="宋?"/>
                <w:color w:val="2B2BFF"/>
                <w:kern w:val="0"/>
                <w:sz w:val="18"/>
                <w:szCs w:val="18"/>
              </w:rPr>
            </w:pPr>
            <w:r>
              <w:rPr>
                <w:rFonts w:ascii="宋?" w:hAnsi="宋?" w:cs="宋?"/>
                <w:color w:val="2B2BFF"/>
                <w:kern w:val="0"/>
                <w:sz w:val="18"/>
                <w:szCs w:val="18"/>
              </w:rPr>
              <w:t>砖混结构</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24"/>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15m×10m</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6"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17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300.00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09" w:lineRule="exact"/>
              <w:ind w:left="210"/>
              <w:jc w:val="left"/>
              <w:rPr>
                <w:rFonts w:ascii="宋?" w:hAnsi="宋?" w:cs="宋?"/>
                <w:color w:val="2B2BFF"/>
                <w:kern w:val="0"/>
                <w:sz w:val="18"/>
                <w:szCs w:val="18"/>
              </w:rPr>
            </w:pPr>
            <w:r>
              <w:rPr>
                <w:rFonts w:ascii="Times New Roman" w:hAnsi="Times New Roman" w:cs="Times New Roman"/>
                <w:color w:val="2B2BFF"/>
                <w:kern w:val="0"/>
                <w:sz w:val="18"/>
                <w:szCs w:val="18"/>
              </w:rPr>
              <w:t>2</w:t>
            </w:r>
            <w:r>
              <w:rPr>
                <w:rFonts w:ascii="宋?" w:hAnsi="宋?" w:cs="宋?"/>
                <w:color w:val="2B2BFF"/>
                <w:kern w:val="0"/>
                <w:sz w:val="18"/>
                <w:szCs w:val="18"/>
              </w:rPr>
              <w:t xml:space="preserve"> 栋</w:t>
            </w:r>
          </w:p>
        </w:tc>
      </w:tr>
      <w:tr>
        <w:tblPrEx>
          <w:tblCellMar>
            <w:top w:w="0" w:type="dxa"/>
            <w:left w:w="0" w:type="dxa"/>
            <w:bottom w:w="0" w:type="dxa"/>
            <w:right w:w="0" w:type="dxa"/>
          </w:tblCellMar>
        </w:tblPrEx>
        <w:trPr>
          <w:trHeight w:val="352"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21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13</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524"/>
              <w:jc w:val="left"/>
              <w:rPr>
                <w:rFonts w:ascii="宋?" w:hAnsi="宋?" w:cs="宋?"/>
                <w:color w:val="2B2BFF"/>
                <w:kern w:val="0"/>
                <w:sz w:val="18"/>
                <w:szCs w:val="18"/>
              </w:rPr>
            </w:pPr>
            <w:r>
              <w:rPr>
                <w:rFonts w:ascii="宋?" w:hAnsi="宋?" w:cs="宋?"/>
                <w:color w:val="2B2BFF"/>
                <w:kern w:val="0"/>
                <w:sz w:val="18"/>
                <w:szCs w:val="18"/>
              </w:rPr>
              <w:t>消防水池</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945"/>
              <w:jc w:val="left"/>
              <w:rPr>
                <w:rFonts w:ascii="宋?" w:hAnsi="宋?" w:cs="宋?"/>
                <w:color w:val="2B2BFF"/>
                <w:kern w:val="0"/>
                <w:sz w:val="18"/>
                <w:szCs w:val="18"/>
              </w:rPr>
            </w:pPr>
            <w:r>
              <w:rPr>
                <w:rFonts w:ascii="宋?" w:hAnsi="宋?" w:cs="宋?"/>
                <w:color w:val="2B2BFF"/>
                <w:kern w:val="0"/>
                <w:sz w:val="18"/>
                <w:szCs w:val="18"/>
              </w:rPr>
              <w:t>钢筋混凝土</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945"/>
              <w:jc w:val="left"/>
              <w:rPr>
                <w:rFonts w:ascii="宋?" w:hAnsi="宋?" w:cs="宋?"/>
                <w:color w:val="2B2BFF"/>
                <w:kern w:val="0"/>
                <w:sz w:val="18"/>
                <w:szCs w:val="18"/>
              </w:rPr>
            </w:pP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77" w:lineRule="exact"/>
              <w:ind w:left="279"/>
              <w:jc w:val="left"/>
              <w:rPr>
                <w:rFonts w:ascii="宋?" w:hAnsi="宋?" w:cs="宋?"/>
                <w:color w:val="2B2BFF"/>
                <w:kern w:val="0"/>
                <w:sz w:val="18"/>
                <w:szCs w:val="18"/>
              </w:rPr>
            </w:pPr>
            <w:r>
              <w:rPr>
                <w:rFonts w:ascii="宋?" w:hAnsi="宋?" w:cs="宋?"/>
                <w:color w:val="2B2BFF"/>
                <w:kern w:val="0"/>
                <w:sz w:val="18"/>
                <w:szCs w:val="18"/>
              </w:rPr>
              <w:t>㎡</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7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360.00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10" w:lineRule="exact"/>
              <w:ind w:left="179"/>
              <w:jc w:val="left"/>
              <w:rPr>
                <w:rFonts w:ascii="Times New Roman" w:hAnsi="Times New Roman" w:cs="Times New Roman"/>
                <w:color w:val="2B2BFF"/>
                <w:kern w:val="0"/>
                <w:sz w:val="18"/>
                <w:szCs w:val="18"/>
              </w:rPr>
            </w:pPr>
          </w:p>
        </w:tc>
      </w:tr>
      <w:tr>
        <w:tblPrEx>
          <w:tblCellMar>
            <w:top w:w="0" w:type="dxa"/>
            <w:left w:w="0" w:type="dxa"/>
            <w:bottom w:w="0" w:type="dxa"/>
            <w:right w:w="0" w:type="dxa"/>
          </w:tblCellMar>
        </w:tblPrEx>
        <w:trPr>
          <w:trHeight w:val="664" w:hRule="exact"/>
        </w:trPr>
        <w:tc>
          <w:tcPr>
            <w:tcW w:w="64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467" w:lineRule="exact"/>
              <w:ind w:left="219"/>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14</w:t>
            </w: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434" w:lineRule="exact"/>
              <w:ind w:left="423"/>
              <w:jc w:val="left"/>
              <w:rPr>
                <w:rFonts w:ascii="宋?" w:hAnsi="宋?" w:cs="宋?"/>
                <w:color w:val="2B2BFF"/>
                <w:kern w:val="0"/>
                <w:sz w:val="18"/>
                <w:szCs w:val="18"/>
              </w:rPr>
            </w:pPr>
            <w:r>
              <w:rPr>
                <w:rFonts w:ascii="宋?" w:hAnsi="宋?" w:cs="宋?"/>
                <w:color w:val="2B2BFF"/>
                <w:kern w:val="0"/>
                <w:sz w:val="18"/>
                <w:szCs w:val="18"/>
              </w:rPr>
              <w:t>多胎羊购置</w:t>
            </w:r>
          </w:p>
        </w:tc>
        <w:tc>
          <w:tcPr>
            <w:tcW w:w="28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590" w:lineRule="exact"/>
              <w:ind w:left="844"/>
              <w:jc w:val="left"/>
              <w:rPr>
                <w:rFonts w:ascii="宋?" w:hAnsi="宋?" w:cs="宋?"/>
                <w:color w:val="2B2BFF"/>
                <w:kern w:val="0"/>
                <w:sz w:val="18"/>
                <w:szCs w:val="18"/>
              </w:rPr>
            </w:pPr>
            <w:r>
              <w:rPr>
                <w:rFonts w:ascii="宋?" w:hAnsi="宋?" w:cs="宋?"/>
                <w:color w:val="2B2BFF"/>
                <w:kern w:val="0"/>
                <w:sz w:val="18"/>
                <w:szCs w:val="18"/>
              </w:rPr>
              <w:t>湖羊种公羊等</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590" w:lineRule="exact"/>
              <w:ind w:left="844"/>
              <w:jc w:val="left"/>
              <w:rPr>
                <w:rFonts w:ascii="宋?" w:hAnsi="宋?" w:cs="宋?"/>
                <w:color w:val="2B2BFF"/>
                <w:kern w:val="0"/>
                <w:sz w:val="18"/>
                <w:szCs w:val="18"/>
              </w:rPr>
            </w:pP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434" w:lineRule="exact"/>
              <w:ind w:left="279"/>
              <w:jc w:val="left"/>
              <w:rPr>
                <w:rFonts w:ascii="宋?" w:hAnsi="宋?" w:cs="宋?"/>
                <w:color w:val="2B2BFF"/>
                <w:kern w:val="0"/>
                <w:sz w:val="18"/>
                <w:szCs w:val="18"/>
              </w:rPr>
            </w:pPr>
            <w:r>
              <w:rPr>
                <w:rFonts w:ascii="宋?" w:hAnsi="宋?" w:cs="宋?"/>
                <w:color w:val="2B2BFF"/>
                <w:kern w:val="0"/>
                <w:sz w:val="18"/>
                <w:szCs w:val="18"/>
              </w:rPr>
              <w:t>项</w:t>
            </w:r>
          </w:p>
        </w:tc>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467" w:lineRule="exact"/>
              <w:ind w:left="280"/>
              <w:jc w:val="left"/>
              <w:rPr>
                <w:rFonts w:ascii="Times New Roman" w:hAnsi="Times New Roman" w:cs="Times New Roman"/>
                <w:color w:val="2B2BFF"/>
                <w:kern w:val="0"/>
                <w:sz w:val="18"/>
                <w:szCs w:val="18"/>
              </w:rPr>
            </w:pPr>
            <w:r>
              <w:rPr>
                <w:rFonts w:ascii="Times New Roman" w:hAnsi="Times New Roman" w:cs="Times New Roman"/>
                <w:color w:val="2B2BFF"/>
                <w:kern w:val="0"/>
                <w:sz w:val="18"/>
                <w:szCs w:val="18"/>
              </w:rPr>
              <w:t>1.00</w:t>
            </w:r>
          </w:p>
        </w:tc>
        <w:tc>
          <w:tcPr>
            <w:tcW w:w="77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467" w:lineRule="exact"/>
              <w:ind w:left="280"/>
              <w:jc w:val="left"/>
              <w:rPr>
                <w:rFonts w:ascii="Times New Roman" w:hAnsi="Times New Roman" w:cs="Times New Roman"/>
                <w:color w:val="2B2BFF"/>
                <w:kern w:val="0"/>
                <w:sz w:val="18"/>
                <w:szCs w:val="18"/>
              </w:rPr>
            </w:pPr>
          </w:p>
        </w:tc>
      </w:tr>
    </w:tbl>
    <w:p>
      <w:pPr>
        <w:pStyle w:val="7"/>
        <w:bidi w:val="0"/>
        <w:jc w:val="center"/>
      </w:pPr>
      <w:r>
        <w:t>表</w:t>
      </w:r>
      <w:r>
        <w:rPr>
          <w:rFonts w:ascii="Times New Roman" w:eastAsia="Times New Roman"/>
        </w:rPr>
        <w:t>3.1-1</w:t>
      </w:r>
      <w:r>
        <w:rPr>
          <w:rFonts w:ascii="Times New Roman" w:eastAsia="Times New Roman"/>
        </w:rPr>
        <w:tab/>
      </w:r>
      <w:r>
        <w:rPr>
          <w:rFonts w:hint="eastAsia" w:ascii="Times New Roman" w:eastAsia="宋体"/>
          <w:lang w:val="en-US" w:eastAsia="zh-CN"/>
        </w:rPr>
        <w:t>本项目建设规模及内容</w:t>
      </w:r>
      <w:r>
        <w:t>一览表</w:t>
      </w:r>
    </w:p>
    <w:p>
      <w:pPr>
        <w:pStyle w:val="5"/>
        <w:numPr>
          <w:ilvl w:val="2"/>
          <w:numId w:val="19"/>
        </w:numPr>
        <w:bidi w:val="0"/>
      </w:pPr>
      <w:bookmarkStart w:id="112" w:name="3.1.3 工程内容"/>
      <w:bookmarkEnd w:id="112"/>
      <w:bookmarkStart w:id="113" w:name="3.1.3 工程内容"/>
      <w:bookmarkEnd w:id="113"/>
      <w:r>
        <w:rPr>
          <w:rFonts w:hint="eastAsia"/>
          <w:lang w:val="en-US" w:eastAsia="zh-CN"/>
        </w:rPr>
        <w:t xml:space="preserve"> </w:t>
      </w:r>
      <w:r>
        <w:t>工程内容</w:t>
      </w:r>
    </w:p>
    <w:p>
      <w:pPr>
        <w:pStyle w:val="7"/>
        <w:spacing w:before="5"/>
        <w:ind w:left="0"/>
        <w:rPr>
          <w:b/>
          <w:color w:val="0000FF"/>
          <w:sz w:val="21"/>
        </w:rPr>
      </w:pPr>
    </w:p>
    <w:p>
      <w:pPr>
        <w:pStyle w:val="7"/>
        <w:spacing w:line="364" w:lineRule="auto"/>
        <w:ind w:right="575" w:firstLine="480"/>
        <w:rPr>
          <w:color w:val="0000FF"/>
        </w:rPr>
      </w:pPr>
      <w:r>
        <w:rPr>
          <w:color w:val="0000FF"/>
          <w:spacing w:val="-6"/>
        </w:rPr>
        <w:t>单栋羊舍为一层钢结构，密闭式，坐北朝南，单栋建设面积为</w:t>
      </w:r>
      <w:r>
        <w:rPr>
          <w:rFonts w:hint="eastAsia" w:ascii="Times New Roman" w:eastAsia="宋体"/>
          <w:color w:val="0000FF"/>
          <w:spacing w:val="-3"/>
          <w:lang w:val="en-US" w:eastAsia="zh-CN"/>
        </w:rPr>
        <w:t>1200</w:t>
      </w:r>
      <w:r>
        <w:rPr>
          <w:rFonts w:ascii="Times New Roman" w:eastAsia="Times New Roman"/>
          <w:color w:val="0000FF"/>
          <w:spacing w:val="-3"/>
        </w:rPr>
        <w:t>m</w:t>
      </w:r>
      <w:r>
        <w:rPr>
          <w:rFonts w:ascii="Times New Roman" w:eastAsia="Times New Roman"/>
          <w:color w:val="0000FF"/>
          <w:spacing w:val="-3"/>
          <w:position w:val="8"/>
          <w:sz w:val="15"/>
        </w:rPr>
        <w:t>2</w:t>
      </w:r>
      <w:r>
        <w:rPr>
          <w:color w:val="0000FF"/>
          <w:spacing w:val="-3"/>
        </w:rPr>
        <w:t>（</w:t>
      </w:r>
      <w:r>
        <w:rPr>
          <w:color w:val="0000FF"/>
          <w:spacing w:val="-8"/>
        </w:rPr>
        <w:t>含室</w:t>
      </w:r>
      <w:r>
        <w:rPr>
          <w:color w:val="0000FF"/>
        </w:rPr>
        <w:t>外活动场地</w:t>
      </w:r>
      <w:r>
        <w:rPr>
          <w:color w:val="0000FF"/>
          <w:spacing w:val="-24"/>
        </w:rPr>
        <w:t>）</w:t>
      </w:r>
      <w:r>
        <w:rPr>
          <w:color w:val="0000FF"/>
          <w:spacing w:val="-9"/>
        </w:rPr>
        <w:t>。羊舍地面为混凝土土地面，走道地面为水泥砂浆地面，墙面均为</w:t>
      </w:r>
      <w:r>
        <w:rPr>
          <w:color w:val="0000FF"/>
          <w:spacing w:val="-6"/>
        </w:rPr>
        <w:t>水泥砂浆墙面，屋面采用双坡彩钢板屋面，最低处层高为</w:t>
      </w:r>
      <w:r>
        <w:rPr>
          <w:rFonts w:ascii="Times New Roman" w:eastAsia="Times New Roman"/>
          <w:color w:val="0000FF"/>
          <w:spacing w:val="-3"/>
        </w:rPr>
        <w:t>3.00m</w:t>
      </w:r>
      <w:r>
        <w:rPr>
          <w:color w:val="0000FF"/>
          <w:spacing w:val="-4"/>
        </w:rPr>
        <w:t>，最高处层高为</w:t>
      </w:r>
      <w:r>
        <w:rPr>
          <w:rFonts w:ascii="Times New Roman" w:eastAsia="Times New Roman"/>
          <w:color w:val="0000FF"/>
        </w:rPr>
        <w:t>3.60m</w:t>
      </w:r>
      <w:r>
        <w:rPr>
          <w:color w:val="0000FF"/>
          <w:spacing w:val="-8"/>
        </w:rPr>
        <w:t>，室内外高差为</w:t>
      </w:r>
      <w:r>
        <w:rPr>
          <w:rFonts w:ascii="Times New Roman" w:eastAsia="Times New Roman"/>
          <w:color w:val="0000FF"/>
        </w:rPr>
        <w:t>0.15m</w:t>
      </w:r>
      <w:r>
        <w:rPr>
          <w:color w:val="0000FF"/>
          <w:spacing w:val="-11"/>
        </w:rPr>
        <w:t>，地面以上</w:t>
      </w:r>
      <w:r>
        <w:rPr>
          <w:rFonts w:ascii="Times New Roman" w:eastAsia="Times New Roman"/>
          <w:color w:val="0000FF"/>
        </w:rPr>
        <w:t>1.5m</w:t>
      </w:r>
      <w:r>
        <w:rPr>
          <w:color w:val="0000FF"/>
        </w:rPr>
        <w:t>为砖墙砌体，</w:t>
      </w:r>
      <w:r>
        <w:rPr>
          <w:rFonts w:ascii="Times New Roman" w:eastAsia="Times New Roman"/>
          <w:color w:val="0000FF"/>
        </w:rPr>
        <w:t>1.5m-3.6m</w:t>
      </w:r>
      <w:r>
        <w:rPr>
          <w:color w:val="0000FF"/>
        </w:rPr>
        <w:t>为彩钢。本工程为砖混</w:t>
      </w:r>
      <w:r>
        <w:rPr>
          <w:rFonts w:ascii="Times New Roman" w:eastAsia="Times New Roman"/>
          <w:color w:val="0000FF"/>
        </w:rPr>
        <w:t>+</w:t>
      </w:r>
      <w:r>
        <w:rPr>
          <w:color w:val="0000FF"/>
        </w:rPr>
        <w:t>彩钢结构标准化棚圈，均为独立的羊圈和运动场。棚圈地面</w:t>
      </w:r>
      <w:r>
        <w:rPr>
          <w:color w:val="0000FF"/>
          <w:spacing w:val="-9"/>
        </w:rPr>
        <w:t>高出舍外地面</w:t>
      </w:r>
      <w:r>
        <w:rPr>
          <w:rFonts w:ascii="Times New Roman" w:eastAsia="Times New Roman"/>
          <w:color w:val="0000FF"/>
          <w:spacing w:val="-4"/>
        </w:rPr>
        <w:t>15mm</w:t>
      </w:r>
      <w:r>
        <w:rPr>
          <w:color w:val="0000FF"/>
          <w:spacing w:val="-8"/>
        </w:rPr>
        <w:t>，铺成缓坡以利排水。运动场三面为</w:t>
      </w:r>
      <w:r>
        <w:rPr>
          <w:rFonts w:ascii="Times New Roman" w:eastAsia="Times New Roman"/>
          <w:color w:val="0000FF"/>
        </w:rPr>
        <w:t>1.20m</w:t>
      </w:r>
      <w:r>
        <w:rPr>
          <w:color w:val="0000FF"/>
          <w:spacing w:val="-5"/>
        </w:rPr>
        <w:t>高的钢栅栏，防</w:t>
      </w:r>
      <w:r>
        <w:rPr>
          <w:color w:val="0000FF"/>
          <w:spacing w:val="-2"/>
        </w:rPr>
        <w:t>止羊只窜出。运动场地面为三合土地面，要求平整且为</w:t>
      </w:r>
      <w:r>
        <w:rPr>
          <w:rFonts w:ascii="Times New Roman" w:eastAsia="Times New Roman"/>
          <w:color w:val="0000FF"/>
        </w:rPr>
        <w:t>1-2%</w:t>
      </w:r>
      <w:r>
        <w:rPr>
          <w:color w:val="0000FF"/>
        </w:rPr>
        <w:t>的坡度，四周设排</w:t>
      </w:r>
      <w:r>
        <w:rPr>
          <w:color w:val="0000FF"/>
          <w:spacing w:val="-11"/>
        </w:rPr>
        <w:t>水沟，场内不得积水，并保持清洁。运动场的目的是可让羊群在运动场上自由活动、采食、呼吸新鲜空气、晒太阳；同时利用羊群活动的时间，羊舍内空气状况也可逐渐得到改善和恢复。配套建设其他附属用房建筑工程特征如下：</w:t>
      </w:r>
    </w:p>
    <w:p>
      <w:pPr>
        <w:pStyle w:val="7"/>
        <w:bidi w:val="0"/>
        <w:jc w:val="center"/>
      </w:pPr>
      <w:r>
        <w:t>表</w:t>
      </w:r>
      <w:r>
        <w:rPr>
          <w:rFonts w:ascii="Times New Roman" w:eastAsia="Times New Roman"/>
        </w:rPr>
        <w:t>3.1-2</w:t>
      </w:r>
      <w:r>
        <w:rPr>
          <w:rFonts w:ascii="Times New Roman" w:eastAsia="Times New Roman"/>
        </w:rPr>
        <w:tab/>
      </w:r>
      <w:r>
        <w:t>配套建设其他附属用房建筑工程特征一览表</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6"/>
        <w:gridCol w:w="1265"/>
        <w:gridCol w:w="1590"/>
        <w:gridCol w:w="1486"/>
        <w:gridCol w:w="1154"/>
        <w:gridCol w:w="1304"/>
        <w:gridCol w:w="1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86" w:type="dxa"/>
          </w:tcPr>
          <w:p>
            <w:pPr>
              <w:pStyle w:val="19"/>
              <w:spacing w:before="1" w:line="240" w:lineRule="exact"/>
              <w:ind w:left="186" w:right="178"/>
              <w:jc w:val="left"/>
              <w:rPr>
                <w:b/>
                <w:sz w:val="21"/>
              </w:rPr>
            </w:pPr>
            <w:r>
              <w:rPr>
                <w:b/>
                <w:sz w:val="21"/>
              </w:rPr>
              <w:t>序号</w:t>
            </w:r>
          </w:p>
        </w:tc>
        <w:tc>
          <w:tcPr>
            <w:tcW w:w="1265" w:type="dxa"/>
          </w:tcPr>
          <w:p>
            <w:pPr>
              <w:pStyle w:val="19"/>
              <w:spacing w:before="103"/>
              <w:ind w:left="189" w:right="181"/>
              <w:rPr>
                <w:b/>
                <w:sz w:val="21"/>
              </w:rPr>
            </w:pPr>
            <w:r>
              <w:rPr>
                <w:b/>
                <w:sz w:val="21"/>
              </w:rPr>
              <w:t>项目名称</w:t>
            </w:r>
          </w:p>
        </w:tc>
        <w:tc>
          <w:tcPr>
            <w:tcW w:w="1590" w:type="dxa"/>
          </w:tcPr>
          <w:p>
            <w:pPr>
              <w:pStyle w:val="19"/>
              <w:spacing w:before="103"/>
              <w:ind w:left="131" w:right="7"/>
              <w:rPr>
                <w:b/>
                <w:sz w:val="21"/>
              </w:rPr>
            </w:pPr>
            <w:r>
              <w:rPr>
                <w:b/>
                <w:spacing w:val="-7"/>
                <w:w w:val="95"/>
                <w:sz w:val="21"/>
              </w:rPr>
              <w:t>建筑面积</w:t>
            </w:r>
            <w:r>
              <w:rPr>
                <w:b/>
                <w:w w:val="95"/>
                <w:sz w:val="21"/>
              </w:rPr>
              <w:t>（</w:t>
            </w:r>
            <w:r>
              <w:rPr>
                <w:rFonts w:ascii="Times New Roman" w:eastAsia="Times New Roman"/>
                <w:b/>
                <w:w w:val="95"/>
                <w:sz w:val="21"/>
              </w:rPr>
              <w:t>m</w:t>
            </w:r>
            <w:r>
              <w:rPr>
                <w:rFonts w:ascii="Times New Roman" w:eastAsia="Times New Roman"/>
                <w:b/>
                <w:w w:val="95"/>
                <w:position w:val="7"/>
                <w:sz w:val="13"/>
              </w:rPr>
              <w:t>2</w:t>
            </w:r>
            <w:r>
              <w:rPr>
                <w:b/>
                <w:w w:val="95"/>
                <w:sz w:val="21"/>
              </w:rPr>
              <w:t>）</w:t>
            </w:r>
          </w:p>
        </w:tc>
        <w:tc>
          <w:tcPr>
            <w:tcW w:w="1486" w:type="dxa"/>
          </w:tcPr>
          <w:p>
            <w:pPr>
              <w:pStyle w:val="19"/>
              <w:spacing w:before="103"/>
              <w:ind w:right="-15"/>
              <w:jc w:val="right"/>
              <w:rPr>
                <w:b/>
                <w:sz w:val="21"/>
              </w:rPr>
            </w:pPr>
            <w:r>
              <w:rPr>
                <w:b/>
                <w:w w:val="95"/>
                <w:sz w:val="21"/>
              </w:rPr>
              <w:t>建筑高度（</w:t>
            </w:r>
            <w:r>
              <w:rPr>
                <w:rFonts w:ascii="Times New Roman" w:eastAsia="Times New Roman"/>
                <w:b/>
                <w:w w:val="95"/>
                <w:sz w:val="21"/>
              </w:rPr>
              <w:t>m</w:t>
            </w:r>
            <w:r>
              <w:rPr>
                <w:b/>
                <w:w w:val="95"/>
                <w:sz w:val="21"/>
              </w:rPr>
              <w:t>）</w:t>
            </w:r>
          </w:p>
        </w:tc>
        <w:tc>
          <w:tcPr>
            <w:tcW w:w="1154" w:type="dxa"/>
          </w:tcPr>
          <w:p>
            <w:pPr>
              <w:pStyle w:val="19"/>
              <w:spacing w:before="103"/>
              <w:ind w:left="109" w:right="99"/>
              <w:rPr>
                <w:b/>
                <w:sz w:val="21"/>
              </w:rPr>
            </w:pPr>
            <w:r>
              <w:rPr>
                <w:b/>
                <w:sz w:val="21"/>
              </w:rPr>
              <w:t>建筑层数</w:t>
            </w:r>
          </w:p>
        </w:tc>
        <w:tc>
          <w:tcPr>
            <w:tcW w:w="1304" w:type="dxa"/>
          </w:tcPr>
          <w:p>
            <w:pPr>
              <w:pStyle w:val="19"/>
              <w:spacing w:before="103"/>
              <w:ind w:left="107" w:right="97"/>
              <w:rPr>
                <w:b/>
                <w:sz w:val="21"/>
              </w:rPr>
            </w:pPr>
            <w:r>
              <w:rPr>
                <w:b/>
                <w:sz w:val="21"/>
              </w:rPr>
              <w:t>结构形式</w:t>
            </w:r>
          </w:p>
        </w:tc>
        <w:tc>
          <w:tcPr>
            <w:tcW w:w="1137" w:type="dxa"/>
          </w:tcPr>
          <w:p>
            <w:pPr>
              <w:pStyle w:val="19"/>
              <w:spacing w:before="1" w:line="240" w:lineRule="exact"/>
              <w:ind w:left="357" w:right="134" w:hanging="209"/>
              <w:jc w:val="left"/>
              <w:rPr>
                <w:b/>
                <w:sz w:val="21"/>
              </w:rPr>
            </w:pPr>
            <w:r>
              <w:rPr>
                <w:b/>
                <w:sz w:val="21"/>
              </w:rPr>
              <w:t>建筑耐火等级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86" w:type="dxa"/>
          </w:tcPr>
          <w:p>
            <w:pPr>
              <w:pStyle w:val="19"/>
              <w:spacing w:before="33"/>
              <w:ind w:left="8"/>
              <w:rPr>
                <w:rFonts w:ascii="Times New Roman"/>
                <w:sz w:val="21"/>
              </w:rPr>
            </w:pPr>
            <w:r>
              <w:rPr>
                <w:rFonts w:ascii="Times New Roman"/>
                <w:w w:val="99"/>
                <w:sz w:val="21"/>
              </w:rPr>
              <w:t>1</w:t>
            </w:r>
          </w:p>
        </w:tc>
        <w:tc>
          <w:tcPr>
            <w:tcW w:w="1265" w:type="dxa"/>
          </w:tcPr>
          <w:p>
            <w:pPr>
              <w:pStyle w:val="19"/>
              <w:spacing w:before="19"/>
              <w:ind w:left="184" w:right="181"/>
              <w:rPr>
                <w:sz w:val="21"/>
              </w:rPr>
            </w:pPr>
            <w:r>
              <w:rPr>
                <w:sz w:val="21"/>
              </w:rPr>
              <w:t>饲料库房</w:t>
            </w:r>
          </w:p>
        </w:tc>
        <w:tc>
          <w:tcPr>
            <w:tcW w:w="1590" w:type="dxa"/>
          </w:tcPr>
          <w:p>
            <w:pPr>
              <w:pStyle w:val="19"/>
              <w:spacing w:before="19"/>
              <w:ind w:left="14" w:right="7"/>
              <w:rPr>
                <w:sz w:val="21"/>
              </w:rPr>
            </w:pPr>
            <w:r>
              <w:rPr>
                <w:rFonts w:ascii="Times New Roman" w:eastAsia="Times New Roman"/>
                <w:sz w:val="21"/>
              </w:rPr>
              <w:t>1402.28m</w:t>
            </w:r>
            <w:r>
              <w:rPr>
                <w:rFonts w:ascii="Times New Roman" w:eastAsia="Times New Roman"/>
                <w:position w:val="7"/>
                <w:sz w:val="13"/>
              </w:rPr>
              <w:t>2</w:t>
            </w:r>
            <w:r>
              <w:rPr>
                <w:rFonts w:ascii="Times New Roman" w:eastAsia="Times New Roman"/>
                <w:sz w:val="21"/>
              </w:rPr>
              <w:t>/</w:t>
            </w:r>
            <w:r>
              <w:rPr>
                <w:sz w:val="21"/>
              </w:rPr>
              <w:t>栋</w:t>
            </w:r>
          </w:p>
        </w:tc>
        <w:tc>
          <w:tcPr>
            <w:tcW w:w="1486" w:type="dxa"/>
          </w:tcPr>
          <w:p>
            <w:pPr>
              <w:pStyle w:val="19"/>
              <w:spacing w:before="19"/>
              <w:ind w:right="-15"/>
              <w:jc w:val="right"/>
              <w:rPr>
                <w:sz w:val="21"/>
              </w:rPr>
            </w:pPr>
            <w:r>
              <w:rPr>
                <w:rFonts w:ascii="Times New Roman" w:eastAsia="Times New Roman"/>
                <w:w w:val="95"/>
                <w:sz w:val="21"/>
              </w:rPr>
              <w:t>5.50m</w:t>
            </w:r>
            <w:r>
              <w:rPr>
                <w:w w:val="95"/>
                <w:sz w:val="21"/>
              </w:rPr>
              <w:t>（檐口）</w:t>
            </w:r>
          </w:p>
        </w:tc>
        <w:tc>
          <w:tcPr>
            <w:tcW w:w="1154" w:type="dxa"/>
          </w:tcPr>
          <w:p>
            <w:pPr>
              <w:pStyle w:val="19"/>
              <w:spacing w:before="19"/>
              <w:ind w:left="109" w:right="101"/>
              <w:rPr>
                <w:sz w:val="21"/>
              </w:rPr>
            </w:pPr>
            <w:r>
              <w:rPr>
                <w:sz w:val="21"/>
              </w:rPr>
              <w:t>地上</w:t>
            </w:r>
            <w:r>
              <w:rPr>
                <w:rFonts w:ascii="Times New Roman" w:eastAsia="Times New Roman"/>
                <w:sz w:val="21"/>
              </w:rPr>
              <w:t>1</w:t>
            </w:r>
            <w:r>
              <w:rPr>
                <w:sz w:val="21"/>
              </w:rPr>
              <w:t>层</w:t>
            </w:r>
          </w:p>
        </w:tc>
        <w:tc>
          <w:tcPr>
            <w:tcW w:w="1304" w:type="dxa"/>
          </w:tcPr>
          <w:p>
            <w:pPr>
              <w:pStyle w:val="19"/>
              <w:spacing w:before="19"/>
              <w:ind w:left="104" w:right="97"/>
              <w:rPr>
                <w:sz w:val="21"/>
              </w:rPr>
            </w:pPr>
            <w:r>
              <w:rPr>
                <w:sz w:val="21"/>
              </w:rPr>
              <w:t>钢结构</w:t>
            </w:r>
          </w:p>
        </w:tc>
        <w:tc>
          <w:tcPr>
            <w:tcW w:w="1137" w:type="dxa"/>
          </w:tcPr>
          <w:p>
            <w:pPr>
              <w:pStyle w:val="19"/>
              <w:spacing w:before="19"/>
              <w:ind w:left="127" w:right="120"/>
              <w:rPr>
                <w:sz w:val="21"/>
              </w:rPr>
            </w:pPr>
            <w:r>
              <w:rPr>
                <w:sz w:val="21"/>
              </w:rPr>
              <w:t>地上二级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86" w:type="dxa"/>
          </w:tcPr>
          <w:p>
            <w:pPr>
              <w:pStyle w:val="19"/>
              <w:spacing w:before="116"/>
              <w:ind w:left="8"/>
              <w:rPr>
                <w:rFonts w:ascii="Times New Roman"/>
                <w:sz w:val="21"/>
              </w:rPr>
            </w:pPr>
            <w:r>
              <w:rPr>
                <w:rFonts w:ascii="Times New Roman"/>
                <w:w w:val="99"/>
                <w:sz w:val="21"/>
              </w:rPr>
              <w:t>2</w:t>
            </w:r>
          </w:p>
        </w:tc>
        <w:tc>
          <w:tcPr>
            <w:tcW w:w="1265" w:type="dxa"/>
          </w:tcPr>
          <w:p>
            <w:pPr>
              <w:pStyle w:val="19"/>
              <w:spacing w:line="240" w:lineRule="exact"/>
              <w:ind w:left="316" w:right="204" w:hanging="106"/>
              <w:jc w:val="left"/>
              <w:rPr>
                <w:sz w:val="21"/>
              </w:rPr>
            </w:pPr>
            <w:r>
              <w:rPr>
                <w:sz w:val="21"/>
              </w:rPr>
              <w:t>饲草料加工用房</w:t>
            </w:r>
          </w:p>
        </w:tc>
        <w:tc>
          <w:tcPr>
            <w:tcW w:w="1590" w:type="dxa"/>
          </w:tcPr>
          <w:p>
            <w:pPr>
              <w:pStyle w:val="19"/>
              <w:spacing w:before="102"/>
              <w:ind w:left="14" w:right="7"/>
              <w:rPr>
                <w:sz w:val="21"/>
              </w:rPr>
            </w:pPr>
            <w:r>
              <w:rPr>
                <w:rFonts w:ascii="Times New Roman" w:eastAsia="Times New Roman"/>
                <w:sz w:val="21"/>
              </w:rPr>
              <w:t>1402.28m</w:t>
            </w:r>
            <w:r>
              <w:rPr>
                <w:rFonts w:ascii="Times New Roman" w:eastAsia="Times New Roman"/>
                <w:position w:val="7"/>
                <w:sz w:val="13"/>
              </w:rPr>
              <w:t>2</w:t>
            </w:r>
            <w:r>
              <w:rPr>
                <w:rFonts w:ascii="Times New Roman" w:eastAsia="Times New Roman"/>
                <w:sz w:val="21"/>
              </w:rPr>
              <w:t>/</w:t>
            </w:r>
            <w:r>
              <w:rPr>
                <w:sz w:val="21"/>
              </w:rPr>
              <w:t>栋</w:t>
            </w:r>
          </w:p>
        </w:tc>
        <w:tc>
          <w:tcPr>
            <w:tcW w:w="1486" w:type="dxa"/>
          </w:tcPr>
          <w:p>
            <w:pPr>
              <w:pStyle w:val="19"/>
              <w:spacing w:before="102"/>
              <w:ind w:right="-15"/>
              <w:jc w:val="right"/>
              <w:rPr>
                <w:sz w:val="21"/>
              </w:rPr>
            </w:pPr>
            <w:r>
              <w:rPr>
                <w:rFonts w:ascii="Times New Roman" w:eastAsia="Times New Roman"/>
                <w:w w:val="95"/>
                <w:sz w:val="21"/>
              </w:rPr>
              <w:t>5.50m</w:t>
            </w:r>
            <w:r>
              <w:rPr>
                <w:w w:val="95"/>
                <w:sz w:val="21"/>
              </w:rPr>
              <w:t>（檐口）</w:t>
            </w:r>
          </w:p>
        </w:tc>
        <w:tc>
          <w:tcPr>
            <w:tcW w:w="1154" w:type="dxa"/>
          </w:tcPr>
          <w:p>
            <w:pPr>
              <w:pStyle w:val="19"/>
              <w:spacing w:before="102"/>
              <w:ind w:left="109" w:right="101"/>
              <w:rPr>
                <w:sz w:val="21"/>
              </w:rPr>
            </w:pPr>
            <w:r>
              <w:rPr>
                <w:sz w:val="21"/>
              </w:rPr>
              <w:t>地上</w:t>
            </w:r>
            <w:r>
              <w:rPr>
                <w:rFonts w:ascii="Times New Roman" w:eastAsia="Times New Roman"/>
                <w:sz w:val="21"/>
              </w:rPr>
              <w:t>1</w:t>
            </w:r>
            <w:r>
              <w:rPr>
                <w:sz w:val="21"/>
              </w:rPr>
              <w:t>层</w:t>
            </w:r>
          </w:p>
        </w:tc>
        <w:tc>
          <w:tcPr>
            <w:tcW w:w="1304" w:type="dxa"/>
          </w:tcPr>
          <w:p>
            <w:pPr>
              <w:pStyle w:val="19"/>
              <w:spacing w:before="102"/>
              <w:ind w:left="104" w:right="97"/>
              <w:rPr>
                <w:sz w:val="21"/>
              </w:rPr>
            </w:pPr>
            <w:r>
              <w:rPr>
                <w:sz w:val="21"/>
              </w:rPr>
              <w:t>钢结构</w:t>
            </w:r>
          </w:p>
        </w:tc>
        <w:tc>
          <w:tcPr>
            <w:tcW w:w="1137" w:type="dxa"/>
          </w:tcPr>
          <w:p>
            <w:pPr>
              <w:pStyle w:val="19"/>
              <w:spacing w:before="102"/>
              <w:ind w:left="127" w:right="120"/>
              <w:rPr>
                <w:sz w:val="21"/>
              </w:rPr>
            </w:pPr>
            <w:r>
              <w:rPr>
                <w:sz w:val="21"/>
              </w:rPr>
              <w:t>地上二级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6" w:type="dxa"/>
          </w:tcPr>
          <w:p>
            <w:pPr>
              <w:pStyle w:val="19"/>
              <w:spacing w:before="34"/>
              <w:ind w:left="8"/>
              <w:rPr>
                <w:rFonts w:ascii="Times New Roman"/>
                <w:sz w:val="21"/>
              </w:rPr>
            </w:pPr>
            <w:r>
              <w:rPr>
                <w:rFonts w:ascii="Times New Roman"/>
                <w:w w:val="99"/>
                <w:sz w:val="21"/>
              </w:rPr>
              <w:t>3</w:t>
            </w:r>
          </w:p>
        </w:tc>
        <w:tc>
          <w:tcPr>
            <w:tcW w:w="1265" w:type="dxa"/>
          </w:tcPr>
          <w:p>
            <w:pPr>
              <w:pStyle w:val="19"/>
              <w:spacing w:before="20"/>
              <w:ind w:left="187" w:right="181"/>
              <w:rPr>
                <w:sz w:val="21"/>
              </w:rPr>
            </w:pPr>
            <w:r>
              <w:rPr>
                <w:sz w:val="21"/>
              </w:rPr>
              <w:t>青储窖</w:t>
            </w:r>
          </w:p>
        </w:tc>
        <w:tc>
          <w:tcPr>
            <w:tcW w:w="1590" w:type="dxa"/>
          </w:tcPr>
          <w:p>
            <w:pPr>
              <w:pStyle w:val="19"/>
              <w:spacing w:before="20"/>
              <w:ind w:left="16" w:right="7"/>
              <w:rPr>
                <w:sz w:val="21"/>
              </w:rPr>
            </w:pPr>
            <w:r>
              <w:rPr>
                <w:rFonts w:ascii="Times New Roman" w:eastAsia="Times New Roman"/>
                <w:sz w:val="21"/>
              </w:rPr>
              <w:t>300m</w:t>
            </w:r>
            <w:r>
              <w:rPr>
                <w:rFonts w:ascii="Times New Roman" w:eastAsia="Times New Roman"/>
                <w:position w:val="7"/>
                <w:sz w:val="13"/>
              </w:rPr>
              <w:t>2</w:t>
            </w:r>
            <w:r>
              <w:rPr>
                <w:rFonts w:ascii="Times New Roman" w:eastAsia="Times New Roman"/>
                <w:sz w:val="21"/>
              </w:rPr>
              <w:t>/</w:t>
            </w:r>
            <w:r>
              <w:rPr>
                <w:sz w:val="21"/>
              </w:rPr>
              <w:t>栋</w:t>
            </w:r>
          </w:p>
        </w:tc>
        <w:tc>
          <w:tcPr>
            <w:tcW w:w="1486" w:type="dxa"/>
          </w:tcPr>
          <w:p>
            <w:pPr>
              <w:pStyle w:val="19"/>
              <w:spacing w:before="20"/>
              <w:ind w:right="-15"/>
              <w:jc w:val="right"/>
              <w:rPr>
                <w:sz w:val="21"/>
              </w:rPr>
            </w:pPr>
            <w:r>
              <w:rPr>
                <w:rFonts w:ascii="Times New Roman" w:eastAsia="Times New Roman"/>
                <w:w w:val="95"/>
                <w:sz w:val="21"/>
              </w:rPr>
              <w:t>2.30m</w:t>
            </w:r>
            <w:r>
              <w:rPr>
                <w:w w:val="95"/>
                <w:sz w:val="21"/>
              </w:rPr>
              <w:t>（檐口）</w:t>
            </w:r>
          </w:p>
        </w:tc>
        <w:tc>
          <w:tcPr>
            <w:tcW w:w="1154" w:type="dxa"/>
          </w:tcPr>
          <w:p>
            <w:pPr>
              <w:pStyle w:val="19"/>
              <w:spacing w:before="20"/>
              <w:ind w:left="109" w:right="101"/>
              <w:rPr>
                <w:sz w:val="21"/>
              </w:rPr>
            </w:pPr>
            <w:r>
              <w:rPr>
                <w:sz w:val="21"/>
              </w:rPr>
              <w:t>地上</w:t>
            </w:r>
            <w:r>
              <w:rPr>
                <w:rFonts w:ascii="Times New Roman" w:eastAsia="Times New Roman"/>
                <w:sz w:val="21"/>
              </w:rPr>
              <w:t>1</w:t>
            </w:r>
            <w:r>
              <w:rPr>
                <w:sz w:val="21"/>
              </w:rPr>
              <w:t>层</w:t>
            </w:r>
          </w:p>
        </w:tc>
        <w:tc>
          <w:tcPr>
            <w:tcW w:w="1304" w:type="dxa"/>
          </w:tcPr>
          <w:p>
            <w:pPr>
              <w:pStyle w:val="19"/>
              <w:spacing w:before="20"/>
              <w:ind w:left="107" w:right="97"/>
              <w:rPr>
                <w:sz w:val="21"/>
              </w:rPr>
            </w:pPr>
            <w:r>
              <w:rPr>
                <w:sz w:val="21"/>
              </w:rPr>
              <w:t>钢筋混凝土</w:t>
            </w:r>
          </w:p>
        </w:tc>
        <w:tc>
          <w:tcPr>
            <w:tcW w:w="1137" w:type="dxa"/>
          </w:tcPr>
          <w:p>
            <w:pPr>
              <w:pStyle w:val="19"/>
              <w:spacing w:before="20"/>
              <w:ind w:left="127" w:right="120"/>
              <w:rPr>
                <w:sz w:val="21"/>
              </w:rPr>
            </w:pPr>
            <w:r>
              <w:rPr>
                <w:sz w:val="21"/>
              </w:rPr>
              <w:t>地上二级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86" w:type="dxa"/>
          </w:tcPr>
          <w:p>
            <w:pPr>
              <w:pStyle w:val="19"/>
              <w:spacing w:before="115"/>
              <w:ind w:left="8"/>
              <w:rPr>
                <w:rFonts w:ascii="Times New Roman"/>
                <w:sz w:val="21"/>
              </w:rPr>
            </w:pPr>
            <w:r>
              <w:rPr>
                <w:rFonts w:ascii="Times New Roman"/>
                <w:w w:val="99"/>
                <w:sz w:val="21"/>
              </w:rPr>
              <w:t>4</w:t>
            </w:r>
          </w:p>
        </w:tc>
        <w:tc>
          <w:tcPr>
            <w:tcW w:w="1265" w:type="dxa"/>
          </w:tcPr>
          <w:p>
            <w:pPr>
              <w:pStyle w:val="19"/>
              <w:spacing w:line="236" w:lineRule="exact"/>
              <w:ind w:left="184" w:right="181"/>
              <w:rPr>
                <w:sz w:val="21"/>
              </w:rPr>
            </w:pPr>
            <w:r>
              <w:rPr>
                <w:sz w:val="21"/>
              </w:rPr>
              <w:t>消防水池</w:t>
            </w:r>
          </w:p>
          <w:p>
            <w:pPr>
              <w:pStyle w:val="19"/>
              <w:spacing w:line="224" w:lineRule="exact"/>
              <w:ind w:left="187" w:right="181"/>
              <w:rPr>
                <w:sz w:val="21"/>
              </w:rPr>
            </w:pPr>
            <w:r>
              <w:rPr>
                <w:sz w:val="21"/>
              </w:rPr>
              <w:t>及泵房</w:t>
            </w:r>
          </w:p>
        </w:tc>
        <w:tc>
          <w:tcPr>
            <w:tcW w:w="1590" w:type="dxa"/>
          </w:tcPr>
          <w:p>
            <w:pPr>
              <w:pStyle w:val="19"/>
              <w:spacing w:before="101"/>
              <w:ind w:left="16" w:right="7"/>
              <w:rPr>
                <w:sz w:val="21"/>
              </w:rPr>
            </w:pPr>
            <w:r>
              <w:rPr>
                <w:rFonts w:hint="eastAsia" w:ascii="Times New Roman" w:eastAsia="宋体"/>
                <w:sz w:val="21"/>
                <w:lang w:val="en-US" w:eastAsia="zh-CN"/>
              </w:rPr>
              <w:t>360</w:t>
            </w:r>
            <w:r>
              <w:rPr>
                <w:rFonts w:ascii="Times New Roman" w:eastAsia="Times New Roman"/>
                <w:sz w:val="21"/>
              </w:rPr>
              <w:t>m</w:t>
            </w:r>
            <w:r>
              <w:rPr>
                <w:rFonts w:ascii="Times New Roman" w:eastAsia="Times New Roman"/>
                <w:position w:val="7"/>
                <w:sz w:val="13"/>
              </w:rPr>
              <w:t>2</w:t>
            </w:r>
            <w:r>
              <w:rPr>
                <w:rFonts w:ascii="Times New Roman" w:eastAsia="Times New Roman"/>
                <w:sz w:val="21"/>
              </w:rPr>
              <w:t>/</w:t>
            </w:r>
            <w:r>
              <w:rPr>
                <w:sz w:val="21"/>
              </w:rPr>
              <w:t>栋</w:t>
            </w:r>
          </w:p>
        </w:tc>
        <w:tc>
          <w:tcPr>
            <w:tcW w:w="1486" w:type="dxa"/>
          </w:tcPr>
          <w:p>
            <w:pPr>
              <w:pStyle w:val="19"/>
              <w:spacing w:before="101"/>
              <w:ind w:right="-15"/>
              <w:jc w:val="right"/>
              <w:rPr>
                <w:sz w:val="21"/>
              </w:rPr>
            </w:pPr>
            <w:r>
              <w:rPr>
                <w:rFonts w:ascii="Times New Roman" w:eastAsia="Times New Roman"/>
                <w:w w:val="95"/>
                <w:sz w:val="21"/>
              </w:rPr>
              <w:t>3.30m</w:t>
            </w:r>
            <w:r>
              <w:rPr>
                <w:w w:val="95"/>
                <w:sz w:val="21"/>
              </w:rPr>
              <w:t>（檐口）</w:t>
            </w:r>
          </w:p>
        </w:tc>
        <w:tc>
          <w:tcPr>
            <w:tcW w:w="1154" w:type="dxa"/>
          </w:tcPr>
          <w:p>
            <w:pPr>
              <w:pStyle w:val="19"/>
              <w:spacing w:line="236" w:lineRule="exact"/>
              <w:ind w:left="155"/>
              <w:jc w:val="left"/>
              <w:rPr>
                <w:sz w:val="21"/>
              </w:rPr>
            </w:pPr>
            <w:r>
              <w:rPr>
                <w:spacing w:val="-18"/>
                <w:sz w:val="21"/>
              </w:rPr>
              <w:t>地下</w:t>
            </w:r>
            <w:r>
              <w:rPr>
                <w:rFonts w:ascii="Times New Roman" w:eastAsia="Times New Roman"/>
                <w:sz w:val="21"/>
              </w:rPr>
              <w:t>1</w:t>
            </w:r>
            <w:r>
              <w:rPr>
                <w:sz w:val="21"/>
              </w:rPr>
              <w:t>层</w:t>
            </w:r>
          </w:p>
          <w:p>
            <w:pPr>
              <w:pStyle w:val="19"/>
              <w:spacing w:line="224" w:lineRule="exact"/>
              <w:ind w:left="155"/>
              <w:jc w:val="left"/>
              <w:rPr>
                <w:sz w:val="21"/>
              </w:rPr>
            </w:pPr>
            <w:r>
              <w:rPr>
                <w:spacing w:val="-18"/>
                <w:sz w:val="21"/>
              </w:rPr>
              <w:t>地上</w:t>
            </w:r>
            <w:r>
              <w:rPr>
                <w:rFonts w:ascii="Times New Roman" w:eastAsia="Times New Roman"/>
                <w:sz w:val="21"/>
              </w:rPr>
              <w:t>1</w:t>
            </w:r>
            <w:r>
              <w:rPr>
                <w:sz w:val="21"/>
              </w:rPr>
              <w:t>层</w:t>
            </w:r>
          </w:p>
        </w:tc>
        <w:tc>
          <w:tcPr>
            <w:tcW w:w="1304" w:type="dxa"/>
          </w:tcPr>
          <w:p>
            <w:pPr>
              <w:pStyle w:val="19"/>
              <w:spacing w:before="101"/>
              <w:ind w:left="102" w:right="97"/>
              <w:rPr>
                <w:sz w:val="21"/>
              </w:rPr>
            </w:pPr>
            <w:r>
              <w:rPr>
                <w:sz w:val="21"/>
              </w:rPr>
              <w:t>框架结构</w:t>
            </w:r>
          </w:p>
        </w:tc>
        <w:tc>
          <w:tcPr>
            <w:tcW w:w="1137" w:type="dxa"/>
          </w:tcPr>
          <w:p>
            <w:pPr>
              <w:pStyle w:val="19"/>
              <w:spacing w:line="236" w:lineRule="exact"/>
              <w:ind w:left="148"/>
              <w:jc w:val="left"/>
              <w:rPr>
                <w:sz w:val="21"/>
              </w:rPr>
            </w:pPr>
            <w:r>
              <w:rPr>
                <w:w w:val="95"/>
                <w:sz w:val="21"/>
              </w:rPr>
              <w:t>地下一级</w:t>
            </w:r>
          </w:p>
          <w:p>
            <w:pPr>
              <w:pStyle w:val="19"/>
              <w:spacing w:line="224" w:lineRule="exact"/>
              <w:ind w:left="148"/>
              <w:jc w:val="left"/>
              <w:rPr>
                <w:sz w:val="21"/>
              </w:rPr>
            </w:pPr>
            <w:r>
              <w:rPr>
                <w:w w:val="95"/>
                <w:sz w:val="21"/>
              </w:rPr>
              <w:t>地上二级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6" w:type="dxa"/>
          </w:tcPr>
          <w:p>
            <w:pPr>
              <w:pStyle w:val="19"/>
              <w:spacing w:before="35"/>
              <w:ind w:left="8"/>
              <w:rPr>
                <w:rFonts w:ascii="Times New Roman"/>
                <w:sz w:val="21"/>
              </w:rPr>
            </w:pPr>
            <w:r>
              <w:rPr>
                <w:rFonts w:ascii="Times New Roman"/>
                <w:w w:val="99"/>
                <w:sz w:val="21"/>
              </w:rPr>
              <w:t>5</w:t>
            </w:r>
          </w:p>
        </w:tc>
        <w:tc>
          <w:tcPr>
            <w:tcW w:w="1265" w:type="dxa"/>
          </w:tcPr>
          <w:p>
            <w:pPr>
              <w:pStyle w:val="19"/>
              <w:spacing w:before="21"/>
              <w:ind w:left="187" w:right="181"/>
              <w:rPr>
                <w:sz w:val="21"/>
              </w:rPr>
            </w:pPr>
            <w:r>
              <w:rPr>
                <w:sz w:val="21"/>
              </w:rPr>
              <w:t>地磅房</w:t>
            </w:r>
          </w:p>
        </w:tc>
        <w:tc>
          <w:tcPr>
            <w:tcW w:w="1590" w:type="dxa"/>
          </w:tcPr>
          <w:p>
            <w:pPr>
              <w:pStyle w:val="19"/>
              <w:spacing w:before="21"/>
              <w:ind w:left="16" w:right="7"/>
              <w:rPr>
                <w:sz w:val="21"/>
              </w:rPr>
            </w:pPr>
            <w:r>
              <w:rPr>
                <w:rFonts w:ascii="Times New Roman" w:eastAsia="Times New Roman"/>
                <w:sz w:val="21"/>
              </w:rPr>
              <w:t>44.8m</w:t>
            </w:r>
            <w:r>
              <w:rPr>
                <w:rFonts w:ascii="Times New Roman" w:eastAsia="Times New Roman"/>
                <w:position w:val="7"/>
                <w:sz w:val="13"/>
              </w:rPr>
              <w:t>2</w:t>
            </w:r>
            <w:r>
              <w:rPr>
                <w:rFonts w:ascii="Times New Roman" w:eastAsia="Times New Roman"/>
                <w:sz w:val="21"/>
              </w:rPr>
              <w:t>/</w:t>
            </w:r>
            <w:r>
              <w:rPr>
                <w:sz w:val="21"/>
              </w:rPr>
              <w:t>栋</w:t>
            </w:r>
          </w:p>
        </w:tc>
        <w:tc>
          <w:tcPr>
            <w:tcW w:w="1486" w:type="dxa"/>
          </w:tcPr>
          <w:p>
            <w:pPr>
              <w:pStyle w:val="19"/>
              <w:spacing w:before="21"/>
              <w:ind w:right="-15"/>
              <w:jc w:val="right"/>
              <w:rPr>
                <w:sz w:val="21"/>
              </w:rPr>
            </w:pPr>
            <w:r>
              <w:rPr>
                <w:rFonts w:ascii="Times New Roman" w:eastAsia="Times New Roman"/>
                <w:w w:val="95"/>
                <w:sz w:val="21"/>
              </w:rPr>
              <w:t>3.30m</w:t>
            </w:r>
            <w:r>
              <w:rPr>
                <w:w w:val="95"/>
                <w:sz w:val="21"/>
              </w:rPr>
              <w:t>（檐口）</w:t>
            </w:r>
          </w:p>
        </w:tc>
        <w:tc>
          <w:tcPr>
            <w:tcW w:w="1154" w:type="dxa"/>
          </w:tcPr>
          <w:p>
            <w:pPr>
              <w:pStyle w:val="19"/>
              <w:spacing w:before="21"/>
              <w:ind w:left="109" w:right="101"/>
              <w:rPr>
                <w:sz w:val="21"/>
              </w:rPr>
            </w:pPr>
            <w:r>
              <w:rPr>
                <w:sz w:val="21"/>
              </w:rPr>
              <w:t>地上</w:t>
            </w:r>
            <w:r>
              <w:rPr>
                <w:rFonts w:ascii="Times New Roman" w:eastAsia="Times New Roman"/>
                <w:sz w:val="21"/>
              </w:rPr>
              <w:t>1</w:t>
            </w:r>
            <w:r>
              <w:rPr>
                <w:sz w:val="21"/>
              </w:rPr>
              <w:t>层</w:t>
            </w:r>
          </w:p>
        </w:tc>
        <w:tc>
          <w:tcPr>
            <w:tcW w:w="1304" w:type="dxa"/>
          </w:tcPr>
          <w:p>
            <w:pPr>
              <w:pStyle w:val="19"/>
              <w:spacing w:before="21"/>
              <w:ind w:left="102" w:right="97"/>
              <w:rPr>
                <w:sz w:val="21"/>
              </w:rPr>
            </w:pPr>
            <w:r>
              <w:rPr>
                <w:sz w:val="21"/>
              </w:rPr>
              <w:t>砖混结构</w:t>
            </w:r>
          </w:p>
        </w:tc>
        <w:tc>
          <w:tcPr>
            <w:tcW w:w="1137" w:type="dxa"/>
          </w:tcPr>
          <w:p>
            <w:pPr>
              <w:pStyle w:val="19"/>
              <w:spacing w:before="21"/>
              <w:ind w:left="127" w:right="120"/>
              <w:rPr>
                <w:sz w:val="21"/>
              </w:rPr>
            </w:pPr>
            <w:r>
              <w:rPr>
                <w:sz w:val="21"/>
              </w:rPr>
              <w:t>地上二级</w:t>
            </w:r>
          </w:p>
        </w:tc>
      </w:tr>
    </w:tbl>
    <w:p>
      <w:pPr>
        <w:tabs>
          <w:tab w:val="left" w:pos="1519"/>
        </w:tabs>
        <w:spacing w:before="159"/>
        <w:ind w:left="0" w:right="25" w:firstLine="0"/>
        <w:jc w:val="center"/>
        <w:rPr>
          <w:b/>
          <w:sz w:val="24"/>
        </w:rPr>
      </w:pPr>
      <w:r>
        <w:pict>
          <v:line id="_x0000_s1064" o:spid="_x0000_s1064" o:spt="20" style="position:absolute;left:0pt;margin-left:84.8pt;margin-top:23.75pt;height:31.45pt;width:65.15pt;mso-position-horizontal-relative:page;z-index:-271064064;mso-width-relative:page;mso-height-relative:page;" stroked="t" coordsize="21600,21600">
            <v:path arrowok="t"/>
            <v:fill focussize="0,0"/>
            <v:stroke weight="0.5pt" color="#000000"/>
            <v:imagedata o:title=""/>
            <o:lock v:ext="edit"/>
          </v:line>
        </w:pict>
      </w:r>
      <w:r>
        <w:rPr>
          <w:b/>
          <w:sz w:val="24"/>
        </w:rPr>
        <w:t>表</w:t>
      </w:r>
      <w:r>
        <w:rPr>
          <w:rFonts w:ascii="Times New Roman" w:eastAsia="Times New Roman"/>
          <w:b/>
          <w:sz w:val="24"/>
        </w:rPr>
        <w:t>3.1-3</w:t>
      </w:r>
      <w:r>
        <w:rPr>
          <w:rFonts w:ascii="Times New Roman" w:eastAsia="Times New Roman"/>
          <w:b/>
          <w:sz w:val="24"/>
        </w:rPr>
        <w:tab/>
      </w:r>
      <w:r>
        <w:rPr>
          <w:b/>
          <w:sz w:val="24"/>
        </w:rPr>
        <w:t>项目各部分装修标准一览表</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9"/>
        <w:gridCol w:w="1785"/>
        <w:gridCol w:w="1289"/>
        <w:gridCol w:w="1366"/>
        <w:gridCol w:w="1156"/>
        <w:gridCol w:w="16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09" w:type="dxa"/>
          </w:tcPr>
          <w:p>
            <w:pPr>
              <w:pStyle w:val="19"/>
              <w:spacing w:before="20"/>
              <w:ind w:left="759"/>
              <w:jc w:val="left"/>
              <w:rPr>
                <w:b/>
                <w:sz w:val="21"/>
              </w:rPr>
            </w:pPr>
            <w:r>
              <w:rPr>
                <w:b/>
                <w:sz w:val="21"/>
              </w:rPr>
              <w:t>分项</w:t>
            </w:r>
          </w:p>
          <w:p>
            <w:pPr>
              <w:pStyle w:val="19"/>
              <w:spacing w:before="43"/>
              <w:ind w:left="106"/>
              <w:jc w:val="left"/>
              <w:rPr>
                <w:b/>
                <w:sz w:val="21"/>
              </w:rPr>
            </w:pPr>
            <w:r>
              <w:rPr>
                <w:b/>
                <w:sz w:val="21"/>
              </w:rPr>
              <w:t>名称</w:t>
            </w:r>
          </w:p>
        </w:tc>
        <w:tc>
          <w:tcPr>
            <w:tcW w:w="1785" w:type="dxa"/>
          </w:tcPr>
          <w:p>
            <w:pPr>
              <w:pStyle w:val="19"/>
              <w:spacing w:before="177"/>
              <w:ind w:left="240" w:right="232"/>
              <w:rPr>
                <w:b/>
                <w:sz w:val="21"/>
              </w:rPr>
            </w:pPr>
            <w:r>
              <w:rPr>
                <w:b/>
                <w:sz w:val="21"/>
              </w:rPr>
              <w:t>地面</w:t>
            </w:r>
          </w:p>
        </w:tc>
        <w:tc>
          <w:tcPr>
            <w:tcW w:w="1289" w:type="dxa"/>
          </w:tcPr>
          <w:p>
            <w:pPr>
              <w:pStyle w:val="19"/>
              <w:spacing w:before="177"/>
              <w:ind w:left="202" w:right="196"/>
              <w:rPr>
                <w:b/>
                <w:sz w:val="21"/>
              </w:rPr>
            </w:pPr>
            <w:r>
              <w:rPr>
                <w:b/>
                <w:sz w:val="21"/>
              </w:rPr>
              <w:t>顶棚</w:t>
            </w:r>
          </w:p>
        </w:tc>
        <w:tc>
          <w:tcPr>
            <w:tcW w:w="1366" w:type="dxa"/>
          </w:tcPr>
          <w:p>
            <w:pPr>
              <w:pStyle w:val="19"/>
              <w:spacing w:before="177"/>
              <w:ind w:left="136" w:right="126"/>
              <w:rPr>
                <w:b/>
                <w:sz w:val="21"/>
              </w:rPr>
            </w:pPr>
            <w:r>
              <w:rPr>
                <w:b/>
                <w:sz w:val="21"/>
              </w:rPr>
              <w:t>内墙面</w:t>
            </w:r>
          </w:p>
        </w:tc>
        <w:tc>
          <w:tcPr>
            <w:tcW w:w="1156" w:type="dxa"/>
          </w:tcPr>
          <w:p>
            <w:pPr>
              <w:pStyle w:val="19"/>
              <w:spacing w:before="177"/>
              <w:ind w:left="8"/>
              <w:rPr>
                <w:b/>
                <w:sz w:val="21"/>
              </w:rPr>
            </w:pPr>
            <w:r>
              <w:rPr>
                <w:b/>
                <w:w w:val="99"/>
                <w:sz w:val="21"/>
              </w:rPr>
              <w:t>门</w:t>
            </w:r>
          </w:p>
        </w:tc>
        <w:tc>
          <w:tcPr>
            <w:tcW w:w="1614" w:type="dxa"/>
          </w:tcPr>
          <w:p>
            <w:pPr>
              <w:pStyle w:val="19"/>
              <w:spacing w:before="177"/>
              <w:ind w:left="61" w:right="53"/>
              <w:rPr>
                <w:b/>
                <w:sz w:val="21"/>
              </w:rPr>
            </w:pPr>
            <w:r>
              <w:rPr>
                <w:b/>
                <w:sz w:val="21"/>
              </w:rPr>
              <w:t>窗户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09" w:type="dxa"/>
          </w:tcPr>
          <w:p>
            <w:pPr>
              <w:pStyle w:val="19"/>
              <w:spacing w:before="102"/>
              <w:ind w:left="105" w:right="101"/>
              <w:rPr>
                <w:sz w:val="21"/>
              </w:rPr>
            </w:pPr>
            <w:r>
              <w:rPr>
                <w:sz w:val="21"/>
              </w:rPr>
              <w:t>羊舍</w:t>
            </w:r>
          </w:p>
        </w:tc>
        <w:tc>
          <w:tcPr>
            <w:tcW w:w="1785" w:type="dxa"/>
          </w:tcPr>
          <w:p>
            <w:pPr>
              <w:pStyle w:val="19"/>
              <w:spacing w:before="102"/>
              <w:ind w:left="240" w:right="232"/>
              <w:rPr>
                <w:sz w:val="21"/>
              </w:rPr>
            </w:pPr>
            <w:r>
              <w:rPr>
                <w:sz w:val="21"/>
              </w:rPr>
              <w:t>混凝土地面</w:t>
            </w:r>
          </w:p>
        </w:tc>
        <w:tc>
          <w:tcPr>
            <w:tcW w:w="1289" w:type="dxa"/>
          </w:tcPr>
          <w:p>
            <w:pPr>
              <w:pStyle w:val="19"/>
              <w:spacing w:before="102"/>
              <w:ind w:left="202" w:right="196"/>
              <w:rPr>
                <w:sz w:val="21"/>
              </w:rPr>
            </w:pPr>
            <w:r>
              <w:rPr>
                <w:sz w:val="21"/>
              </w:rPr>
              <w:t>彩钢屋面</w:t>
            </w:r>
          </w:p>
        </w:tc>
        <w:tc>
          <w:tcPr>
            <w:tcW w:w="1366" w:type="dxa"/>
          </w:tcPr>
          <w:p>
            <w:pPr>
              <w:pStyle w:val="19"/>
              <w:spacing w:before="102"/>
              <w:ind w:left="136" w:right="130"/>
              <w:rPr>
                <w:sz w:val="21"/>
              </w:rPr>
            </w:pPr>
            <w:r>
              <w:rPr>
                <w:sz w:val="21"/>
              </w:rPr>
              <w:t>彩钢外墙板</w:t>
            </w:r>
          </w:p>
        </w:tc>
        <w:tc>
          <w:tcPr>
            <w:tcW w:w="1156" w:type="dxa"/>
          </w:tcPr>
          <w:p>
            <w:pPr>
              <w:pStyle w:val="19"/>
              <w:spacing w:line="240" w:lineRule="exact"/>
              <w:ind w:left="367" w:right="147" w:hanging="209"/>
              <w:jc w:val="left"/>
              <w:rPr>
                <w:sz w:val="21"/>
              </w:rPr>
            </w:pPr>
            <w:r>
              <w:rPr>
                <w:sz w:val="21"/>
              </w:rPr>
              <w:t>节能保温外门</w:t>
            </w:r>
          </w:p>
        </w:tc>
        <w:tc>
          <w:tcPr>
            <w:tcW w:w="1614" w:type="dxa"/>
          </w:tcPr>
          <w:p>
            <w:pPr>
              <w:pStyle w:val="19"/>
              <w:spacing w:line="237" w:lineRule="exact"/>
              <w:ind w:left="61" w:right="85"/>
              <w:rPr>
                <w:sz w:val="21"/>
              </w:rPr>
            </w:pPr>
            <w:r>
              <w:rPr>
                <w:sz w:val="21"/>
              </w:rPr>
              <w:t>塑料框</w:t>
            </w:r>
            <w:r>
              <w:rPr>
                <w:rFonts w:ascii="Times New Roman" w:eastAsia="Times New Roman"/>
                <w:sz w:val="21"/>
              </w:rPr>
              <w:t>65</w:t>
            </w:r>
            <w:r>
              <w:rPr>
                <w:sz w:val="21"/>
              </w:rPr>
              <w:t>系列</w:t>
            </w:r>
          </w:p>
          <w:p>
            <w:pPr>
              <w:pStyle w:val="19"/>
              <w:spacing w:line="223" w:lineRule="exact"/>
              <w:ind w:left="61" w:right="50"/>
              <w:rPr>
                <w:sz w:val="21"/>
              </w:rPr>
            </w:pPr>
            <w:r>
              <w:rPr>
                <w:rFonts w:ascii="Times New Roman" w:eastAsia="Times New Roman"/>
                <w:sz w:val="21"/>
              </w:rPr>
              <w:t>4+12A+4</w:t>
            </w:r>
            <w:r>
              <w:rPr>
                <w:sz w:val="21"/>
              </w:rPr>
              <w:t>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09" w:type="dxa"/>
          </w:tcPr>
          <w:p>
            <w:pPr>
              <w:pStyle w:val="19"/>
              <w:spacing w:before="101"/>
              <w:ind w:left="107" w:right="101"/>
              <w:rPr>
                <w:sz w:val="21"/>
              </w:rPr>
            </w:pPr>
            <w:r>
              <w:rPr>
                <w:sz w:val="21"/>
              </w:rPr>
              <w:t>饲料库房</w:t>
            </w:r>
          </w:p>
        </w:tc>
        <w:tc>
          <w:tcPr>
            <w:tcW w:w="1785" w:type="dxa"/>
          </w:tcPr>
          <w:p>
            <w:pPr>
              <w:pStyle w:val="19"/>
              <w:spacing w:before="101"/>
              <w:ind w:left="240" w:right="232"/>
              <w:rPr>
                <w:sz w:val="21"/>
              </w:rPr>
            </w:pPr>
            <w:r>
              <w:rPr>
                <w:sz w:val="21"/>
              </w:rPr>
              <w:t>混凝土地面</w:t>
            </w:r>
          </w:p>
        </w:tc>
        <w:tc>
          <w:tcPr>
            <w:tcW w:w="1289" w:type="dxa"/>
          </w:tcPr>
          <w:p>
            <w:pPr>
              <w:pStyle w:val="19"/>
              <w:spacing w:before="101"/>
              <w:ind w:left="202" w:right="196"/>
              <w:rPr>
                <w:sz w:val="21"/>
              </w:rPr>
            </w:pPr>
            <w:r>
              <w:rPr>
                <w:sz w:val="21"/>
              </w:rPr>
              <w:t>彩钢屋面</w:t>
            </w:r>
          </w:p>
        </w:tc>
        <w:tc>
          <w:tcPr>
            <w:tcW w:w="1366" w:type="dxa"/>
          </w:tcPr>
          <w:p>
            <w:pPr>
              <w:pStyle w:val="19"/>
              <w:spacing w:before="101"/>
              <w:ind w:left="136" w:right="130"/>
              <w:rPr>
                <w:sz w:val="21"/>
              </w:rPr>
            </w:pPr>
            <w:r>
              <w:rPr>
                <w:sz w:val="21"/>
              </w:rPr>
              <w:t>彩钢外墙板</w:t>
            </w:r>
          </w:p>
        </w:tc>
        <w:tc>
          <w:tcPr>
            <w:tcW w:w="1156" w:type="dxa"/>
          </w:tcPr>
          <w:p>
            <w:pPr>
              <w:pStyle w:val="19"/>
              <w:spacing w:line="236" w:lineRule="exact"/>
              <w:ind w:left="119" w:right="111"/>
              <w:rPr>
                <w:sz w:val="21"/>
              </w:rPr>
            </w:pPr>
            <w:r>
              <w:rPr>
                <w:sz w:val="21"/>
              </w:rPr>
              <w:t>节能保温</w:t>
            </w:r>
          </w:p>
          <w:p>
            <w:pPr>
              <w:pStyle w:val="19"/>
              <w:spacing w:line="224" w:lineRule="exact"/>
              <w:ind w:left="117" w:right="111"/>
              <w:rPr>
                <w:sz w:val="21"/>
              </w:rPr>
            </w:pPr>
            <w:r>
              <w:rPr>
                <w:sz w:val="21"/>
              </w:rPr>
              <w:t>外门</w:t>
            </w:r>
          </w:p>
        </w:tc>
        <w:tc>
          <w:tcPr>
            <w:tcW w:w="1614" w:type="dxa"/>
          </w:tcPr>
          <w:p>
            <w:pPr>
              <w:pStyle w:val="19"/>
              <w:spacing w:line="236" w:lineRule="exact"/>
              <w:ind w:left="61" w:right="85"/>
              <w:rPr>
                <w:sz w:val="21"/>
              </w:rPr>
            </w:pPr>
            <w:r>
              <w:rPr>
                <w:sz w:val="21"/>
              </w:rPr>
              <w:t>塑料框</w:t>
            </w:r>
            <w:r>
              <w:rPr>
                <w:rFonts w:ascii="Times New Roman" w:eastAsia="Times New Roman"/>
                <w:sz w:val="21"/>
              </w:rPr>
              <w:t>65</w:t>
            </w:r>
            <w:r>
              <w:rPr>
                <w:sz w:val="21"/>
              </w:rPr>
              <w:t>系列</w:t>
            </w:r>
          </w:p>
          <w:p>
            <w:pPr>
              <w:pStyle w:val="19"/>
              <w:spacing w:line="224" w:lineRule="exact"/>
              <w:ind w:left="61" w:right="50"/>
              <w:rPr>
                <w:sz w:val="21"/>
              </w:rPr>
            </w:pPr>
            <w:r>
              <w:rPr>
                <w:rFonts w:ascii="Times New Roman" w:eastAsia="Times New Roman"/>
                <w:sz w:val="21"/>
              </w:rPr>
              <w:t>4+12A+4</w:t>
            </w:r>
            <w:r>
              <w:rPr>
                <w:sz w:val="21"/>
              </w:rPr>
              <w:t>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09" w:type="dxa"/>
          </w:tcPr>
          <w:p>
            <w:pPr>
              <w:pStyle w:val="19"/>
              <w:spacing w:line="236" w:lineRule="exact"/>
              <w:ind w:left="107" w:right="101"/>
              <w:rPr>
                <w:sz w:val="21"/>
              </w:rPr>
            </w:pPr>
            <w:r>
              <w:rPr>
                <w:sz w:val="21"/>
              </w:rPr>
              <w:t>饲草料加工</w:t>
            </w:r>
          </w:p>
          <w:p>
            <w:pPr>
              <w:pStyle w:val="19"/>
              <w:spacing w:line="224" w:lineRule="exact"/>
              <w:ind w:left="105" w:right="101"/>
              <w:rPr>
                <w:sz w:val="21"/>
              </w:rPr>
            </w:pPr>
            <w:r>
              <w:rPr>
                <w:sz w:val="21"/>
              </w:rPr>
              <w:t>用房</w:t>
            </w:r>
          </w:p>
        </w:tc>
        <w:tc>
          <w:tcPr>
            <w:tcW w:w="1785" w:type="dxa"/>
          </w:tcPr>
          <w:p>
            <w:pPr>
              <w:pStyle w:val="19"/>
              <w:spacing w:before="101"/>
              <w:ind w:left="240" w:right="232"/>
              <w:rPr>
                <w:sz w:val="21"/>
              </w:rPr>
            </w:pPr>
            <w:r>
              <w:rPr>
                <w:sz w:val="21"/>
              </w:rPr>
              <w:t>混凝土地面</w:t>
            </w:r>
          </w:p>
        </w:tc>
        <w:tc>
          <w:tcPr>
            <w:tcW w:w="1289" w:type="dxa"/>
          </w:tcPr>
          <w:p>
            <w:pPr>
              <w:pStyle w:val="19"/>
              <w:spacing w:before="101"/>
              <w:ind w:left="202" w:right="196"/>
              <w:rPr>
                <w:sz w:val="21"/>
              </w:rPr>
            </w:pPr>
            <w:r>
              <w:rPr>
                <w:sz w:val="21"/>
              </w:rPr>
              <w:t>彩钢屋面</w:t>
            </w:r>
          </w:p>
        </w:tc>
        <w:tc>
          <w:tcPr>
            <w:tcW w:w="1366" w:type="dxa"/>
          </w:tcPr>
          <w:p>
            <w:pPr>
              <w:pStyle w:val="19"/>
              <w:spacing w:before="101"/>
              <w:ind w:left="136" w:right="130"/>
              <w:rPr>
                <w:sz w:val="21"/>
              </w:rPr>
            </w:pPr>
            <w:r>
              <w:rPr>
                <w:sz w:val="21"/>
              </w:rPr>
              <w:t>彩钢外墙板</w:t>
            </w:r>
          </w:p>
        </w:tc>
        <w:tc>
          <w:tcPr>
            <w:tcW w:w="1156" w:type="dxa"/>
          </w:tcPr>
          <w:p>
            <w:pPr>
              <w:pStyle w:val="19"/>
              <w:spacing w:line="236" w:lineRule="exact"/>
              <w:ind w:left="119" w:right="111"/>
              <w:rPr>
                <w:sz w:val="21"/>
              </w:rPr>
            </w:pPr>
            <w:r>
              <w:rPr>
                <w:sz w:val="21"/>
              </w:rPr>
              <w:t>节能保温</w:t>
            </w:r>
          </w:p>
          <w:p>
            <w:pPr>
              <w:pStyle w:val="19"/>
              <w:spacing w:line="224" w:lineRule="exact"/>
              <w:ind w:left="117" w:right="111"/>
              <w:rPr>
                <w:sz w:val="21"/>
              </w:rPr>
            </w:pPr>
            <w:r>
              <w:rPr>
                <w:sz w:val="21"/>
              </w:rPr>
              <w:t>外门</w:t>
            </w:r>
          </w:p>
        </w:tc>
        <w:tc>
          <w:tcPr>
            <w:tcW w:w="1614" w:type="dxa"/>
          </w:tcPr>
          <w:p>
            <w:pPr>
              <w:pStyle w:val="19"/>
              <w:spacing w:line="236" w:lineRule="exact"/>
              <w:ind w:left="61" w:right="85"/>
              <w:rPr>
                <w:sz w:val="21"/>
              </w:rPr>
            </w:pPr>
            <w:r>
              <w:rPr>
                <w:sz w:val="21"/>
              </w:rPr>
              <w:t>塑料框</w:t>
            </w:r>
            <w:r>
              <w:rPr>
                <w:rFonts w:ascii="Times New Roman" w:eastAsia="Times New Roman"/>
                <w:sz w:val="21"/>
              </w:rPr>
              <w:t>65</w:t>
            </w:r>
            <w:r>
              <w:rPr>
                <w:sz w:val="21"/>
              </w:rPr>
              <w:t>系列</w:t>
            </w:r>
          </w:p>
          <w:p>
            <w:pPr>
              <w:pStyle w:val="19"/>
              <w:spacing w:line="224" w:lineRule="exact"/>
              <w:ind w:left="61" w:right="50"/>
              <w:rPr>
                <w:sz w:val="21"/>
              </w:rPr>
            </w:pPr>
            <w:r>
              <w:rPr>
                <w:rFonts w:ascii="Times New Roman" w:eastAsia="Times New Roman"/>
                <w:sz w:val="21"/>
              </w:rPr>
              <w:t>4+12A+4</w:t>
            </w:r>
            <w:r>
              <w:rPr>
                <w:sz w:val="21"/>
              </w:rPr>
              <w:t>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09" w:type="dxa"/>
          </w:tcPr>
          <w:p>
            <w:pPr>
              <w:pStyle w:val="19"/>
              <w:spacing w:before="21"/>
              <w:ind w:left="107" w:right="98"/>
              <w:rPr>
                <w:sz w:val="21"/>
              </w:rPr>
            </w:pPr>
            <w:r>
              <w:rPr>
                <w:sz w:val="21"/>
              </w:rPr>
              <w:t>青储窖</w:t>
            </w:r>
          </w:p>
        </w:tc>
        <w:tc>
          <w:tcPr>
            <w:tcW w:w="1785" w:type="dxa"/>
          </w:tcPr>
          <w:p>
            <w:pPr>
              <w:pStyle w:val="19"/>
              <w:spacing w:before="21"/>
              <w:ind w:left="240" w:right="232"/>
              <w:rPr>
                <w:sz w:val="21"/>
              </w:rPr>
            </w:pPr>
            <w:r>
              <w:rPr>
                <w:sz w:val="21"/>
              </w:rPr>
              <w:t>混凝土地面</w:t>
            </w:r>
          </w:p>
        </w:tc>
        <w:tc>
          <w:tcPr>
            <w:tcW w:w="1289" w:type="dxa"/>
          </w:tcPr>
          <w:p>
            <w:pPr>
              <w:pStyle w:val="19"/>
              <w:spacing w:before="35"/>
              <w:ind w:left="9"/>
              <w:rPr>
                <w:rFonts w:ascii="Times New Roman"/>
                <w:sz w:val="21"/>
              </w:rPr>
            </w:pPr>
            <w:r>
              <w:rPr>
                <w:rFonts w:ascii="Times New Roman"/>
                <w:w w:val="99"/>
                <w:sz w:val="21"/>
              </w:rPr>
              <w:t>/</w:t>
            </w:r>
          </w:p>
        </w:tc>
        <w:tc>
          <w:tcPr>
            <w:tcW w:w="1366" w:type="dxa"/>
          </w:tcPr>
          <w:p>
            <w:pPr>
              <w:pStyle w:val="19"/>
              <w:spacing w:before="35"/>
              <w:ind w:left="8"/>
              <w:rPr>
                <w:rFonts w:ascii="Times New Roman"/>
                <w:sz w:val="21"/>
              </w:rPr>
            </w:pPr>
            <w:r>
              <w:rPr>
                <w:rFonts w:ascii="Times New Roman"/>
                <w:w w:val="99"/>
                <w:sz w:val="21"/>
              </w:rPr>
              <w:t>/</w:t>
            </w:r>
          </w:p>
        </w:tc>
        <w:tc>
          <w:tcPr>
            <w:tcW w:w="1156" w:type="dxa"/>
          </w:tcPr>
          <w:p>
            <w:pPr>
              <w:pStyle w:val="19"/>
              <w:spacing w:before="35"/>
              <w:ind w:left="11"/>
              <w:rPr>
                <w:rFonts w:ascii="Times New Roman"/>
                <w:sz w:val="21"/>
              </w:rPr>
            </w:pPr>
            <w:r>
              <w:rPr>
                <w:rFonts w:ascii="Times New Roman"/>
                <w:w w:val="99"/>
                <w:sz w:val="21"/>
              </w:rPr>
              <w:t>/</w:t>
            </w:r>
          </w:p>
        </w:tc>
        <w:tc>
          <w:tcPr>
            <w:tcW w:w="1614" w:type="dxa"/>
          </w:tcPr>
          <w:p>
            <w:pPr>
              <w:pStyle w:val="19"/>
              <w:spacing w:before="35"/>
              <w:ind w:left="11"/>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09" w:type="dxa"/>
          </w:tcPr>
          <w:p>
            <w:pPr>
              <w:pStyle w:val="19"/>
              <w:spacing w:line="240" w:lineRule="exact"/>
              <w:ind w:left="442" w:right="119" w:hanging="315"/>
              <w:jc w:val="left"/>
              <w:rPr>
                <w:sz w:val="21"/>
              </w:rPr>
            </w:pPr>
            <w:r>
              <w:rPr>
                <w:sz w:val="21"/>
              </w:rPr>
              <w:t>消防水池及泵房</w:t>
            </w:r>
          </w:p>
        </w:tc>
        <w:tc>
          <w:tcPr>
            <w:tcW w:w="1785" w:type="dxa"/>
          </w:tcPr>
          <w:p>
            <w:pPr>
              <w:pStyle w:val="19"/>
              <w:spacing w:before="102"/>
              <w:ind w:left="240" w:right="234"/>
              <w:rPr>
                <w:sz w:val="21"/>
              </w:rPr>
            </w:pPr>
            <w:r>
              <w:rPr>
                <w:sz w:val="21"/>
              </w:rPr>
              <w:t>水泥砂浆地面</w:t>
            </w:r>
          </w:p>
        </w:tc>
        <w:tc>
          <w:tcPr>
            <w:tcW w:w="1289" w:type="dxa"/>
          </w:tcPr>
          <w:p>
            <w:pPr>
              <w:pStyle w:val="19"/>
              <w:spacing w:before="102"/>
              <w:ind w:left="202" w:right="193"/>
              <w:rPr>
                <w:sz w:val="21"/>
              </w:rPr>
            </w:pPr>
            <w:r>
              <w:rPr>
                <w:sz w:val="21"/>
              </w:rPr>
              <w:t>乳胶漆</w:t>
            </w:r>
          </w:p>
        </w:tc>
        <w:tc>
          <w:tcPr>
            <w:tcW w:w="1366" w:type="dxa"/>
          </w:tcPr>
          <w:p>
            <w:pPr>
              <w:pStyle w:val="19"/>
              <w:spacing w:before="102"/>
              <w:ind w:left="136" w:right="128"/>
              <w:rPr>
                <w:sz w:val="21"/>
              </w:rPr>
            </w:pPr>
            <w:r>
              <w:rPr>
                <w:sz w:val="21"/>
              </w:rPr>
              <w:t>乳胶漆</w:t>
            </w:r>
          </w:p>
        </w:tc>
        <w:tc>
          <w:tcPr>
            <w:tcW w:w="1156" w:type="dxa"/>
          </w:tcPr>
          <w:p>
            <w:pPr>
              <w:pStyle w:val="19"/>
              <w:spacing w:line="240" w:lineRule="exact"/>
              <w:ind w:left="367" w:right="147" w:hanging="209"/>
              <w:jc w:val="left"/>
              <w:rPr>
                <w:sz w:val="21"/>
              </w:rPr>
            </w:pPr>
            <w:r>
              <w:rPr>
                <w:sz w:val="21"/>
              </w:rPr>
              <w:t>节能保温外门</w:t>
            </w:r>
          </w:p>
        </w:tc>
        <w:tc>
          <w:tcPr>
            <w:tcW w:w="1614" w:type="dxa"/>
          </w:tcPr>
          <w:p>
            <w:pPr>
              <w:pStyle w:val="19"/>
              <w:spacing w:line="237" w:lineRule="exact"/>
              <w:ind w:left="61" w:right="85"/>
              <w:rPr>
                <w:sz w:val="21"/>
              </w:rPr>
            </w:pPr>
            <w:r>
              <w:rPr>
                <w:sz w:val="21"/>
              </w:rPr>
              <w:t>塑料框</w:t>
            </w:r>
            <w:r>
              <w:rPr>
                <w:rFonts w:ascii="Times New Roman" w:eastAsia="Times New Roman"/>
                <w:sz w:val="21"/>
              </w:rPr>
              <w:t>65</w:t>
            </w:r>
            <w:r>
              <w:rPr>
                <w:sz w:val="21"/>
              </w:rPr>
              <w:t>系列</w:t>
            </w:r>
          </w:p>
          <w:p>
            <w:pPr>
              <w:pStyle w:val="19"/>
              <w:spacing w:line="223" w:lineRule="exact"/>
              <w:ind w:left="61" w:right="50"/>
              <w:rPr>
                <w:sz w:val="21"/>
              </w:rPr>
            </w:pPr>
            <w:r>
              <w:rPr>
                <w:rFonts w:ascii="Times New Roman" w:eastAsia="Times New Roman"/>
                <w:sz w:val="21"/>
              </w:rPr>
              <w:t>4+12A+4</w:t>
            </w:r>
            <w:r>
              <w:rPr>
                <w:sz w:val="21"/>
              </w:rPr>
              <w:t>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09" w:type="dxa"/>
          </w:tcPr>
          <w:p>
            <w:pPr>
              <w:pStyle w:val="19"/>
              <w:spacing w:before="102"/>
              <w:ind w:left="107" w:right="98"/>
              <w:rPr>
                <w:sz w:val="21"/>
              </w:rPr>
            </w:pPr>
            <w:r>
              <w:rPr>
                <w:sz w:val="21"/>
              </w:rPr>
              <w:t>地磅房</w:t>
            </w:r>
          </w:p>
        </w:tc>
        <w:tc>
          <w:tcPr>
            <w:tcW w:w="1785" w:type="dxa"/>
          </w:tcPr>
          <w:p>
            <w:pPr>
              <w:pStyle w:val="19"/>
              <w:spacing w:before="102"/>
              <w:ind w:left="240" w:right="234"/>
              <w:rPr>
                <w:sz w:val="21"/>
              </w:rPr>
            </w:pPr>
            <w:r>
              <w:rPr>
                <w:sz w:val="21"/>
              </w:rPr>
              <w:t>水泥砂浆地面</w:t>
            </w:r>
          </w:p>
        </w:tc>
        <w:tc>
          <w:tcPr>
            <w:tcW w:w="1289" w:type="dxa"/>
          </w:tcPr>
          <w:p>
            <w:pPr>
              <w:pStyle w:val="19"/>
              <w:spacing w:before="102"/>
              <w:ind w:left="202" w:right="193"/>
              <w:rPr>
                <w:sz w:val="21"/>
              </w:rPr>
            </w:pPr>
            <w:r>
              <w:rPr>
                <w:sz w:val="21"/>
              </w:rPr>
              <w:t>乳胶漆</w:t>
            </w:r>
          </w:p>
        </w:tc>
        <w:tc>
          <w:tcPr>
            <w:tcW w:w="1366" w:type="dxa"/>
          </w:tcPr>
          <w:p>
            <w:pPr>
              <w:pStyle w:val="19"/>
              <w:spacing w:before="102"/>
              <w:ind w:left="136" w:right="128"/>
              <w:rPr>
                <w:sz w:val="21"/>
              </w:rPr>
            </w:pPr>
            <w:r>
              <w:rPr>
                <w:sz w:val="21"/>
              </w:rPr>
              <w:t>乳胶漆</w:t>
            </w:r>
          </w:p>
        </w:tc>
        <w:tc>
          <w:tcPr>
            <w:tcW w:w="1156" w:type="dxa"/>
          </w:tcPr>
          <w:p>
            <w:pPr>
              <w:pStyle w:val="19"/>
              <w:spacing w:line="240" w:lineRule="exact"/>
              <w:ind w:left="367" w:right="147" w:hanging="209"/>
              <w:jc w:val="left"/>
              <w:rPr>
                <w:sz w:val="21"/>
              </w:rPr>
            </w:pPr>
            <w:r>
              <w:rPr>
                <w:sz w:val="21"/>
              </w:rPr>
              <w:t>节能保温外门</w:t>
            </w:r>
          </w:p>
        </w:tc>
        <w:tc>
          <w:tcPr>
            <w:tcW w:w="1614" w:type="dxa"/>
          </w:tcPr>
          <w:p>
            <w:pPr>
              <w:pStyle w:val="19"/>
              <w:spacing w:line="237" w:lineRule="exact"/>
              <w:ind w:left="61" w:right="85"/>
              <w:rPr>
                <w:sz w:val="21"/>
              </w:rPr>
            </w:pPr>
            <w:r>
              <w:rPr>
                <w:sz w:val="21"/>
              </w:rPr>
              <w:t>塑料框</w:t>
            </w:r>
            <w:r>
              <w:rPr>
                <w:rFonts w:ascii="Times New Roman" w:eastAsia="Times New Roman"/>
                <w:sz w:val="21"/>
              </w:rPr>
              <w:t>65</w:t>
            </w:r>
            <w:r>
              <w:rPr>
                <w:sz w:val="21"/>
              </w:rPr>
              <w:t>系列</w:t>
            </w:r>
          </w:p>
          <w:p>
            <w:pPr>
              <w:pStyle w:val="19"/>
              <w:spacing w:line="223" w:lineRule="exact"/>
              <w:ind w:left="61" w:right="50"/>
              <w:rPr>
                <w:sz w:val="21"/>
              </w:rPr>
            </w:pPr>
            <w:r>
              <w:rPr>
                <w:rFonts w:ascii="Times New Roman" w:eastAsia="Times New Roman"/>
                <w:sz w:val="21"/>
              </w:rPr>
              <w:t>4+12A+4</w:t>
            </w:r>
            <w:r>
              <w:rPr>
                <w:sz w:val="21"/>
              </w:rPr>
              <w:t>窗</w:t>
            </w:r>
          </w:p>
        </w:tc>
      </w:tr>
    </w:tbl>
    <w:p>
      <w:pPr>
        <w:pStyle w:val="5"/>
        <w:numPr>
          <w:ilvl w:val="2"/>
          <w:numId w:val="19"/>
        </w:numPr>
        <w:bidi w:val="0"/>
      </w:pPr>
      <w:bookmarkStart w:id="114" w:name="3.1.4 项目组成"/>
      <w:bookmarkEnd w:id="114"/>
      <w:bookmarkStart w:id="115" w:name="3.1.4 项目组成"/>
      <w:bookmarkEnd w:id="115"/>
      <w:r>
        <w:rPr>
          <w:rFonts w:hint="eastAsia"/>
          <w:lang w:val="en-US" w:eastAsia="zh-CN"/>
        </w:rPr>
        <w:t xml:space="preserve"> </w:t>
      </w:r>
      <w:r>
        <w:t>项目组成</w:t>
      </w:r>
    </w:p>
    <w:p>
      <w:pPr>
        <w:pStyle w:val="7"/>
        <w:spacing w:before="5"/>
        <w:ind w:left="0"/>
        <w:rPr>
          <w:b/>
          <w:sz w:val="21"/>
        </w:rPr>
      </w:pP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jc w:val="left"/>
        <w:textAlignment w:val="auto"/>
      </w:pPr>
      <w:r>
        <w:rPr>
          <w:spacing w:val="-14"/>
        </w:rPr>
        <w:t>项目工程主要有主体工程、辅助工程、储运工程、公用工程、环保工程组成。</w:t>
      </w:r>
      <w:r>
        <w:rPr>
          <w:spacing w:val="-6"/>
        </w:rPr>
        <w:t>项目工程内容组成详见表</w:t>
      </w:r>
      <w:r>
        <w:rPr>
          <w:rFonts w:ascii="Times New Roman" w:eastAsia="Times New Roman"/>
        </w:rPr>
        <w:t>3.1-4</w:t>
      </w:r>
      <w:r>
        <w:t>。</w:t>
      </w:r>
    </w:p>
    <w:p>
      <w:pPr>
        <w:pStyle w:val="7"/>
        <w:bidi w:val="0"/>
        <w:jc w:val="center"/>
        <w:rPr>
          <w:sz w:val="9"/>
        </w:rPr>
      </w:pPr>
      <w:r>
        <w:t>表</w:t>
      </w:r>
      <w:r>
        <w:rPr>
          <w:rFonts w:ascii="Times New Roman" w:eastAsia="Times New Roman"/>
        </w:rPr>
        <w:t>3.1-4</w:t>
      </w:r>
      <w:r>
        <w:rPr>
          <w:rFonts w:ascii="Times New Roman" w:eastAsia="Times New Roman"/>
        </w:rPr>
        <w:tab/>
      </w:r>
      <w:r>
        <w:t>项目工程内容组成一览表</w:t>
      </w:r>
    </w:p>
    <w:tbl>
      <w:tblPr>
        <w:tblStyle w:val="15"/>
        <w:tblW w:w="9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2"/>
        <w:gridCol w:w="488"/>
        <w:gridCol w:w="1904"/>
        <w:gridCol w:w="6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042" w:type="dxa"/>
            <w:tcBorders>
              <w:tl2br w:val="nil"/>
              <w:tr2bl w:val="nil"/>
            </w:tcBorders>
          </w:tcPr>
          <w:p>
            <w:pPr>
              <w:pStyle w:val="19"/>
              <w:spacing w:before="33"/>
              <w:ind w:left="25" w:right="13"/>
              <w:rPr>
                <w:b/>
                <w:sz w:val="21"/>
              </w:rPr>
            </w:pPr>
            <w:r>
              <w:rPr>
                <w:b/>
                <w:sz w:val="21"/>
              </w:rPr>
              <w:t>工程名称</w:t>
            </w:r>
          </w:p>
        </w:tc>
        <w:tc>
          <w:tcPr>
            <w:tcW w:w="2392" w:type="dxa"/>
            <w:gridSpan w:val="2"/>
            <w:tcBorders>
              <w:tl2br w:val="nil"/>
              <w:tr2bl w:val="nil"/>
            </w:tcBorders>
          </w:tcPr>
          <w:p>
            <w:pPr>
              <w:pStyle w:val="19"/>
              <w:spacing w:before="33"/>
              <w:ind w:left="732" w:right="722"/>
              <w:rPr>
                <w:b/>
                <w:sz w:val="21"/>
              </w:rPr>
            </w:pPr>
            <w:r>
              <w:rPr>
                <w:b/>
                <w:sz w:val="21"/>
              </w:rPr>
              <w:t>项目</w:t>
            </w:r>
          </w:p>
        </w:tc>
        <w:tc>
          <w:tcPr>
            <w:tcW w:w="6025" w:type="dxa"/>
            <w:tcBorders>
              <w:tl2br w:val="nil"/>
              <w:tr2bl w:val="nil"/>
            </w:tcBorders>
          </w:tcPr>
          <w:p>
            <w:pPr>
              <w:pStyle w:val="19"/>
              <w:spacing w:before="33"/>
              <w:ind w:left="2099" w:right="2121"/>
              <w:rPr>
                <w:b/>
                <w:sz w:val="21"/>
              </w:rPr>
            </w:pPr>
            <w:r>
              <w:rPr>
                <w:b/>
                <w:sz w:val="21"/>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1042" w:type="dxa"/>
            <w:tcBorders>
              <w:tl2br w:val="nil"/>
              <w:tr2bl w:val="nil"/>
            </w:tcBorders>
          </w:tcPr>
          <w:p>
            <w:pPr>
              <w:pStyle w:val="19"/>
              <w:ind w:right="13"/>
              <w:jc w:val="both"/>
              <w:rPr>
                <w:sz w:val="21"/>
              </w:rPr>
            </w:pPr>
          </w:p>
          <w:p>
            <w:pPr>
              <w:pStyle w:val="19"/>
              <w:ind w:right="13"/>
              <w:jc w:val="both"/>
              <w:rPr>
                <w:sz w:val="21"/>
              </w:rPr>
            </w:pPr>
            <w:r>
              <w:rPr>
                <w:sz w:val="21"/>
              </w:rPr>
              <w:t>主体工程</w:t>
            </w:r>
          </w:p>
        </w:tc>
        <w:tc>
          <w:tcPr>
            <w:tcW w:w="2392" w:type="dxa"/>
            <w:gridSpan w:val="2"/>
            <w:tcBorders>
              <w:tl2br w:val="nil"/>
              <w:tr2bl w:val="nil"/>
            </w:tcBorders>
          </w:tcPr>
          <w:p>
            <w:pPr>
              <w:pStyle w:val="19"/>
              <w:ind w:right="725"/>
              <w:jc w:val="center"/>
              <w:rPr>
                <w:rFonts w:hint="eastAsia"/>
                <w:sz w:val="21"/>
                <w:lang w:val="en-US" w:eastAsia="zh-CN"/>
              </w:rPr>
            </w:pPr>
            <w:r>
              <w:rPr>
                <w:rFonts w:hint="eastAsia"/>
                <w:sz w:val="21"/>
                <w:lang w:val="en-US" w:eastAsia="zh-CN"/>
              </w:rPr>
              <w:t xml:space="preserve">    </w:t>
            </w:r>
          </w:p>
          <w:p>
            <w:pPr>
              <w:pStyle w:val="19"/>
              <w:ind w:right="725"/>
              <w:jc w:val="center"/>
              <w:rPr>
                <w:sz w:val="21"/>
              </w:rPr>
            </w:pPr>
            <w:r>
              <w:rPr>
                <w:rFonts w:hint="eastAsia"/>
                <w:sz w:val="21"/>
                <w:lang w:val="en-US" w:eastAsia="zh-CN"/>
              </w:rPr>
              <w:t xml:space="preserve">       </w:t>
            </w:r>
            <w:r>
              <w:rPr>
                <w:sz w:val="21"/>
              </w:rPr>
              <w:t>羊舍</w:t>
            </w:r>
          </w:p>
        </w:tc>
        <w:tc>
          <w:tcPr>
            <w:tcW w:w="6025" w:type="dxa"/>
            <w:tcBorders>
              <w:tl2br w:val="nil"/>
              <w:tr2bl w:val="nil"/>
            </w:tcBorders>
          </w:tcPr>
          <w:p>
            <w:pPr>
              <w:pStyle w:val="19"/>
              <w:spacing w:line="233" w:lineRule="exact"/>
              <w:ind w:left="36"/>
              <w:jc w:val="center"/>
              <w:rPr>
                <w:spacing w:val="-5"/>
                <w:sz w:val="21"/>
              </w:rPr>
            </w:pPr>
          </w:p>
          <w:p>
            <w:pPr>
              <w:pStyle w:val="19"/>
              <w:spacing w:line="233" w:lineRule="exact"/>
              <w:ind w:left="36"/>
              <w:jc w:val="center"/>
              <w:rPr>
                <w:sz w:val="21"/>
              </w:rPr>
            </w:pPr>
            <w:r>
              <w:rPr>
                <w:spacing w:val="-5"/>
                <w:sz w:val="21"/>
              </w:rPr>
              <w:t xml:space="preserve">建设标准化羊舍 </w:t>
            </w:r>
            <w:r>
              <w:rPr>
                <w:rFonts w:hint="eastAsia"/>
                <w:spacing w:val="-5"/>
                <w:sz w:val="21"/>
                <w:lang w:val="en-US" w:eastAsia="zh-CN"/>
              </w:rPr>
              <w:t>8</w:t>
            </w:r>
            <w:r>
              <w:rPr>
                <w:rFonts w:ascii="Times New Roman" w:eastAsia="Times New Roman"/>
                <w:spacing w:val="-4"/>
                <w:sz w:val="21"/>
              </w:rPr>
              <w:t xml:space="preserve"> </w:t>
            </w:r>
            <w:r>
              <w:rPr>
                <w:spacing w:val="4"/>
                <w:sz w:val="21"/>
              </w:rPr>
              <w:t>栋（含室外活动栏）</w:t>
            </w:r>
            <w:r>
              <w:rPr>
                <w:sz w:val="21"/>
              </w:rPr>
              <w:t>单座</w:t>
            </w:r>
          </w:p>
          <w:p>
            <w:pPr>
              <w:pStyle w:val="19"/>
              <w:spacing w:line="222" w:lineRule="exact"/>
              <w:ind w:left="36"/>
              <w:jc w:val="center"/>
              <w:rPr>
                <w:sz w:val="21"/>
              </w:rPr>
            </w:pPr>
            <w:r>
              <w:rPr>
                <w:sz w:val="21"/>
              </w:rPr>
              <w:t xml:space="preserve">建筑面积均为 </w:t>
            </w:r>
            <w:r>
              <w:rPr>
                <w:rFonts w:hint="eastAsia"/>
                <w:sz w:val="21"/>
                <w:lang w:val="en-US" w:eastAsia="zh-CN"/>
              </w:rPr>
              <w:t>1200</w:t>
            </w:r>
            <w:r>
              <w:rPr>
                <w:rFonts w:ascii="Times New Roman" w:eastAsia="Times New Roman"/>
                <w:sz w:val="21"/>
              </w:rPr>
              <w:t>m</w:t>
            </w:r>
            <w:r>
              <w:rPr>
                <w:rFonts w:ascii="Times New Roman" w:eastAsia="Times New Roman"/>
                <w:position w:val="7"/>
                <w:sz w:val="13"/>
              </w:rPr>
              <w:t>2</w:t>
            </w:r>
            <w:r>
              <w:rPr>
                <w:sz w:val="21"/>
              </w:rPr>
              <w:t xml:space="preserve">，羊舍总建筑面积 </w:t>
            </w:r>
            <w:r>
              <w:rPr>
                <w:rFonts w:hint="eastAsia" w:ascii="Times New Roman" w:eastAsia="宋体"/>
                <w:sz w:val="21"/>
                <w:lang w:val="en-US" w:eastAsia="zh-CN"/>
              </w:rPr>
              <w:t>9600</w:t>
            </w:r>
            <w:r>
              <w:rPr>
                <w:rFonts w:ascii="Times New Roman" w:eastAsia="Times New Roman"/>
                <w:sz w:val="21"/>
              </w:rPr>
              <w:t>m</w:t>
            </w:r>
            <w:r>
              <w:rPr>
                <w:rFonts w:ascii="Times New Roman" w:eastAsia="Times New Roman"/>
                <w:position w:val="7"/>
                <w:sz w:val="13"/>
              </w:rPr>
              <w:t>2</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042" w:type="dxa"/>
            <w:vMerge w:val="restart"/>
            <w:tcBorders>
              <w:tl2br w:val="nil"/>
              <w:tr2bl w:val="nil"/>
            </w:tcBorders>
          </w:tcPr>
          <w:p>
            <w:pPr>
              <w:pStyle w:val="19"/>
              <w:jc w:val="left"/>
              <w:rPr>
                <w:sz w:val="20"/>
              </w:rPr>
            </w:pPr>
          </w:p>
          <w:p>
            <w:pPr>
              <w:pStyle w:val="19"/>
              <w:jc w:val="left"/>
              <w:rPr>
                <w:sz w:val="20"/>
              </w:rPr>
            </w:pPr>
          </w:p>
          <w:p>
            <w:pPr>
              <w:pStyle w:val="19"/>
              <w:spacing w:before="168"/>
              <w:ind w:left="46"/>
              <w:jc w:val="left"/>
              <w:rPr>
                <w:sz w:val="21"/>
              </w:rPr>
            </w:pPr>
            <w:r>
              <w:rPr>
                <w:sz w:val="21"/>
              </w:rPr>
              <w:t>辅助工程</w:t>
            </w:r>
          </w:p>
        </w:tc>
        <w:tc>
          <w:tcPr>
            <w:tcW w:w="2392" w:type="dxa"/>
            <w:gridSpan w:val="2"/>
            <w:tcBorders>
              <w:tl2br w:val="nil"/>
              <w:tr2bl w:val="nil"/>
            </w:tcBorders>
          </w:tcPr>
          <w:p>
            <w:pPr>
              <w:pStyle w:val="19"/>
              <w:spacing w:before="33"/>
              <w:ind w:left="333"/>
              <w:jc w:val="left"/>
              <w:rPr>
                <w:sz w:val="21"/>
              </w:rPr>
            </w:pPr>
            <w:r>
              <w:rPr>
                <w:sz w:val="21"/>
              </w:rPr>
              <w:t>饲草料加工用房</w:t>
            </w:r>
          </w:p>
        </w:tc>
        <w:tc>
          <w:tcPr>
            <w:tcW w:w="6025" w:type="dxa"/>
            <w:tcBorders>
              <w:tl2br w:val="nil"/>
              <w:tr2bl w:val="nil"/>
            </w:tcBorders>
          </w:tcPr>
          <w:p>
            <w:pPr>
              <w:pStyle w:val="19"/>
              <w:spacing w:before="33"/>
              <w:ind w:right="325"/>
              <w:jc w:val="right"/>
              <w:rPr>
                <w:sz w:val="21"/>
              </w:rPr>
            </w:pPr>
            <w:r>
              <w:rPr>
                <w:sz w:val="21"/>
              </w:rPr>
              <w:t xml:space="preserve">建设饲草料加工用房 </w:t>
            </w:r>
            <w:r>
              <w:rPr>
                <w:rFonts w:ascii="Times New Roman" w:eastAsia="Times New Roman"/>
                <w:sz w:val="21"/>
              </w:rPr>
              <w:t xml:space="preserve">1 </w:t>
            </w:r>
            <w:r>
              <w:rPr>
                <w:sz w:val="21"/>
              </w:rPr>
              <w:t xml:space="preserve">栋，总建筑面积 </w:t>
            </w:r>
            <w:r>
              <w:rPr>
                <w:rFonts w:ascii="Times New Roman" w:eastAsia="Times New Roman"/>
                <w:sz w:val="21"/>
              </w:rPr>
              <w:t>1402.28m</w:t>
            </w:r>
            <w:r>
              <w:rPr>
                <w:rFonts w:ascii="Times New Roman" w:eastAsia="Times New Roman"/>
                <w:position w:val="7"/>
                <w:sz w:val="13"/>
              </w:rPr>
              <w:t>2</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spacing w:before="31"/>
              <w:ind w:left="333"/>
              <w:jc w:val="left"/>
              <w:rPr>
                <w:sz w:val="21"/>
              </w:rPr>
            </w:pPr>
            <w:r>
              <w:rPr>
                <w:sz w:val="21"/>
              </w:rPr>
              <w:t>消防水池及泵房</w:t>
            </w:r>
          </w:p>
        </w:tc>
        <w:tc>
          <w:tcPr>
            <w:tcW w:w="6025" w:type="dxa"/>
            <w:tcBorders>
              <w:tl2br w:val="nil"/>
              <w:tr2bl w:val="nil"/>
            </w:tcBorders>
          </w:tcPr>
          <w:p>
            <w:pPr>
              <w:pStyle w:val="19"/>
              <w:spacing w:before="31"/>
              <w:ind w:right="378"/>
              <w:jc w:val="right"/>
              <w:rPr>
                <w:sz w:val="21"/>
              </w:rPr>
            </w:pPr>
            <w:r>
              <w:rPr>
                <w:sz w:val="21"/>
              </w:rPr>
              <w:t xml:space="preserve">建设消防水池及泵房 </w:t>
            </w:r>
            <w:r>
              <w:rPr>
                <w:rFonts w:ascii="Times New Roman" w:eastAsia="Times New Roman"/>
                <w:sz w:val="21"/>
              </w:rPr>
              <w:t xml:space="preserve">1 </w:t>
            </w:r>
            <w:r>
              <w:rPr>
                <w:sz w:val="21"/>
              </w:rPr>
              <w:t>栋，总建筑面积</w:t>
            </w:r>
            <w:r>
              <w:rPr>
                <w:rFonts w:hint="eastAsia"/>
                <w:sz w:val="21"/>
                <w:lang w:val="en-US" w:eastAsia="zh-CN"/>
              </w:rPr>
              <w:t>360</w:t>
            </w:r>
            <w:r>
              <w:rPr>
                <w:rFonts w:ascii="Times New Roman" w:eastAsia="Times New Roman"/>
                <w:sz w:val="21"/>
              </w:rPr>
              <w:t>m</w:t>
            </w:r>
            <w:r>
              <w:rPr>
                <w:rFonts w:ascii="Times New Roman" w:eastAsia="Times New Roman"/>
                <w:position w:val="7"/>
                <w:sz w:val="13"/>
              </w:rPr>
              <w:t>2</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spacing w:line="220" w:lineRule="exact"/>
              <w:ind w:left="732" w:right="725"/>
              <w:rPr>
                <w:sz w:val="21"/>
              </w:rPr>
            </w:pPr>
            <w:r>
              <w:rPr>
                <w:sz w:val="21"/>
              </w:rPr>
              <w:t>地磅房</w:t>
            </w:r>
          </w:p>
        </w:tc>
        <w:tc>
          <w:tcPr>
            <w:tcW w:w="6025" w:type="dxa"/>
            <w:tcBorders>
              <w:tl2br w:val="nil"/>
              <w:tr2bl w:val="nil"/>
            </w:tcBorders>
          </w:tcPr>
          <w:p>
            <w:pPr>
              <w:pStyle w:val="19"/>
              <w:spacing w:line="220" w:lineRule="exact"/>
              <w:ind w:left="984"/>
              <w:jc w:val="left"/>
              <w:rPr>
                <w:rFonts w:ascii="Times New Roman" w:eastAsia="Times New Roman"/>
                <w:sz w:val="13"/>
              </w:rPr>
            </w:pPr>
            <w:r>
              <w:rPr>
                <w:sz w:val="21"/>
              </w:rPr>
              <w:t xml:space="preserve">建设地磅房 </w:t>
            </w:r>
            <w:r>
              <w:rPr>
                <w:rFonts w:ascii="Times New Roman" w:eastAsia="Times New Roman"/>
                <w:sz w:val="21"/>
              </w:rPr>
              <w:t xml:space="preserve">1 </w:t>
            </w:r>
            <w:r>
              <w:rPr>
                <w:sz w:val="21"/>
              </w:rPr>
              <w:t xml:space="preserve">栋，总建筑面积 </w:t>
            </w:r>
            <w:r>
              <w:rPr>
                <w:rFonts w:ascii="Times New Roman" w:eastAsia="Times New Roman"/>
                <w:sz w:val="21"/>
              </w:rPr>
              <w:t>44.8m</w:t>
            </w:r>
            <w:r>
              <w:rPr>
                <w:rFonts w:ascii="Times New Roman" w:eastAsia="Times New Roman"/>
                <w:position w:val="7"/>
                <w:sz w:val="13"/>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spacing w:before="31"/>
              <w:ind w:left="647"/>
              <w:jc w:val="left"/>
              <w:rPr>
                <w:sz w:val="21"/>
              </w:rPr>
            </w:pPr>
            <w:r>
              <w:rPr>
                <w:sz w:val="21"/>
              </w:rPr>
              <w:t>消毒通道</w:t>
            </w:r>
          </w:p>
        </w:tc>
        <w:tc>
          <w:tcPr>
            <w:tcW w:w="6025" w:type="dxa"/>
            <w:tcBorders>
              <w:tl2br w:val="nil"/>
              <w:tr2bl w:val="nil"/>
            </w:tcBorders>
          </w:tcPr>
          <w:p>
            <w:pPr>
              <w:pStyle w:val="19"/>
              <w:spacing w:before="31"/>
              <w:ind w:left="1780"/>
              <w:jc w:val="left"/>
              <w:rPr>
                <w:sz w:val="21"/>
              </w:rPr>
            </w:pPr>
            <w:r>
              <w:rPr>
                <w:sz w:val="21"/>
              </w:rPr>
              <w:t>新建</w:t>
            </w:r>
            <w:r>
              <w:rPr>
                <w:rFonts w:ascii="Times New Roman" w:eastAsia="Times New Roman"/>
                <w:sz w:val="21"/>
              </w:rPr>
              <w:t>1</w:t>
            </w:r>
            <w:r>
              <w:rPr>
                <w:sz w:val="21"/>
              </w:rPr>
              <w:t>栋，砖混结构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spacing w:before="31"/>
              <w:ind w:left="227"/>
              <w:jc w:val="left"/>
              <w:rPr>
                <w:sz w:val="21"/>
              </w:rPr>
            </w:pPr>
            <w:r>
              <w:rPr>
                <w:sz w:val="21"/>
              </w:rPr>
              <w:t>发电机房及配电房</w:t>
            </w:r>
          </w:p>
        </w:tc>
        <w:tc>
          <w:tcPr>
            <w:tcW w:w="6025" w:type="dxa"/>
            <w:tcBorders>
              <w:tl2br w:val="nil"/>
              <w:tr2bl w:val="nil"/>
            </w:tcBorders>
          </w:tcPr>
          <w:p>
            <w:pPr>
              <w:pStyle w:val="19"/>
              <w:spacing w:before="31"/>
              <w:ind w:left="904"/>
              <w:jc w:val="left"/>
              <w:rPr>
                <w:rFonts w:ascii="Times New Roman" w:eastAsia="Times New Roman"/>
                <w:sz w:val="13"/>
              </w:rPr>
            </w:pPr>
            <w:r>
              <w:rPr>
                <w:sz w:val="21"/>
              </w:rPr>
              <w:t xml:space="preserve">新建 </w:t>
            </w:r>
            <w:r>
              <w:rPr>
                <w:rFonts w:ascii="Times New Roman" w:eastAsia="Times New Roman"/>
                <w:sz w:val="21"/>
              </w:rPr>
              <w:t xml:space="preserve">1 </w:t>
            </w:r>
            <w:r>
              <w:rPr>
                <w:sz w:val="21"/>
              </w:rPr>
              <w:t xml:space="preserve">栋，框架结构，建筑面积 </w:t>
            </w:r>
            <w:r>
              <w:rPr>
                <w:rFonts w:ascii="Times New Roman" w:eastAsia="Times New Roman"/>
                <w:sz w:val="21"/>
              </w:rPr>
              <w:t>200m</w:t>
            </w:r>
            <w:r>
              <w:rPr>
                <w:rFonts w:ascii="Times New Roman" w:eastAsia="Times New Roman"/>
                <w:position w:val="7"/>
                <w:sz w:val="13"/>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1042" w:type="dxa"/>
            <w:vMerge w:val="restart"/>
            <w:tcBorders>
              <w:tl2br w:val="nil"/>
              <w:tr2bl w:val="nil"/>
            </w:tcBorders>
          </w:tcPr>
          <w:p>
            <w:pPr>
              <w:pStyle w:val="19"/>
              <w:jc w:val="left"/>
              <w:rPr>
                <w:sz w:val="20"/>
              </w:rPr>
            </w:pPr>
          </w:p>
          <w:p>
            <w:pPr>
              <w:pStyle w:val="19"/>
              <w:spacing w:before="145"/>
              <w:ind w:left="46"/>
              <w:jc w:val="left"/>
              <w:rPr>
                <w:sz w:val="21"/>
              </w:rPr>
            </w:pPr>
            <w:r>
              <w:rPr>
                <w:sz w:val="21"/>
              </w:rPr>
              <w:t>储运工程</w:t>
            </w:r>
          </w:p>
        </w:tc>
        <w:tc>
          <w:tcPr>
            <w:tcW w:w="2392" w:type="dxa"/>
            <w:gridSpan w:val="2"/>
            <w:tcBorders>
              <w:tl2br w:val="nil"/>
              <w:tr2bl w:val="nil"/>
            </w:tcBorders>
          </w:tcPr>
          <w:p>
            <w:pPr>
              <w:pStyle w:val="19"/>
              <w:spacing w:before="101"/>
              <w:ind w:left="647"/>
              <w:jc w:val="left"/>
              <w:rPr>
                <w:sz w:val="21"/>
              </w:rPr>
            </w:pPr>
            <w:r>
              <w:rPr>
                <w:sz w:val="21"/>
              </w:rPr>
              <w:t>饲料库房</w:t>
            </w:r>
          </w:p>
        </w:tc>
        <w:tc>
          <w:tcPr>
            <w:tcW w:w="6025" w:type="dxa"/>
            <w:tcBorders>
              <w:tl2br w:val="nil"/>
              <w:tr2bl w:val="nil"/>
            </w:tcBorders>
          </w:tcPr>
          <w:p>
            <w:pPr>
              <w:pStyle w:val="19"/>
              <w:spacing w:line="236" w:lineRule="exact"/>
              <w:ind w:left="36"/>
              <w:jc w:val="left"/>
              <w:rPr>
                <w:sz w:val="21"/>
              </w:rPr>
            </w:pPr>
            <w:r>
              <w:rPr>
                <w:spacing w:val="-8"/>
                <w:sz w:val="21"/>
              </w:rPr>
              <w:t xml:space="preserve">建设饲料库房 </w:t>
            </w:r>
            <w:r>
              <w:rPr>
                <w:rFonts w:ascii="Times New Roman" w:eastAsia="Times New Roman"/>
                <w:sz w:val="21"/>
              </w:rPr>
              <w:t xml:space="preserve">3 </w:t>
            </w:r>
            <w:r>
              <w:rPr>
                <w:spacing w:val="-14"/>
                <w:sz w:val="21"/>
              </w:rPr>
              <w:t xml:space="preserve">栋，每栋建筑面积 </w:t>
            </w:r>
            <w:r>
              <w:rPr>
                <w:rFonts w:ascii="Times New Roman" w:eastAsia="Times New Roman"/>
                <w:spacing w:val="-5"/>
                <w:sz w:val="21"/>
              </w:rPr>
              <w:t>1402.28m</w:t>
            </w:r>
            <w:r>
              <w:rPr>
                <w:rFonts w:ascii="Times New Roman" w:eastAsia="Times New Roman"/>
                <w:spacing w:val="-5"/>
                <w:position w:val="7"/>
                <w:sz w:val="13"/>
              </w:rPr>
              <w:t>2</w:t>
            </w:r>
            <w:r>
              <w:rPr>
                <w:spacing w:val="-2"/>
                <w:sz w:val="21"/>
              </w:rPr>
              <w:t>，总建筑面积</w:t>
            </w:r>
          </w:p>
          <w:p>
            <w:pPr>
              <w:pStyle w:val="19"/>
              <w:spacing w:line="224" w:lineRule="exact"/>
              <w:ind w:left="36"/>
              <w:jc w:val="left"/>
              <w:rPr>
                <w:sz w:val="21"/>
              </w:rPr>
            </w:pPr>
            <w:r>
              <w:rPr>
                <w:rFonts w:ascii="Times New Roman" w:eastAsia="Times New Roman"/>
                <w:sz w:val="21"/>
              </w:rPr>
              <w:t>4206.84m</w:t>
            </w:r>
            <w:r>
              <w:rPr>
                <w:rFonts w:ascii="Times New Roman" w:eastAsia="Times New Roman"/>
                <w:position w:val="7"/>
                <w:sz w:val="13"/>
              </w:rPr>
              <w:t>2</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line="360" w:lineRule="auto"/>
              <w:ind w:left="732" w:right="725"/>
              <w:jc w:val="center"/>
              <w:textAlignment w:val="auto"/>
              <w:rPr>
                <w:sz w:val="21"/>
              </w:rPr>
            </w:pPr>
            <w:r>
              <w:rPr>
                <w:sz w:val="21"/>
              </w:rPr>
              <w:t>青储窖</w:t>
            </w:r>
          </w:p>
        </w:tc>
        <w:tc>
          <w:tcPr>
            <w:tcW w:w="6025" w:type="dxa"/>
            <w:tcBorders>
              <w:tl2br w:val="nil"/>
              <w:tr2bl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line="360" w:lineRule="auto"/>
              <w:ind w:left="775"/>
              <w:jc w:val="center"/>
              <w:textAlignment w:val="auto"/>
              <w:rPr>
                <w:rFonts w:ascii="Times New Roman" w:eastAsia="Times New Roman"/>
                <w:sz w:val="13"/>
              </w:rPr>
            </w:pPr>
            <w:r>
              <w:rPr>
                <w:sz w:val="21"/>
              </w:rPr>
              <w:t xml:space="preserve">建设青储窖 </w:t>
            </w:r>
            <w:r>
              <w:rPr>
                <w:rFonts w:ascii="Times New Roman" w:eastAsia="Times New Roman"/>
                <w:sz w:val="21"/>
              </w:rPr>
              <w:t xml:space="preserve">20 </w:t>
            </w:r>
            <w:r>
              <w:rPr>
                <w:sz w:val="21"/>
              </w:rPr>
              <w:t xml:space="preserve">座，总建筑面积 </w:t>
            </w:r>
            <w:r>
              <w:rPr>
                <w:rFonts w:ascii="Times New Roman" w:eastAsia="Times New Roman"/>
                <w:sz w:val="21"/>
              </w:rPr>
              <w:t>6039.04m</w:t>
            </w:r>
            <w:r>
              <w:rPr>
                <w:rFonts w:ascii="Times New Roman" w:eastAsia="Times New Roman"/>
                <w:position w:val="7"/>
                <w:sz w:val="13"/>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spacing w:before="31"/>
              <w:ind w:left="732" w:right="725"/>
              <w:rPr>
                <w:sz w:val="21"/>
              </w:rPr>
            </w:pPr>
            <w:r>
              <w:rPr>
                <w:sz w:val="21"/>
              </w:rPr>
              <w:t>堆肥厂</w:t>
            </w:r>
          </w:p>
        </w:tc>
        <w:tc>
          <w:tcPr>
            <w:tcW w:w="6025" w:type="dxa"/>
            <w:tcBorders>
              <w:tl2br w:val="nil"/>
              <w:tr2bl w:val="nil"/>
            </w:tcBorders>
          </w:tcPr>
          <w:p>
            <w:pPr>
              <w:pStyle w:val="19"/>
              <w:spacing w:before="31"/>
              <w:ind w:left="1272"/>
              <w:jc w:val="left"/>
              <w:rPr>
                <w:rFonts w:ascii="Times New Roman" w:eastAsia="Times New Roman"/>
                <w:sz w:val="13"/>
              </w:rPr>
            </w:pPr>
            <w:r>
              <w:rPr>
                <w:sz w:val="21"/>
              </w:rPr>
              <w:t xml:space="preserve">堆肥厂 </w:t>
            </w:r>
            <w:r>
              <w:rPr>
                <w:rFonts w:ascii="Times New Roman" w:eastAsia="Times New Roman"/>
                <w:sz w:val="21"/>
              </w:rPr>
              <w:t xml:space="preserve">1 </w:t>
            </w:r>
            <w:r>
              <w:rPr>
                <w:sz w:val="21"/>
              </w:rPr>
              <w:t xml:space="preserve">个，占地面积 </w:t>
            </w:r>
            <w:r>
              <w:rPr>
                <w:rFonts w:ascii="Times New Roman" w:eastAsia="Times New Roman"/>
                <w:sz w:val="21"/>
              </w:rPr>
              <w:t>5000m</w:t>
            </w:r>
            <w:r>
              <w:rPr>
                <w:rFonts w:ascii="Times New Roman" w:eastAsia="Times New Roman"/>
                <w:position w:val="7"/>
                <w:sz w:val="13"/>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042" w:type="dxa"/>
            <w:vMerge w:val="restart"/>
            <w:tcBorders>
              <w:tl2br w:val="nil"/>
              <w:tr2bl w:val="nil"/>
            </w:tcBorders>
          </w:tcPr>
          <w:p>
            <w:pPr>
              <w:pStyle w:val="19"/>
              <w:jc w:val="left"/>
              <w:rPr>
                <w:sz w:val="20"/>
              </w:rPr>
            </w:pPr>
          </w:p>
          <w:p>
            <w:pPr>
              <w:pStyle w:val="19"/>
              <w:jc w:val="left"/>
              <w:rPr>
                <w:sz w:val="20"/>
              </w:rPr>
            </w:pPr>
          </w:p>
          <w:p>
            <w:pPr>
              <w:pStyle w:val="19"/>
              <w:jc w:val="left"/>
              <w:rPr>
                <w:sz w:val="20"/>
              </w:rPr>
            </w:pPr>
          </w:p>
          <w:p>
            <w:pPr>
              <w:pStyle w:val="19"/>
              <w:jc w:val="left"/>
              <w:rPr>
                <w:sz w:val="20"/>
              </w:rPr>
            </w:pPr>
          </w:p>
          <w:p>
            <w:pPr>
              <w:pStyle w:val="19"/>
              <w:jc w:val="left"/>
              <w:rPr>
                <w:sz w:val="20"/>
              </w:rPr>
            </w:pPr>
          </w:p>
          <w:p>
            <w:pPr>
              <w:pStyle w:val="19"/>
              <w:jc w:val="left"/>
              <w:rPr>
                <w:sz w:val="20"/>
              </w:rPr>
            </w:pPr>
          </w:p>
          <w:p>
            <w:pPr>
              <w:pStyle w:val="19"/>
              <w:spacing w:before="8"/>
              <w:jc w:val="left"/>
              <w:rPr>
                <w:sz w:val="15"/>
              </w:rPr>
            </w:pPr>
          </w:p>
          <w:p>
            <w:pPr>
              <w:pStyle w:val="19"/>
              <w:ind w:left="46"/>
              <w:jc w:val="left"/>
              <w:rPr>
                <w:sz w:val="21"/>
              </w:rPr>
            </w:pPr>
            <w:r>
              <w:rPr>
                <w:sz w:val="21"/>
              </w:rPr>
              <w:t>公用工程</w:t>
            </w:r>
          </w:p>
        </w:tc>
        <w:tc>
          <w:tcPr>
            <w:tcW w:w="2392" w:type="dxa"/>
            <w:gridSpan w:val="2"/>
            <w:tcBorders>
              <w:tl2br w:val="nil"/>
              <w:tr2bl w:val="nil"/>
            </w:tcBorders>
          </w:tcPr>
          <w:p>
            <w:pPr>
              <w:pStyle w:val="19"/>
              <w:spacing w:before="101"/>
              <w:ind w:left="647"/>
              <w:jc w:val="left"/>
              <w:rPr>
                <w:sz w:val="21"/>
              </w:rPr>
            </w:pPr>
            <w:r>
              <w:rPr>
                <w:sz w:val="21"/>
              </w:rPr>
              <w:t>给水工程</w:t>
            </w:r>
          </w:p>
        </w:tc>
        <w:tc>
          <w:tcPr>
            <w:tcW w:w="6025" w:type="dxa"/>
            <w:tcBorders>
              <w:tl2br w:val="nil"/>
              <w:tr2bl w:val="nil"/>
            </w:tcBorders>
          </w:tcPr>
          <w:p>
            <w:pPr>
              <w:pStyle w:val="19"/>
              <w:spacing w:line="236" w:lineRule="exact"/>
              <w:ind w:left="36"/>
              <w:jc w:val="left"/>
              <w:rPr>
                <w:sz w:val="21"/>
              </w:rPr>
            </w:pPr>
            <w:r>
              <w:rPr>
                <w:sz w:val="21"/>
              </w:rPr>
              <w:t>养殖场周边农村安全饮用水给水管网供给，可保证养殖场</w:t>
            </w:r>
          </w:p>
          <w:p>
            <w:pPr>
              <w:pStyle w:val="19"/>
              <w:spacing w:line="224" w:lineRule="exact"/>
              <w:ind w:left="36"/>
              <w:jc w:val="left"/>
              <w:rPr>
                <w:sz w:val="21"/>
              </w:rPr>
            </w:pPr>
            <w:r>
              <w:rPr>
                <w:sz w:val="21"/>
              </w:rPr>
              <w:t>日常用水。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4"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jc w:val="left"/>
              <w:rPr>
                <w:sz w:val="20"/>
              </w:rPr>
            </w:pPr>
          </w:p>
          <w:p>
            <w:pPr>
              <w:pStyle w:val="19"/>
              <w:spacing w:before="6"/>
              <w:jc w:val="left"/>
              <w:rPr>
                <w:sz w:val="25"/>
              </w:rPr>
            </w:pPr>
          </w:p>
          <w:p>
            <w:pPr>
              <w:pStyle w:val="19"/>
              <w:ind w:left="647"/>
              <w:jc w:val="left"/>
              <w:rPr>
                <w:sz w:val="21"/>
              </w:rPr>
            </w:pPr>
            <w:r>
              <w:rPr>
                <w:sz w:val="21"/>
              </w:rPr>
              <w:t>排水工程</w:t>
            </w:r>
          </w:p>
        </w:tc>
        <w:tc>
          <w:tcPr>
            <w:tcW w:w="6025" w:type="dxa"/>
            <w:tcBorders>
              <w:tl2br w:val="nil"/>
              <w:tr2bl w:val="nil"/>
            </w:tcBorders>
          </w:tcPr>
          <w:p>
            <w:pPr>
              <w:pStyle w:val="19"/>
              <w:spacing w:before="1" w:line="240" w:lineRule="exact"/>
              <w:ind w:left="36" w:right="61"/>
              <w:jc w:val="both"/>
              <w:rPr>
                <w:sz w:val="21"/>
              </w:rPr>
            </w:pPr>
            <w:r>
              <w:rPr>
                <w:sz w:val="21"/>
              </w:rPr>
              <w:t>排水主要为生产废水（羊尿液和羊舍冲洗废水）和职工生活污水，</w:t>
            </w:r>
            <w:r>
              <w:rPr>
                <w:spacing w:val="-6"/>
                <w:sz w:val="21"/>
                <w:szCs w:val="21"/>
              </w:rPr>
              <w:t>本项目职工</w:t>
            </w:r>
            <w:r>
              <w:rPr>
                <w:rFonts w:hint="eastAsia" w:ascii="宋体" w:hAnsi="宋体" w:eastAsia="宋体" w:cs="宋体"/>
                <w:color w:val="FF0000"/>
                <w:spacing w:val="-1"/>
                <w:sz w:val="21"/>
                <w:szCs w:val="21"/>
                <w:lang w:val="en-US" w:eastAsia="zh-CN"/>
              </w:rPr>
              <w:t>污水经过</w:t>
            </w:r>
            <w:r>
              <w:rPr>
                <w:rFonts w:hint="eastAsia" w:ascii="宋体" w:hAnsi="宋体" w:eastAsia="宋体" w:cs="宋体"/>
                <w:color w:val="FF0000"/>
                <w:sz w:val="21"/>
                <w:szCs w:val="21"/>
              </w:rPr>
              <w:t>化粪池及一套地埋式</w:t>
            </w:r>
            <w:r>
              <w:rPr>
                <w:rFonts w:hint="eastAsia" w:cs="宋体"/>
                <w:color w:val="FF0000"/>
                <w:sz w:val="21"/>
                <w:szCs w:val="21"/>
                <w:lang w:val="en-US" w:eastAsia="zh-CN"/>
              </w:rPr>
              <w:t>一体化</w:t>
            </w:r>
            <w:r>
              <w:rPr>
                <w:rFonts w:hint="eastAsia" w:ascii="宋体" w:hAnsi="宋体" w:eastAsia="宋体" w:cs="宋体"/>
                <w:color w:val="FF0000"/>
                <w:sz w:val="21"/>
                <w:szCs w:val="21"/>
              </w:rPr>
              <w:t>污水处理设备</w:t>
            </w:r>
            <w:r>
              <w:rPr>
                <w:rFonts w:hint="eastAsia" w:ascii="宋体" w:hAnsi="宋体" w:eastAsia="宋体" w:cs="宋体"/>
                <w:color w:val="FF0000"/>
                <w:sz w:val="21"/>
                <w:szCs w:val="21"/>
                <w:lang w:val="en-US" w:eastAsia="zh-CN"/>
              </w:rPr>
              <w:t>处理过的水</w:t>
            </w:r>
            <w:r>
              <w:rPr>
                <w:rFonts w:hint="eastAsia" w:ascii="宋体" w:hAnsi="宋体" w:eastAsia="宋体" w:cs="宋体"/>
                <w:color w:val="FF0000"/>
                <w:spacing w:val="-1"/>
                <w:sz w:val="21"/>
                <w:szCs w:val="21"/>
                <w:lang w:val="en-US" w:eastAsia="zh-CN"/>
              </w:rPr>
              <w:t>冬季储存，夏季用于场区洒水降尘。沉淀物由相关环卫部门抽运。</w:t>
            </w:r>
            <w:r>
              <w:rPr>
                <w:sz w:val="21"/>
              </w:rPr>
              <w:t>养殖场羊尿液排入羊舍干草垫中， 项目定期对垫料层和粪便进行清理更换，不需要对畜舍进行冲洗，无冲栏废水产生。垫料层与羊粪一起进入堆肥厂堆肥发酵，废水实现综合利用，不外排。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spacing w:before="102"/>
              <w:ind w:left="647"/>
              <w:jc w:val="left"/>
              <w:rPr>
                <w:sz w:val="21"/>
              </w:rPr>
            </w:pPr>
            <w:r>
              <w:rPr>
                <w:sz w:val="21"/>
              </w:rPr>
              <w:t>供电系统</w:t>
            </w:r>
          </w:p>
        </w:tc>
        <w:tc>
          <w:tcPr>
            <w:tcW w:w="6025" w:type="dxa"/>
            <w:tcBorders>
              <w:tl2br w:val="nil"/>
              <w:tr2bl w:val="nil"/>
            </w:tcBorders>
          </w:tcPr>
          <w:p>
            <w:pPr>
              <w:pStyle w:val="19"/>
              <w:spacing w:line="240" w:lineRule="exact"/>
              <w:ind w:left="36" w:right="87"/>
              <w:jc w:val="left"/>
              <w:rPr>
                <w:sz w:val="21"/>
              </w:rPr>
            </w:pPr>
            <w:r>
              <w:rPr>
                <w:w w:val="95"/>
                <w:sz w:val="21"/>
              </w:rPr>
              <w:t>项目区电力由</w:t>
            </w:r>
            <w:r>
              <w:rPr>
                <w:rFonts w:hint="eastAsia"/>
                <w:w w:val="95"/>
                <w:sz w:val="21"/>
                <w:lang w:val="en-US" w:eastAsia="zh-CN"/>
              </w:rPr>
              <w:t>莎车</w:t>
            </w:r>
            <w:r>
              <w:rPr>
                <w:w w:val="95"/>
                <w:sz w:val="21"/>
              </w:rPr>
              <w:t xml:space="preserve">县供电公司供应，由养殖场周边道路农 </w:t>
            </w:r>
            <w:r>
              <w:rPr>
                <w:sz w:val="21"/>
              </w:rPr>
              <w:t>村低压电网就近接入。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spacing w:before="32"/>
              <w:ind w:left="647"/>
              <w:jc w:val="left"/>
              <w:rPr>
                <w:sz w:val="21"/>
              </w:rPr>
            </w:pPr>
            <w:r>
              <w:rPr>
                <w:sz w:val="21"/>
              </w:rPr>
              <w:t>供暖系统</w:t>
            </w:r>
          </w:p>
        </w:tc>
        <w:tc>
          <w:tcPr>
            <w:tcW w:w="6025" w:type="dxa"/>
            <w:tcBorders>
              <w:tl2br w:val="nil"/>
              <w:tr2bl w:val="nil"/>
            </w:tcBorders>
          </w:tcPr>
          <w:p>
            <w:pPr>
              <w:pStyle w:val="19"/>
              <w:spacing w:before="32"/>
              <w:ind w:left="2094" w:right="2121"/>
              <w:rPr>
                <w:sz w:val="21"/>
              </w:rPr>
            </w:pPr>
            <w:r>
              <w:rPr>
                <w:sz w:val="21"/>
              </w:rPr>
              <w:t>采用电采暖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spacing w:before="103"/>
              <w:ind w:left="732" w:right="725"/>
              <w:rPr>
                <w:sz w:val="21"/>
              </w:rPr>
            </w:pPr>
            <w:r>
              <w:rPr>
                <w:sz w:val="21"/>
              </w:rPr>
              <w:t>交通</w:t>
            </w:r>
          </w:p>
        </w:tc>
        <w:tc>
          <w:tcPr>
            <w:tcW w:w="6025" w:type="dxa"/>
            <w:tcBorders>
              <w:tl2br w:val="nil"/>
              <w:tr2bl w:val="nil"/>
            </w:tcBorders>
          </w:tcPr>
          <w:p>
            <w:pPr>
              <w:pStyle w:val="19"/>
              <w:spacing w:before="1" w:line="240" w:lineRule="exact"/>
              <w:ind w:left="36" w:right="61"/>
              <w:jc w:val="left"/>
              <w:rPr>
                <w:sz w:val="21"/>
              </w:rPr>
            </w:pPr>
            <w:r>
              <w:rPr>
                <w:sz w:val="21"/>
              </w:rPr>
              <w:t>场内道路为混凝土路面，主要为饲料运输，项目建设地点对外交通依靠公路，路况较好，交通便于施工运输。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spacing w:before="101"/>
              <w:ind w:left="647"/>
              <w:jc w:val="left"/>
              <w:rPr>
                <w:sz w:val="21"/>
              </w:rPr>
            </w:pPr>
            <w:r>
              <w:rPr>
                <w:sz w:val="21"/>
              </w:rPr>
              <w:t>通风降温</w:t>
            </w:r>
          </w:p>
        </w:tc>
        <w:tc>
          <w:tcPr>
            <w:tcW w:w="6025" w:type="dxa"/>
            <w:tcBorders>
              <w:tl2br w:val="nil"/>
              <w:tr2bl w:val="nil"/>
            </w:tcBorders>
          </w:tcPr>
          <w:p>
            <w:pPr>
              <w:pStyle w:val="19"/>
              <w:spacing w:line="236" w:lineRule="exact"/>
              <w:ind w:left="36"/>
              <w:jc w:val="left"/>
              <w:rPr>
                <w:sz w:val="21"/>
              </w:rPr>
            </w:pPr>
            <w:r>
              <w:rPr>
                <w:sz w:val="21"/>
              </w:rPr>
              <w:t xml:space="preserve">每座羊舍有 </w:t>
            </w:r>
            <w:r>
              <w:rPr>
                <w:rFonts w:ascii="Times New Roman" w:eastAsia="Times New Roman"/>
                <w:sz w:val="21"/>
              </w:rPr>
              <w:t xml:space="preserve">8 </w:t>
            </w:r>
            <w:r>
              <w:rPr>
                <w:sz w:val="21"/>
              </w:rPr>
              <w:t>台风机，全面通风换气，自然排风换气、侧</w:t>
            </w:r>
          </w:p>
          <w:p>
            <w:pPr>
              <w:pStyle w:val="19"/>
              <w:spacing w:line="223" w:lineRule="exact"/>
              <w:ind w:left="36"/>
              <w:jc w:val="left"/>
              <w:rPr>
                <w:sz w:val="21"/>
              </w:rPr>
            </w:pPr>
            <w:r>
              <w:rPr>
                <w:sz w:val="21"/>
              </w:rPr>
              <w:t>墙机械排风换气等。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042" w:type="dxa"/>
            <w:vMerge w:val="restart"/>
            <w:tcBorders>
              <w:tl2br w:val="nil"/>
              <w:tr2bl w:val="nil"/>
            </w:tcBorders>
          </w:tcPr>
          <w:p>
            <w:pPr>
              <w:pStyle w:val="19"/>
              <w:jc w:val="left"/>
              <w:rPr>
                <w:sz w:val="20"/>
              </w:rPr>
            </w:pPr>
          </w:p>
          <w:p>
            <w:pPr>
              <w:pStyle w:val="19"/>
              <w:jc w:val="left"/>
              <w:rPr>
                <w:sz w:val="20"/>
              </w:rPr>
            </w:pPr>
          </w:p>
          <w:p>
            <w:pPr>
              <w:pStyle w:val="19"/>
              <w:jc w:val="left"/>
              <w:rPr>
                <w:sz w:val="20"/>
              </w:rPr>
            </w:pPr>
          </w:p>
          <w:p>
            <w:pPr>
              <w:pStyle w:val="19"/>
              <w:jc w:val="left"/>
              <w:rPr>
                <w:sz w:val="20"/>
              </w:rPr>
            </w:pPr>
          </w:p>
          <w:p>
            <w:pPr>
              <w:pStyle w:val="19"/>
              <w:jc w:val="left"/>
              <w:rPr>
                <w:sz w:val="20"/>
              </w:rPr>
            </w:pPr>
          </w:p>
          <w:p>
            <w:pPr>
              <w:pStyle w:val="19"/>
              <w:jc w:val="left"/>
              <w:rPr>
                <w:sz w:val="20"/>
              </w:rPr>
            </w:pPr>
          </w:p>
          <w:p>
            <w:pPr>
              <w:pStyle w:val="19"/>
              <w:jc w:val="left"/>
              <w:rPr>
                <w:sz w:val="20"/>
              </w:rPr>
            </w:pPr>
          </w:p>
          <w:p>
            <w:pPr>
              <w:pStyle w:val="19"/>
              <w:jc w:val="left"/>
              <w:rPr>
                <w:sz w:val="20"/>
              </w:rPr>
            </w:pPr>
          </w:p>
          <w:p>
            <w:pPr>
              <w:pStyle w:val="19"/>
              <w:jc w:val="left"/>
              <w:rPr>
                <w:sz w:val="18"/>
              </w:rPr>
            </w:pPr>
          </w:p>
          <w:p>
            <w:pPr>
              <w:pStyle w:val="19"/>
              <w:ind w:left="46"/>
              <w:jc w:val="left"/>
              <w:rPr>
                <w:sz w:val="21"/>
              </w:rPr>
            </w:pPr>
            <w:r>
              <w:rPr>
                <w:sz w:val="21"/>
              </w:rPr>
              <w:t>环保工程</w:t>
            </w:r>
          </w:p>
        </w:tc>
        <w:tc>
          <w:tcPr>
            <w:tcW w:w="488" w:type="dxa"/>
            <w:vMerge w:val="restart"/>
            <w:tcBorders>
              <w:tl2br w:val="nil"/>
              <w:tr2bl w:val="nil"/>
            </w:tcBorders>
          </w:tcPr>
          <w:p>
            <w:pPr>
              <w:pStyle w:val="19"/>
              <w:spacing w:before="5"/>
              <w:jc w:val="left"/>
              <w:rPr>
                <w:sz w:val="14"/>
              </w:rPr>
            </w:pPr>
          </w:p>
          <w:p>
            <w:pPr>
              <w:pStyle w:val="19"/>
              <w:spacing w:line="213" w:lineRule="auto"/>
              <w:ind w:left="112" w:right="103"/>
              <w:jc w:val="both"/>
              <w:rPr>
                <w:sz w:val="21"/>
              </w:rPr>
            </w:pPr>
            <w:r>
              <w:rPr>
                <w:sz w:val="21"/>
              </w:rPr>
              <w:t>废气处理</w:t>
            </w:r>
          </w:p>
        </w:tc>
        <w:tc>
          <w:tcPr>
            <w:tcW w:w="1904" w:type="dxa"/>
            <w:tcBorders>
              <w:tl2br w:val="nil"/>
              <w:tr2bl w:val="nil"/>
            </w:tcBorders>
          </w:tcPr>
          <w:p>
            <w:pPr>
              <w:pStyle w:val="19"/>
              <w:spacing w:before="102"/>
              <w:ind w:left="92" w:right="87"/>
              <w:rPr>
                <w:sz w:val="21"/>
              </w:rPr>
            </w:pPr>
            <w:r>
              <w:rPr>
                <w:sz w:val="21"/>
              </w:rPr>
              <w:t>羊舍恶臭</w:t>
            </w:r>
          </w:p>
        </w:tc>
        <w:tc>
          <w:tcPr>
            <w:tcW w:w="6025" w:type="dxa"/>
            <w:tcBorders>
              <w:tl2br w:val="nil"/>
              <w:tr2bl w:val="nil"/>
            </w:tcBorders>
          </w:tcPr>
          <w:p>
            <w:pPr>
              <w:pStyle w:val="19"/>
              <w:spacing w:line="240" w:lineRule="exact"/>
              <w:ind w:left="36" w:right="-15"/>
              <w:jc w:val="left"/>
              <w:rPr>
                <w:sz w:val="21"/>
              </w:rPr>
            </w:pPr>
            <w:r>
              <w:rPr>
                <w:spacing w:val="3"/>
                <w:w w:val="95"/>
                <w:sz w:val="21"/>
              </w:rPr>
              <w:t xml:space="preserve">及时清粪、采用通风换气装置、定期喷洒除臭剂、合理调 </w:t>
            </w:r>
            <w:r>
              <w:rPr>
                <w:spacing w:val="3"/>
                <w:sz w:val="21"/>
              </w:rPr>
              <w:t>配饲料、采取绿化措施除臭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042" w:type="dxa"/>
            <w:vMerge w:val="continue"/>
            <w:tcBorders>
              <w:tl2br w:val="nil"/>
              <w:tr2bl w:val="nil"/>
            </w:tcBorders>
          </w:tcPr>
          <w:p>
            <w:pPr>
              <w:rPr>
                <w:sz w:val="2"/>
                <w:szCs w:val="2"/>
              </w:rPr>
            </w:pPr>
          </w:p>
        </w:tc>
        <w:tc>
          <w:tcPr>
            <w:tcW w:w="488" w:type="dxa"/>
            <w:vMerge w:val="continue"/>
            <w:tcBorders>
              <w:tl2br w:val="nil"/>
              <w:tr2bl w:val="nil"/>
            </w:tcBorders>
          </w:tcPr>
          <w:p>
            <w:pPr>
              <w:rPr>
                <w:sz w:val="2"/>
                <w:szCs w:val="2"/>
              </w:rPr>
            </w:pPr>
          </w:p>
        </w:tc>
        <w:tc>
          <w:tcPr>
            <w:tcW w:w="1904" w:type="dxa"/>
            <w:tcBorders>
              <w:tl2br w:val="nil"/>
              <w:tr2bl w:val="nil"/>
            </w:tcBorders>
          </w:tcPr>
          <w:p>
            <w:pPr>
              <w:pStyle w:val="19"/>
              <w:spacing w:before="32"/>
              <w:ind w:left="92" w:right="87"/>
              <w:rPr>
                <w:sz w:val="21"/>
              </w:rPr>
            </w:pPr>
            <w:r>
              <w:rPr>
                <w:sz w:val="21"/>
              </w:rPr>
              <w:t>堆肥厂恶臭</w:t>
            </w:r>
          </w:p>
        </w:tc>
        <w:tc>
          <w:tcPr>
            <w:tcW w:w="6025" w:type="dxa"/>
            <w:tcBorders>
              <w:tl2br w:val="nil"/>
              <w:tr2bl w:val="nil"/>
            </w:tcBorders>
          </w:tcPr>
          <w:p>
            <w:pPr>
              <w:pStyle w:val="19"/>
              <w:spacing w:before="32"/>
              <w:ind w:left="2129" w:right="2087"/>
              <w:rPr>
                <w:sz w:val="21"/>
              </w:rPr>
            </w:pPr>
            <w:r>
              <w:rPr>
                <w:sz w:val="21"/>
              </w:rPr>
              <w:t>喷洒除臭剂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042" w:type="dxa"/>
            <w:vMerge w:val="continue"/>
            <w:tcBorders>
              <w:tl2br w:val="nil"/>
              <w:tr2bl w:val="nil"/>
            </w:tcBorders>
          </w:tcPr>
          <w:p>
            <w:pPr>
              <w:rPr>
                <w:sz w:val="2"/>
                <w:szCs w:val="2"/>
              </w:rPr>
            </w:pPr>
          </w:p>
        </w:tc>
        <w:tc>
          <w:tcPr>
            <w:tcW w:w="488" w:type="dxa"/>
            <w:vMerge w:val="continue"/>
            <w:tcBorders>
              <w:tl2br w:val="nil"/>
              <w:tr2bl w:val="nil"/>
            </w:tcBorders>
          </w:tcPr>
          <w:p>
            <w:pPr>
              <w:rPr>
                <w:sz w:val="2"/>
                <w:szCs w:val="2"/>
              </w:rPr>
            </w:pPr>
          </w:p>
        </w:tc>
        <w:tc>
          <w:tcPr>
            <w:tcW w:w="1904" w:type="dxa"/>
            <w:tcBorders>
              <w:tl2br w:val="nil"/>
              <w:tr2bl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exact"/>
              <w:ind w:left="220" w:right="105" w:hanging="106"/>
              <w:jc w:val="left"/>
              <w:textAlignment w:val="auto"/>
              <w:rPr>
                <w:sz w:val="21"/>
              </w:rPr>
            </w:pPr>
            <w:r>
              <w:rPr>
                <w:sz w:val="21"/>
              </w:rPr>
              <w:t>病死尸体无害化处理车间恶臭</w:t>
            </w:r>
          </w:p>
        </w:tc>
        <w:tc>
          <w:tcPr>
            <w:tcW w:w="6025" w:type="dxa"/>
            <w:tcBorders>
              <w:tl2br w:val="nil"/>
              <w:tr2bl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exact"/>
              <w:ind w:left="1212" w:right="39" w:hanging="1128"/>
              <w:jc w:val="left"/>
              <w:textAlignment w:val="auto"/>
              <w:rPr>
                <w:sz w:val="21"/>
              </w:rPr>
            </w:pPr>
            <w:r>
              <w:rPr>
                <w:w w:val="95"/>
                <w:sz w:val="21"/>
              </w:rPr>
              <w:t xml:space="preserve">废气冷凝雾化后，引至光解除臭装置吸收处理，再经引风 </w:t>
            </w:r>
            <w:r>
              <w:rPr>
                <w:spacing w:val="-14"/>
                <w:sz w:val="21"/>
              </w:rPr>
              <w:t xml:space="preserve">机引至 </w:t>
            </w:r>
            <w:r>
              <w:rPr>
                <w:rFonts w:ascii="Times New Roman" w:eastAsia="Times New Roman"/>
                <w:sz w:val="21"/>
              </w:rPr>
              <w:t>15m</w:t>
            </w:r>
            <w:r>
              <w:rPr>
                <w:rFonts w:ascii="Times New Roman" w:eastAsia="Times New Roman"/>
                <w:spacing w:val="-2"/>
                <w:sz w:val="21"/>
              </w:rPr>
              <w:t xml:space="preserve"> </w:t>
            </w:r>
            <w:r>
              <w:rPr>
                <w:sz w:val="21"/>
              </w:rPr>
              <w:t>高排气筒集中排放。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042" w:type="dxa"/>
            <w:vMerge w:val="continue"/>
            <w:tcBorders>
              <w:tl2br w:val="nil"/>
              <w:tr2bl w:val="nil"/>
            </w:tcBorders>
          </w:tcPr>
          <w:p>
            <w:pPr>
              <w:rPr>
                <w:sz w:val="2"/>
                <w:szCs w:val="2"/>
              </w:rPr>
            </w:pPr>
          </w:p>
        </w:tc>
        <w:tc>
          <w:tcPr>
            <w:tcW w:w="488" w:type="dxa"/>
            <w:vMerge w:val="restart"/>
            <w:tcBorders>
              <w:tl2br w:val="nil"/>
              <w:tr2bl w:val="nil"/>
            </w:tcBorders>
          </w:tcPr>
          <w:p>
            <w:pPr>
              <w:pStyle w:val="19"/>
              <w:spacing w:before="4" w:line="240" w:lineRule="exact"/>
              <w:ind w:left="112" w:right="103"/>
              <w:jc w:val="both"/>
              <w:rPr>
                <w:sz w:val="21"/>
              </w:rPr>
            </w:pPr>
            <w:r>
              <w:rPr>
                <w:sz w:val="21"/>
              </w:rPr>
              <w:t>废水处理</w:t>
            </w:r>
          </w:p>
        </w:tc>
        <w:tc>
          <w:tcPr>
            <w:tcW w:w="1904" w:type="dxa"/>
            <w:tcBorders>
              <w:tl2br w:val="nil"/>
              <w:tr2bl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after="0" w:afterLines="50" w:line="236" w:lineRule="exact"/>
              <w:ind w:left="35" w:right="-29"/>
              <w:jc w:val="left"/>
              <w:textAlignment w:val="auto"/>
              <w:rPr>
                <w:sz w:val="21"/>
              </w:rPr>
            </w:pPr>
            <w:r>
              <w:rPr>
                <w:sz w:val="21"/>
              </w:rPr>
              <w:t>养殖废水（</w:t>
            </w:r>
            <w:r>
              <w:rPr>
                <w:spacing w:val="-4"/>
                <w:sz w:val="21"/>
              </w:rPr>
              <w:t>羊尿、</w:t>
            </w:r>
          </w:p>
          <w:p>
            <w:pPr>
              <w:pStyle w:val="19"/>
              <w:keepNext w:val="0"/>
              <w:keepLines w:val="0"/>
              <w:pageBreakBefore w:val="0"/>
              <w:widowControl w:val="0"/>
              <w:kinsoku/>
              <w:wordWrap/>
              <w:overflowPunct/>
              <w:topLinePunct w:val="0"/>
              <w:autoSpaceDE w:val="0"/>
              <w:autoSpaceDN w:val="0"/>
              <w:bidi w:val="0"/>
              <w:adjustRightInd/>
              <w:snapToGrid/>
              <w:spacing w:before="0" w:beforeLines="50" w:after="0" w:afterLines="50" w:line="224" w:lineRule="exact"/>
              <w:ind w:left="114"/>
              <w:jc w:val="left"/>
              <w:textAlignment w:val="auto"/>
              <w:rPr>
                <w:sz w:val="21"/>
              </w:rPr>
            </w:pPr>
            <w:r>
              <w:rPr>
                <w:sz w:val="21"/>
              </w:rPr>
              <w:t>羊舍冲洗废水）</w:t>
            </w:r>
          </w:p>
        </w:tc>
        <w:tc>
          <w:tcPr>
            <w:tcW w:w="6025" w:type="dxa"/>
            <w:tcBorders>
              <w:tl2br w:val="nil"/>
              <w:tr2bl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after="0" w:afterLines="50" w:line="236" w:lineRule="exact"/>
              <w:ind w:left="36" w:right="-15"/>
              <w:jc w:val="left"/>
              <w:textAlignment w:val="auto"/>
              <w:rPr>
                <w:sz w:val="21"/>
              </w:rPr>
            </w:pPr>
            <w:r>
              <w:rPr>
                <w:spacing w:val="3"/>
                <w:w w:val="95"/>
                <w:sz w:val="21"/>
              </w:rPr>
              <w:t>羊尿液直接排入羊舍干草垫，定期清运至堆肥厂用作周边</w:t>
            </w:r>
          </w:p>
          <w:p>
            <w:pPr>
              <w:pStyle w:val="19"/>
              <w:keepNext w:val="0"/>
              <w:keepLines w:val="0"/>
              <w:pageBreakBefore w:val="0"/>
              <w:widowControl w:val="0"/>
              <w:kinsoku/>
              <w:wordWrap/>
              <w:overflowPunct/>
              <w:topLinePunct w:val="0"/>
              <w:autoSpaceDE w:val="0"/>
              <w:autoSpaceDN w:val="0"/>
              <w:bidi w:val="0"/>
              <w:adjustRightInd/>
              <w:snapToGrid/>
              <w:spacing w:before="0" w:beforeLines="50" w:after="0" w:afterLines="50" w:line="224" w:lineRule="exact"/>
              <w:ind w:left="36"/>
              <w:jc w:val="left"/>
              <w:textAlignment w:val="auto"/>
              <w:rPr>
                <w:sz w:val="21"/>
              </w:rPr>
            </w:pPr>
            <w:r>
              <w:rPr>
                <w:sz w:val="21"/>
              </w:rPr>
              <w:t>农作物的生产用肥；羊舍采用干清粪工艺，无冲洗废水。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042" w:type="dxa"/>
            <w:vMerge w:val="continue"/>
            <w:tcBorders>
              <w:tl2br w:val="nil"/>
              <w:tr2bl w:val="nil"/>
            </w:tcBorders>
          </w:tcPr>
          <w:p>
            <w:pPr>
              <w:rPr>
                <w:sz w:val="2"/>
                <w:szCs w:val="2"/>
              </w:rPr>
            </w:pPr>
          </w:p>
        </w:tc>
        <w:tc>
          <w:tcPr>
            <w:tcW w:w="488" w:type="dxa"/>
            <w:vMerge w:val="continue"/>
            <w:tcBorders>
              <w:tl2br w:val="nil"/>
              <w:tr2bl w:val="nil"/>
            </w:tcBorders>
          </w:tcPr>
          <w:p>
            <w:pPr>
              <w:rPr>
                <w:sz w:val="2"/>
                <w:szCs w:val="2"/>
              </w:rPr>
            </w:pPr>
          </w:p>
        </w:tc>
        <w:tc>
          <w:tcPr>
            <w:tcW w:w="1904" w:type="dxa"/>
            <w:tcBorders>
              <w:tl2br w:val="nil"/>
              <w:tr2bl w:val="nil"/>
            </w:tcBorders>
          </w:tcPr>
          <w:p>
            <w:pPr>
              <w:pStyle w:val="19"/>
              <w:spacing w:line="236" w:lineRule="exact"/>
              <w:ind w:left="94" w:right="87"/>
              <w:rPr>
                <w:sz w:val="21"/>
              </w:rPr>
            </w:pPr>
            <w:r>
              <w:rPr>
                <w:sz w:val="21"/>
              </w:rPr>
              <w:t>病死尸体无害化</w:t>
            </w:r>
          </w:p>
          <w:p>
            <w:pPr>
              <w:pStyle w:val="19"/>
              <w:spacing w:line="224" w:lineRule="exact"/>
              <w:ind w:left="94" w:right="87"/>
              <w:rPr>
                <w:sz w:val="21"/>
              </w:rPr>
            </w:pPr>
            <w:r>
              <w:rPr>
                <w:sz w:val="21"/>
              </w:rPr>
              <w:t>处理车间废水</w:t>
            </w:r>
          </w:p>
        </w:tc>
        <w:tc>
          <w:tcPr>
            <w:tcW w:w="6025" w:type="dxa"/>
            <w:tcBorders>
              <w:tl2br w:val="nil"/>
              <w:tr2bl w:val="nil"/>
            </w:tcBorders>
          </w:tcPr>
          <w:p>
            <w:pPr>
              <w:pStyle w:val="19"/>
              <w:spacing w:line="236" w:lineRule="exact"/>
              <w:ind w:left="36" w:right="-15"/>
              <w:jc w:val="left"/>
              <w:rPr>
                <w:sz w:val="21"/>
              </w:rPr>
            </w:pPr>
            <w:r>
              <w:rPr>
                <w:spacing w:val="3"/>
                <w:w w:val="95"/>
                <w:sz w:val="21"/>
              </w:rPr>
              <w:t>最后过滤下的废水进入废水槽，收集后拉运至</w:t>
            </w:r>
            <w:r>
              <w:rPr>
                <w:rFonts w:hint="eastAsia"/>
                <w:spacing w:val="3"/>
                <w:w w:val="95"/>
                <w:sz w:val="21"/>
                <w:lang w:val="en-US" w:eastAsia="zh-CN"/>
              </w:rPr>
              <w:t>莎车</w:t>
            </w:r>
            <w:r>
              <w:rPr>
                <w:spacing w:val="3"/>
                <w:w w:val="95"/>
                <w:sz w:val="21"/>
              </w:rPr>
              <w:t>县污水</w:t>
            </w:r>
          </w:p>
          <w:p>
            <w:pPr>
              <w:pStyle w:val="19"/>
              <w:spacing w:line="224" w:lineRule="exact"/>
              <w:ind w:left="36"/>
              <w:jc w:val="left"/>
              <w:rPr>
                <w:sz w:val="21"/>
              </w:rPr>
            </w:pPr>
            <w:r>
              <w:rPr>
                <w:sz w:val="21"/>
              </w:rPr>
              <w:t>处理站处理。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042" w:type="dxa"/>
            <w:vMerge w:val="continue"/>
            <w:tcBorders>
              <w:tl2br w:val="nil"/>
              <w:tr2bl w:val="nil"/>
            </w:tcBorders>
          </w:tcPr>
          <w:p>
            <w:pPr>
              <w:rPr>
                <w:sz w:val="2"/>
                <w:szCs w:val="2"/>
              </w:rPr>
            </w:pPr>
          </w:p>
        </w:tc>
        <w:tc>
          <w:tcPr>
            <w:tcW w:w="2392" w:type="dxa"/>
            <w:gridSpan w:val="2"/>
            <w:tcBorders>
              <w:tl2br w:val="nil"/>
              <w:tr2bl w:val="nil"/>
            </w:tcBorders>
          </w:tcPr>
          <w:p>
            <w:pPr>
              <w:pStyle w:val="19"/>
              <w:spacing w:before="31"/>
              <w:ind w:left="647"/>
              <w:jc w:val="left"/>
              <w:rPr>
                <w:sz w:val="21"/>
              </w:rPr>
            </w:pPr>
            <w:r>
              <w:rPr>
                <w:sz w:val="21"/>
              </w:rPr>
              <w:t>噪声治理</w:t>
            </w:r>
          </w:p>
        </w:tc>
        <w:tc>
          <w:tcPr>
            <w:tcW w:w="6025" w:type="dxa"/>
            <w:tcBorders>
              <w:tl2br w:val="nil"/>
              <w:tr2bl w:val="nil"/>
            </w:tcBorders>
          </w:tcPr>
          <w:p>
            <w:pPr>
              <w:pStyle w:val="19"/>
              <w:spacing w:before="31"/>
              <w:ind w:left="36"/>
              <w:jc w:val="left"/>
              <w:rPr>
                <w:sz w:val="21"/>
              </w:rPr>
            </w:pPr>
            <w:r>
              <w:rPr>
                <w:sz w:val="21"/>
              </w:rPr>
              <w:t>基础减振、墙体隔声等措施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042" w:type="dxa"/>
            <w:vMerge w:val="continue"/>
            <w:tcBorders>
              <w:tl2br w:val="nil"/>
              <w:tr2bl w:val="nil"/>
            </w:tcBorders>
          </w:tcPr>
          <w:p>
            <w:pPr>
              <w:rPr>
                <w:sz w:val="2"/>
                <w:szCs w:val="2"/>
              </w:rPr>
            </w:pPr>
          </w:p>
        </w:tc>
        <w:tc>
          <w:tcPr>
            <w:tcW w:w="488" w:type="dxa"/>
            <w:vMerge w:val="restart"/>
            <w:tcBorders>
              <w:tl2br w:val="nil"/>
              <w:tr2bl w:val="nil"/>
            </w:tcBorders>
          </w:tcPr>
          <w:p>
            <w:pPr>
              <w:pStyle w:val="19"/>
              <w:jc w:val="left"/>
              <w:rPr>
                <w:sz w:val="20"/>
              </w:rPr>
            </w:pPr>
          </w:p>
          <w:p>
            <w:pPr>
              <w:pStyle w:val="19"/>
              <w:spacing w:line="213" w:lineRule="auto"/>
              <w:ind w:left="112" w:right="103"/>
              <w:jc w:val="both"/>
              <w:rPr>
                <w:sz w:val="21"/>
              </w:rPr>
            </w:pPr>
            <w:r>
              <w:rPr>
                <w:sz w:val="21"/>
              </w:rPr>
              <w:t>固体废弃物治理</w:t>
            </w:r>
          </w:p>
        </w:tc>
        <w:tc>
          <w:tcPr>
            <w:tcW w:w="1904" w:type="dxa"/>
            <w:tcBorders>
              <w:tl2br w:val="nil"/>
              <w:tr2bl w:val="nil"/>
            </w:tcBorders>
          </w:tcPr>
          <w:p>
            <w:pPr>
              <w:pStyle w:val="19"/>
              <w:spacing w:before="101"/>
              <w:ind w:left="92" w:right="87"/>
              <w:rPr>
                <w:sz w:val="21"/>
              </w:rPr>
            </w:pPr>
            <w:r>
              <w:rPr>
                <w:sz w:val="21"/>
              </w:rPr>
              <w:t>羊粪、粪渣</w:t>
            </w:r>
          </w:p>
        </w:tc>
        <w:tc>
          <w:tcPr>
            <w:tcW w:w="6025" w:type="dxa"/>
            <w:tcBorders>
              <w:tl2br w:val="nil"/>
              <w:tr2bl w:val="nil"/>
            </w:tcBorders>
          </w:tcPr>
          <w:p>
            <w:pPr>
              <w:pStyle w:val="19"/>
              <w:spacing w:line="236" w:lineRule="exact"/>
              <w:ind w:left="36" w:right="-15"/>
              <w:jc w:val="left"/>
              <w:rPr>
                <w:sz w:val="21"/>
              </w:rPr>
            </w:pPr>
            <w:r>
              <w:rPr>
                <w:spacing w:val="3"/>
                <w:w w:val="95"/>
                <w:sz w:val="21"/>
              </w:rPr>
              <w:t>羊粪采用干清粪工艺。羊粪成颗粒状，含水率低，清运至</w:t>
            </w:r>
          </w:p>
          <w:p>
            <w:pPr>
              <w:pStyle w:val="19"/>
              <w:spacing w:line="224" w:lineRule="exact"/>
              <w:ind w:left="36"/>
              <w:jc w:val="left"/>
              <w:rPr>
                <w:sz w:val="21"/>
              </w:rPr>
            </w:pPr>
            <w:r>
              <w:rPr>
                <w:sz w:val="21"/>
              </w:rPr>
              <w:t>堆肥厂，制成有机肥外售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1042" w:type="dxa"/>
            <w:vMerge w:val="continue"/>
            <w:tcBorders>
              <w:tl2br w:val="nil"/>
              <w:tr2bl w:val="nil"/>
            </w:tcBorders>
          </w:tcPr>
          <w:p>
            <w:pPr>
              <w:rPr>
                <w:sz w:val="2"/>
                <w:szCs w:val="2"/>
              </w:rPr>
            </w:pPr>
          </w:p>
        </w:tc>
        <w:tc>
          <w:tcPr>
            <w:tcW w:w="488" w:type="dxa"/>
            <w:vMerge w:val="continue"/>
            <w:tcBorders>
              <w:tl2br w:val="nil"/>
              <w:tr2bl w:val="nil"/>
            </w:tcBorders>
          </w:tcPr>
          <w:p>
            <w:pPr>
              <w:rPr>
                <w:sz w:val="2"/>
                <w:szCs w:val="2"/>
              </w:rPr>
            </w:pPr>
          </w:p>
        </w:tc>
        <w:tc>
          <w:tcPr>
            <w:tcW w:w="1904" w:type="dxa"/>
            <w:tcBorders>
              <w:tl2br w:val="nil"/>
              <w:tr2bl w:val="nil"/>
            </w:tcBorders>
          </w:tcPr>
          <w:p>
            <w:pPr>
              <w:pStyle w:val="19"/>
              <w:jc w:val="left"/>
              <w:rPr>
                <w:sz w:val="20"/>
              </w:rPr>
            </w:pPr>
          </w:p>
          <w:p>
            <w:pPr>
              <w:pStyle w:val="19"/>
              <w:spacing w:before="1"/>
              <w:jc w:val="left"/>
              <w:rPr>
                <w:sz w:val="16"/>
              </w:rPr>
            </w:pPr>
          </w:p>
          <w:p>
            <w:pPr>
              <w:pStyle w:val="19"/>
              <w:spacing w:before="1"/>
              <w:ind w:left="94" w:right="87"/>
              <w:rPr>
                <w:sz w:val="21"/>
              </w:rPr>
            </w:pPr>
            <w:r>
              <w:rPr>
                <w:sz w:val="21"/>
              </w:rPr>
              <w:t>病死羊及分娩物</w:t>
            </w:r>
          </w:p>
        </w:tc>
        <w:tc>
          <w:tcPr>
            <w:tcW w:w="6025" w:type="dxa"/>
            <w:tcBorders>
              <w:tl2br w:val="nil"/>
              <w:tr2bl w:val="nil"/>
            </w:tcBorders>
          </w:tcPr>
          <w:p>
            <w:pPr>
              <w:pStyle w:val="19"/>
              <w:spacing w:before="1" w:line="240" w:lineRule="exact"/>
              <w:ind w:left="36" w:right="-15"/>
              <w:jc w:val="left"/>
              <w:rPr>
                <w:sz w:val="21"/>
              </w:rPr>
            </w:pPr>
            <w:r>
              <w:rPr>
                <w:spacing w:val="3"/>
                <w:w w:val="95"/>
                <w:sz w:val="21"/>
              </w:rPr>
              <w:t xml:space="preserve">本项目病死羊采用干化法畜禽无害化处理方式处理，项目 </w:t>
            </w:r>
            <w:r>
              <w:rPr>
                <w:spacing w:val="-2"/>
                <w:sz w:val="21"/>
              </w:rPr>
              <w:t xml:space="preserve">区拟建畜禽无害化处理车间，并购进畜禽无害化处理 </w:t>
            </w:r>
            <w:r>
              <w:rPr>
                <w:rFonts w:ascii="Times New Roman" w:eastAsia="Times New Roman"/>
                <w:sz w:val="21"/>
              </w:rPr>
              <w:t>1</w:t>
            </w:r>
            <w:r>
              <w:rPr>
                <w:rFonts w:ascii="Times New Roman" w:eastAsia="Times New Roman"/>
                <w:spacing w:val="6"/>
                <w:sz w:val="21"/>
              </w:rPr>
              <w:t xml:space="preserve"> </w:t>
            </w:r>
            <w:r>
              <w:rPr>
                <w:spacing w:val="4"/>
                <w:sz w:val="21"/>
              </w:rPr>
              <w:t>吨</w:t>
            </w:r>
            <w:r>
              <w:rPr>
                <w:rFonts w:ascii="Times New Roman" w:eastAsia="Times New Roman"/>
                <w:sz w:val="21"/>
              </w:rPr>
              <w:t xml:space="preserve">/ </w:t>
            </w:r>
            <w:r>
              <w:rPr>
                <w:spacing w:val="-1"/>
                <w:sz w:val="21"/>
              </w:rPr>
              <w:t>次成套设备，采用高温高压灭菌技术，大型动物无需肢解</w:t>
            </w:r>
            <w:r>
              <w:rPr>
                <w:spacing w:val="3"/>
                <w:w w:val="95"/>
                <w:sz w:val="21"/>
              </w:rPr>
              <w:t xml:space="preserve">可直接进行处理，处理后的产物可出售给肉骨粉干品生产 </w:t>
            </w:r>
            <w:r>
              <w:rPr>
                <w:spacing w:val="3"/>
                <w:sz w:val="21"/>
              </w:rPr>
              <w:t>厂和工业用油脂厂，综合利用，符合国家防疫法规要求。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042" w:type="dxa"/>
            <w:vMerge w:val="continue"/>
            <w:tcBorders>
              <w:tl2br w:val="nil"/>
              <w:tr2bl w:val="nil"/>
            </w:tcBorders>
          </w:tcPr>
          <w:p>
            <w:pPr>
              <w:rPr>
                <w:sz w:val="2"/>
                <w:szCs w:val="2"/>
              </w:rPr>
            </w:pPr>
          </w:p>
        </w:tc>
        <w:tc>
          <w:tcPr>
            <w:tcW w:w="488" w:type="dxa"/>
            <w:vMerge w:val="continue"/>
            <w:tcBorders>
              <w:tl2br w:val="nil"/>
              <w:tr2bl w:val="nil"/>
            </w:tcBorders>
          </w:tcPr>
          <w:p>
            <w:pPr>
              <w:rPr>
                <w:sz w:val="2"/>
                <w:szCs w:val="2"/>
              </w:rPr>
            </w:pPr>
          </w:p>
        </w:tc>
        <w:tc>
          <w:tcPr>
            <w:tcW w:w="1904" w:type="dxa"/>
            <w:tcBorders>
              <w:tl2br w:val="nil"/>
              <w:tr2bl w:val="nil"/>
            </w:tcBorders>
          </w:tcPr>
          <w:p>
            <w:pPr>
              <w:pStyle w:val="19"/>
              <w:spacing w:before="102"/>
              <w:ind w:left="92" w:right="87"/>
              <w:rPr>
                <w:sz w:val="21"/>
              </w:rPr>
            </w:pPr>
            <w:r>
              <w:rPr>
                <w:sz w:val="21"/>
              </w:rPr>
              <w:t>医疗废物</w:t>
            </w:r>
          </w:p>
        </w:tc>
        <w:tc>
          <w:tcPr>
            <w:tcW w:w="6025" w:type="dxa"/>
            <w:tcBorders>
              <w:tl2br w:val="nil"/>
              <w:tr2bl w:val="nil"/>
            </w:tcBorders>
          </w:tcPr>
          <w:p>
            <w:pPr>
              <w:pStyle w:val="19"/>
              <w:spacing w:line="240" w:lineRule="exact"/>
              <w:ind w:left="36" w:right="-15"/>
              <w:jc w:val="left"/>
              <w:rPr>
                <w:sz w:val="21"/>
              </w:rPr>
            </w:pPr>
            <w:r>
              <w:rPr>
                <w:spacing w:val="3"/>
                <w:w w:val="95"/>
                <w:sz w:val="21"/>
              </w:rPr>
              <w:t>本项目产生的医疗废物由</w:t>
            </w:r>
            <w:r>
              <w:rPr>
                <w:rFonts w:hint="eastAsia"/>
                <w:spacing w:val="3"/>
                <w:w w:val="95"/>
                <w:sz w:val="21"/>
                <w:lang w:val="en-US" w:eastAsia="zh-CN"/>
              </w:rPr>
              <w:t>莎车</w:t>
            </w:r>
            <w:r>
              <w:rPr>
                <w:spacing w:val="3"/>
                <w:w w:val="95"/>
                <w:sz w:val="21"/>
              </w:rPr>
              <w:t xml:space="preserve">乡兽医站以及村级防疫中心 </w:t>
            </w:r>
            <w:r>
              <w:rPr>
                <w:spacing w:val="3"/>
                <w:sz w:val="21"/>
              </w:rPr>
              <w:t>委托有资质的单位处理处置。</w:t>
            </w:r>
          </w:p>
        </w:tc>
      </w:tr>
    </w:tbl>
    <w:p>
      <w:pPr>
        <w:pStyle w:val="5"/>
        <w:bidi w:val="0"/>
        <w:ind w:left="0" w:leftChars="0" w:firstLine="0" w:firstLineChars="0"/>
      </w:pPr>
      <w:bookmarkStart w:id="116" w:name="3.1.5 公用工程"/>
      <w:bookmarkEnd w:id="116"/>
      <w:bookmarkStart w:id="117" w:name="3.1.5 公用工程"/>
      <w:bookmarkEnd w:id="117"/>
      <w:r>
        <w:rPr>
          <w:rFonts w:hint="eastAsia"/>
          <w:lang w:val="en-US" w:eastAsia="zh-CN"/>
        </w:rPr>
        <w:t xml:space="preserve">3.1.5  </w:t>
      </w:r>
      <w:r>
        <w:t>公用工程</w:t>
      </w:r>
    </w:p>
    <w:p>
      <w:pPr>
        <w:pStyle w:val="18"/>
        <w:numPr>
          <w:ilvl w:val="3"/>
          <w:numId w:val="20"/>
        </w:numPr>
        <w:tabs>
          <w:tab w:val="left" w:pos="1320"/>
        </w:tabs>
        <w:spacing w:before="0" w:after="0" w:line="240" w:lineRule="auto"/>
        <w:ind w:left="1320" w:right="0" w:hanging="780"/>
        <w:jc w:val="left"/>
        <w:rPr>
          <w:sz w:val="24"/>
        </w:rPr>
      </w:pPr>
      <w:bookmarkStart w:id="118" w:name="3.1.5.1 给水工程"/>
      <w:bookmarkEnd w:id="118"/>
      <w:bookmarkStart w:id="119" w:name="3.1.5.1 给水工程"/>
      <w:bookmarkEnd w:id="119"/>
      <w:r>
        <w:rPr>
          <w:sz w:val="24"/>
        </w:rPr>
        <w:t>给水工程</w:t>
      </w:r>
    </w:p>
    <w:p>
      <w:pPr>
        <w:pStyle w:val="18"/>
        <w:numPr>
          <w:ilvl w:val="4"/>
          <w:numId w:val="20"/>
        </w:numPr>
        <w:tabs>
          <w:tab w:val="left" w:pos="1621"/>
        </w:tabs>
        <w:spacing w:before="168" w:after="0" w:line="240" w:lineRule="auto"/>
        <w:ind w:left="1621" w:right="0" w:hanging="601"/>
        <w:jc w:val="left"/>
        <w:rPr>
          <w:color w:val="0000FF"/>
          <w:sz w:val="24"/>
        </w:rPr>
      </w:pPr>
      <w:r>
        <w:rPr>
          <w:color w:val="0000FF"/>
          <w:sz w:val="24"/>
        </w:rPr>
        <w:t>水源</w:t>
      </w:r>
    </w:p>
    <w:p>
      <w:pPr>
        <w:pStyle w:val="7"/>
        <w:spacing w:before="160"/>
        <w:ind w:left="1020"/>
        <w:rPr>
          <w:color w:val="0000FF"/>
        </w:rPr>
      </w:pPr>
      <w:r>
        <w:rPr>
          <w:color w:val="0000FF"/>
        </w:rPr>
        <w:t>项目区供水由农村安全饮用水供水管网供给，可保证养殖场日常用水。</w:t>
      </w:r>
    </w:p>
    <w:p>
      <w:pPr>
        <w:pStyle w:val="18"/>
        <w:numPr>
          <w:ilvl w:val="4"/>
          <w:numId w:val="20"/>
        </w:numPr>
        <w:tabs>
          <w:tab w:val="left" w:pos="1621"/>
        </w:tabs>
        <w:spacing w:before="161" w:after="0" w:line="240" w:lineRule="auto"/>
        <w:ind w:left="1621" w:right="0" w:hanging="601"/>
        <w:jc w:val="left"/>
        <w:rPr>
          <w:color w:val="0000FF"/>
          <w:sz w:val="24"/>
        </w:rPr>
      </w:pPr>
      <w:r>
        <w:rPr>
          <w:color w:val="0000FF"/>
          <w:sz w:val="24"/>
        </w:rPr>
        <w:t>本项目总工程给水量估算</w:t>
      </w:r>
    </w:p>
    <w:p>
      <w:pPr>
        <w:pStyle w:val="7"/>
        <w:spacing w:before="160" w:line="364" w:lineRule="auto"/>
        <w:ind w:right="577" w:firstLine="480"/>
        <w:rPr>
          <w:color w:val="0000FF"/>
        </w:rPr>
      </w:pPr>
      <w:r>
        <w:rPr>
          <w:color w:val="0000FF"/>
          <w:spacing w:val="-7"/>
        </w:rPr>
        <w:t>本项目职工均为周边村镇村民，均不在项目区内食宿，用水主要包括羊饮用</w:t>
      </w:r>
      <w:r>
        <w:rPr>
          <w:color w:val="0000FF"/>
        </w:rPr>
        <w:t>水、消毒用水和绿化用水。</w:t>
      </w:r>
    </w:p>
    <w:p>
      <w:pPr>
        <w:pStyle w:val="7"/>
        <w:spacing w:before="2" w:line="364" w:lineRule="auto"/>
        <w:ind w:right="577" w:firstLine="480"/>
        <w:jc w:val="both"/>
        <w:rPr>
          <w:color w:val="0000FF"/>
        </w:rPr>
      </w:pPr>
      <w:r>
        <w:rPr>
          <w:color w:val="0000FF"/>
          <w:spacing w:val="-4"/>
        </w:rPr>
        <w:t>①羊饮用水：项目年存栏种羊</w:t>
      </w:r>
      <w:r>
        <w:rPr>
          <w:rFonts w:hint="eastAsia" w:ascii="Times New Roman" w:hAnsi="Times New Roman" w:eastAsia="宋体"/>
          <w:color w:val="0000FF"/>
          <w:lang w:val="en-US" w:eastAsia="zh-CN"/>
        </w:rPr>
        <w:t>10</w:t>
      </w:r>
      <w:r>
        <w:rPr>
          <w:color w:val="0000FF"/>
          <w:spacing w:val="-1"/>
        </w:rPr>
        <w:t>万头，根据《新疆维吾尔自治区生活用水</w:t>
      </w:r>
      <w:r>
        <w:rPr>
          <w:color w:val="0000FF"/>
          <w:spacing w:val="-4"/>
        </w:rPr>
        <w:t>定额》中小牲畜用水定额为</w:t>
      </w:r>
      <w:r>
        <w:rPr>
          <w:rFonts w:ascii="Times New Roman" w:hAnsi="Times New Roman" w:eastAsia="Times New Roman"/>
          <w:color w:val="0000FF"/>
        </w:rPr>
        <w:t>8L/</w:t>
      </w:r>
      <w:r>
        <w:rPr>
          <w:color w:val="0000FF"/>
        </w:rPr>
        <w:t>（只</w:t>
      </w:r>
      <w:r>
        <w:rPr>
          <w:rFonts w:ascii="Times New Roman" w:hAnsi="Times New Roman" w:eastAsia="Times New Roman"/>
          <w:color w:val="0000FF"/>
        </w:rPr>
        <w:t>•d</w:t>
      </w:r>
      <w:r>
        <w:rPr>
          <w:color w:val="0000FF"/>
        </w:rPr>
        <w:t>），</w:t>
      </w:r>
      <w:r>
        <w:rPr>
          <w:color w:val="0000FF"/>
          <w:spacing w:val="-1"/>
        </w:rPr>
        <w:t>为新鲜用水。项目全年羊育肥饲养时</w:t>
      </w:r>
      <w:r>
        <w:rPr>
          <w:color w:val="0000FF"/>
          <w:spacing w:val="-20"/>
        </w:rPr>
        <w:t>间按</w:t>
      </w:r>
      <w:r>
        <w:rPr>
          <w:rFonts w:ascii="Times New Roman" w:hAnsi="Times New Roman" w:eastAsia="Times New Roman"/>
          <w:color w:val="0000FF"/>
        </w:rPr>
        <w:t>365</w:t>
      </w:r>
      <w:r>
        <w:rPr>
          <w:color w:val="0000FF"/>
          <w:spacing w:val="-6"/>
        </w:rPr>
        <w:t>天计，则总饮水量为</w:t>
      </w:r>
      <w:r>
        <w:rPr>
          <w:rFonts w:hint="eastAsia"/>
          <w:color w:val="0000FF"/>
          <w:spacing w:val="-6"/>
          <w:lang w:val="en-US" w:eastAsia="zh-CN"/>
        </w:rPr>
        <w:t>292000</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/a</w:t>
      </w:r>
      <w:r>
        <w:rPr>
          <w:color w:val="0000FF"/>
        </w:rPr>
        <w:t>。</w:t>
      </w:r>
    </w:p>
    <w:p>
      <w:pPr>
        <w:pStyle w:val="7"/>
        <w:spacing w:before="1" w:line="364" w:lineRule="auto"/>
        <w:ind w:right="455" w:firstLine="480"/>
        <w:rPr>
          <w:color w:val="0000FF"/>
        </w:rPr>
      </w:pPr>
      <w:r>
        <w:rPr>
          <w:color w:val="0000FF"/>
        </w:rPr>
        <w:t>②消毒用水：项目进场需对车辆进行消毒处理，设置消毒池，每车消毒耗</w:t>
      </w:r>
      <w:r>
        <w:rPr>
          <w:color w:val="0000FF"/>
          <w:spacing w:val="-15"/>
        </w:rPr>
        <w:t>水约为</w:t>
      </w:r>
      <w:r>
        <w:rPr>
          <w:rFonts w:ascii="Times New Roman" w:hAnsi="Times New Roman" w:eastAsia="Times New Roman"/>
          <w:color w:val="0000FF"/>
          <w:spacing w:val="-4"/>
        </w:rPr>
        <w:t>0.05m</w:t>
      </w:r>
      <w:r>
        <w:rPr>
          <w:rFonts w:ascii="Times New Roman" w:hAnsi="Times New Roman" w:eastAsia="Times New Roman"/>
          <w:color w:val="0000FF"/>
          <w:spacing w:val="-4"/>
          <w:position w:val="8"/>
          <w:sz w:val="15"/>
        </w:rPr>
        <w:t>3</w:t>
      </w:r>
      <w:r>
        <w:rPr>
          <w:color w:val="0000FF"/>
          <w:spacing w:val="-7"/>
        </w:rPr>
        <w:t>，进入厂区车辆平均约</w:t>
      </w:r>
      <w:r>
        <w:rPr>
          <w:rFonts w:ascii="Times New Roman" w:hAnsi="Times New Roman" w:eastAsia="Times New Roman"/>
          <w:color w:val="0000FF"/>
        </w:rPr>
        <w:t>2</w:t>
      </w:r>
      <w:r>
        <w:rPr>
          <w:color w:val="0000FF"/>
        </w:rPr>
        <w:t>辆</w:t>
      </w:r>
      <w:r>
        <w:rPr>
          <w:rFonts w:ascii="Times New Roman" w:hAnsi="Times New Roman" w:eastAsia="Times New Roman"/>
          <w:color w:val="0000FF"/>
          <w:spacing w:val="-6"/>
        </w:rPr>
        <w:t>/d</w:t>
      </w:r>
      <w:r>
        <w:rPr>
          <w:color w:val="0000FF"/>
          <w:spacing w:val="-7"/>
        </w:rPr>
        <w:t>，则每天车辆消毒用水量为</w:t>
      </w:r>
      <w:r>
        <w:rPr>
          <w:rFonts w:ascii="Times New Roman" w:hAnsi="Times New Roman" w:eastAsia="Times New Roman"/>
          <w:color w:val="0000FF"/>
        </w:rPr>
        <w:t>0.1m</w:t>
      </w:r>
      <w:r>
        <w:rPr>
          <w:rFonts w:ascii="Times New Roman" w:hAnsi="Times New Roman" w:eastAsia="Times New Roman"/>
          <w:color w:val="0000FF"/>
          <w:position w:val="8"/>
          <w:sz w:val="15"/>
        </w:rPr>
        <w:t>3</w:t>
      </w:r>
      <w:r>
        <w:rPr>
          <w:rFonts w:ascii="Times New Roman" w:hAnsi="Times New Roman" w:eastAsia="Times New Roman"/>
          <w:color w:val="0000FF"/>
        </w:rPr>
        <w:t>/d</w:t>
      </w:r>
      <w:r>
        <w:rPr>
          <w:color w:val="0000FF"/>
          <w:spacing w:val="-13"/>
        </w:rPr>
        <w:t>。</w:t>
      </w:r>
      <w:r>
        <w:rPr>
          <w:color w:val="0000FF"/>
        </w:rPr>
        <w:t>消毒用水量较小，不会在厂区形成径流，随之蒸发。</w:t>
      </w:r>
    </w:p>
    <w:p>
      <w:pPr>
        <w:pStyle w:val="7"/>
        <w:spacing w:before="2" w:line="364" w:lineRule="auto"/>
        <w:ind w:right="572" w:firstLine="480"/>
        <w:jc w:val="both"/>
        <w:rPr>
          <w:color w:val="0000FF"/>
        </w:rPr>
      </w:pPr>
      <w:r>
        <w:rPr>
          <w:color w:val="0000FF"/>
          <w:spacing w:val="-4"/>
        </w:rPr>
        <w:t>③绿化用水：</w:t>
      </w:r>
      <w:r>
        <w:rPr>
          <w:rFonts w:hint="eastAsia" w:ascii="Times New Roman" w:hAnsi="Times New Roman" w:eastAsia="宋体" w:cs="Times New Roman"/>
          <w:color w:val="0000FF"/>
          <w:sz w:val="24"/>
          <w:lang w:val="en-US" w:eastAsia="zh-CN"/>
        </w:rPr>
        <w:t>项目建成后将形成</w:t>
      </w:r>
      <w:r>
        <w:rPr>
          <w:rFonts w:hint="eastAsia" w:ascii="Times New Roman" w:hAnsi="Times New Roman" w:cs="Times New Roman"/>
          <w:color w:val="0000FF"/>
          <w:sz w:val="24"/>
          <w:lang w:val="en-US" w:eastAsia="zh-CN"/>
        </w:rPr>
        <w:t>4.66</w:t>
      </w:r>
      <w:r>
        <w:rPr>
          <w:rFonts w:hint="eastAsia" w:ascii="Times New Roman" w:hAnsi="Times New Roman" w:eastAsia="宋体" w:cs="Times New Roman"/>
          <w:color w:val="0000FF"/>
          <w:sz w:val="24"/>
          <w:lang w:val="en-US" w:eastAsia="zh-CN"/>
        </w:rPr>
        <w:t>亩（约合</w:t>
      </w:r>
      <w:r>
        <w:rPr>
          <w:rFonts w:hint="eastAsia" w:ascii="Times New Roman" w:hAnsi="Times New Roman" w:cs="Times New Roman"/>
          <w:color w:val="0000FF"/>
          <w:sz w:val="24"/>
          <w:lang w:val="en-US" w:eastAsia="zh-CN"/>
        </w:rPr>
        <w:t>3109.5</w:t>
      </w:r>
      <w:r>
        <w:rPr>
          <w:rFonts w:hint="eastAsia" w:ascii="Times New Roman" w:hAnsi="Times New Roman" w:eastAsia="宋体" w:cs="Times New Roman"/>
          <w:color w:val="0000FF"/>
          <w:sz w:val="24"/>
          <w:lang w:val="en-US" w:eastAsia="zh-CN"/>
        </w:rPr>
        <w:t>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lang w:val="en-US" w:eastAsia="zh-CN"/>
        </w:rPr>
        <w:t>）绿化，绿化率15%</w:t>
      </w:r>
      <w:r>
        <w:rPr>
          <w:color w:val="0000FF"/>
        </w:rPr>
        <w:t>，</w:t>
      </w:r>
      <w:r>
        <w:rPr>
          <w:color w:val="0000FF"/>
          <w:spacing w:val="-2"/>
        </w:rPr>
        <w:t>根据《新疆维</w:t>
      </w:r>
      <w:r>
        <w:rPr>
          <w:color w:val="0000FF"/>
          <w:spacing w:val="-7"/>
        </w:rPr>
        <w:t>吾尔自治区生活用水定额》，南疆绿化用水定额为</w:t>
      </w:r>
      <w:r>
        <w:rPr>
          <w:rFonts w:ascii="Times New Roman" w:hAnsi="Times New Roman" w:eastAsia="Times New Roman"/>
          <w:color w:val="0000FF"/>
        </w:rPr>
        <w:t>500</w:t>
      </w:r>
      <w:r>
        <w:rPr>
          <w:color w:val="0000FF"/>
        </w:rPr>
        <w:t>～</w:t>
      </w:r>
      <w:r>
        <w:rPr>
          <w:rFonts w:ascii="Times New Roman" w:hAnsi="Times New Roman" w:eastAsia="Times New Roman"/>
          <w:color w:val="0000FF"/>
        </w:rPr>
        <w:t>600m</w:t>
      </w:r>
      <w:r>
        <w:rPr>
          <w:rFonts w:ascii="Times New Roman" w:hAnsi="Times New Roman" w:eastAsia="Times New Roman"/>
          <w:color w:val="0000FF"/>
          <w:position w:val="8"/>
          <w:sz w:val="15"/>
        </w:rPr>
        <w:t>3</w:t>
      </w:r>
      <w:r>
        <w:rPr>
          <w:rFonts w:ascii="Times New Roman" w:hAnsi="Times New Roman" w:eastAsia="Times New Roman"/>
          <w:color w:val="0000FF"/>
        </w:rPr>
        <w:t>/</w:t>
      </w:r>
      <w:r>
        <w:rPr>
          <w:color w:val="0000FF"/>
        </w:rPr>
        <w:t>（亩</w:t>
      </w:r>
      <w:r>
        <w:rPr>
          <w:rFonts w:ascii="Times New Roman" w:hAnsi="Times New Roman" w:eastAsia="Times New Roman"/>
          <w:color w:val="0000FF"/>
        </w:rPr>
        <w:t>•</w:t>
      </w:r>
      <w:r>
        <w:rPr>
          <w:color w:val="0000FF"/>
        </w:rPr>
        <w:t>年</w:t>
      </w:r>
      <w:r>
        <w:rPr>
          <w:color w:val="0000FF"/>
          <w:spacing w:val="-19"/>
        </w:rPr>
        <w:t>）</w:t>
      </w:r>
      <w:r>
        <w:rPr>
          <w:color w:val="0000FF"/>
          <w:spacing w:val="-7"/>
        </w:rPr>
        <w:t>，此处</w:t>
      </w:r>
      <w:r>
        <w:rPr>
          <w:color w:val="0000FF"/>
          <w:spacing w:val="-26"/>
        </w:rPr>
        <w:t>取</w:t>
      </w:r>
      <w:r>
        <w:rPr>
          <w:rFonts w:ascii="Times New Roman" w:hAnsi="Times New Roman" w:eastAsia="Times New Roman"/>
          <w:color w:val="0000FF"/>
          <w:spacing w:val="-3"/>
        </w:rPr>
        <w:t>500m</w:t>
      </w:r>
      <w:r>
        <w:rPr>
          <w:rFonts w:ascii="Times New Roman" w:hAnsi="Times New Roman" w:eastAsia="Times New Roman"/>
          <w:color w:val="0000FF"/>
          <w:spacing w:val="-3"/>
          <w:position w:val="8"/>
          <w:sz w:val="15"/>
        </w:rPr>
        <w:t>3</w:t>
      </w:r>
      <w:r>
        <w:rPr>
          <w:rFonts w:ascii="Times New Roman" w:hAnsi="Times New Roman" w:eastAsia="Times New Roman"/>
          <w:color w:val="0000FF"/>
          <w:spacing w:val="-3"/>
        </w:rPr>
        <w:t>/</w:t>
      </w:r>
      <w:r>
        <w:rPr>
          <w:color w:val="0000FF"/>
          <w:spacing w:val="-3"/>
        </w:rPr>
        <w:t>（</w:t>
      </w:r>
      <w:r>
        <w:rPr>
          <w:color w:val="0000FF"/>
        </w:rPr>
        <w:t>亩</w:t>
      </w:r>
      <w:r>
        <w:rPr>
          <w:rFonts w:ascii="Times New Roman" w:hAnsi="Times New Roman" w:eastAsia="Times New Roman"/>
          <w:color w:val="0000FF"/>
        </w:rPr>
        <w:t>•</w:t>
      </w:r>
      <w:r>
        <w:rPr>
          <w:color w:val="0000FF"/>
        </w:rPr>
        <w:t>年</w:t>
      </w:r>
      <w:r>
        <w:rPr>
          <w:color w:val="0000FF"/>
          <w:spacing w:val="-14"/>
        </w:rPr>
        <w:t>）</w:t>
      </w:r>
      <w:r>
        <w:rPr>
          <w:color w:val="0000FF"/>
          <w:spacing w:val="-8"/>
        </w:rPr>
        <w:t>，则运营期年用水量约</w:t>
      </w:r>
      <w:r>
        <w:rPr>
          <w:rFonts w:hint="eastAsia"/>
          <w:color w:val="0000FF"/>
          <w:spacing w:val="-8"/>
          <w:lang w:val="en-US" w:eastAsia="zh-CN"/>
        </w:rPr>
        <w:t>2330</w:t>
      </w:r>
      <w:r>
        <w:rPr>
          <w:rFonts w:ascii="Times New Roman" w:hAnsi="Times New Roman" w:eastAsia="Times New Roman"/>
          <w:color w:val="0000FF"/>
          <w:spacing w:val="-3"/>
        </w:rPr>
        <w:t>m</w:t>
      </w:r>
      <w:r>
        <w:rPr>
          <w:rFonts w:ascii="Times New Roman" w:hAnsi="Times New Roman" w:eastAsia="Times New Roman"/>
          <w:color w:val="0000FF"/>
          <w:spacing w:val="-3"/>
          <w:position w:val="8"/>
          <w:sz w:val="15"/>
        </w:rPr>
        <w:t>3</w:t>
      </w:r>
      <w:r>
        <w:rPr>
          <w:rFonts w:ascii="Times New Roman" w:hAnsi="Times New Roman" w:eastAsia="Times New Roman"/>
          <w:color w:val="0000FF"/>
          <w:spacing w:val="-3"/>
        </w:rPr>
        <w:t>/a</w:t>
      </w:r>
      <w:r>
        <w:rPr>
          <w:color w:val="0000FF"/>
          <w:spacing w:val="-3"/>
        </w:rPr>
        <w:t>（</w:t>
      </w:r>
      <w:r>
        <w:rPr>
          <w:rFonts w:hint="eastAsia" w:ascii="Times New Roman" w:hAnsi="Times New Roman" w:eastAsia="宋体"/>
          <w:color w:val="0000FF"/>
          <w:spacing w:val="-3"/>
          <w:lang w:val="en-US" w:eastAsia="zh-CN"/>
        </w:rPr>
        <w:t>90.4</w:t>
      </w:r>
      <w:r>
        <w:rPr>
          <w:rFonts w:ascii="Times New Roman" w:hAnsi="Times New Roman" w:eastAsia="Times New Roman"/>
          <w:color w:val="0000FF"/>
          <w:spacing w:val="-3"/>
        </w:rPr>
        <w:t>m</w:t>
      </w:r>
      <w:r>
        <w:rPr>
          <w:rFonts w:ascii="Times New Roman" w:hAnsi="Times New Roman" w:eastAsia="Times New Roman"/>
          <w:color w:val="0000FF"/>
          <w:spacing w:val="-3"/>
          <w:position w:val="8"/>
          <w:sz w:val="15"/>
        </w:rPr>
        <w:t>3</w:t>
      </w:r>
      <w:r>
        <w:rPr>
          <w:rFonts w:ascii="Times New Roman" w:hAnsi="Times New Roman" w:eastAsia="Times New Roman"/>
          <w:color w:val="0000FF"/>
          <w:spacing w:val="-3"/>
        </w:rPr>
        <w:t>/d</w:t>
      </w:r>
      <w:r>
        <w:rPr>
          <w:color w:val="0000FF"/>
          <w:spacing w:val="-3"/>
        </w:rPr>
        <w:t>）</w:t>
      </w:r>
      <w:r>
        <w:rPr>
          <w:color w:val="0000FF"/>
          <w:spacing w:val="-2"/>
        </w:rPr>
        <w:t>，绿化用水全部被植物和土壤吸收。</w:t>
      </w:r>
    </w:p>
    <w:p>
      <w:pPr>
        <w:pStyle w:val="18"/>
        <w:numPr>
          <w:ilvl w:val="3"/>
          <w:numId w:val="20"/>
        </w:numPr>
        <w:tabs>
          <w:tab w:val="left" w:pos="1320"/>
        </w:tabs>
        <w:spacing w:before="12" w:after="0" w:line="240" w:lineRule="auto"/>
        <w:ind w:left="1320" w:right="0" w:hanging="780"/>
        <w:jc w:val="left"/>
        <w:rPr>
          <w:sz w:val="24"/>
        </w:rPr>
      </w:pPr>
      <w:bookmarkStart w:id="120" w:name="3.1.5.2 排水工程"/>
      <w:bookmarkEnd w:id="120"/>
      <w:bookmarkStart w:id="121" w:name="3.1.5.2 排水工程"/>
      <w:bookmarkEnd w:id="121"/>
      <w:r>
        <w:rPr>
          <w:sz w:val="24"/>
        </w:rPr>
        <w:t>排水工程</w:t>
      </w:r>
    </w:p>
    <w:p>
      <w:pPr>
        <w:pStyle w:val="7"/>
        <w:keepNext w:val="0"/>
        <w:keepLines w:val="0"/>
        <w:pageBreakBefore w:val="0"/>
        <w:widowControl w:val="0"/>
        <w:kinsoku/>
        <w:wordWrap/>
        <w:overflowPunct/>
        <w:topLinePunct w:val="0"/>
        <w:autoSpaceDE w:val="0"/>
        <w:autoSpaceDN w:val="0"/>
        <w:bidi w:val="0"/>
        <w:adjustRightInd/>
        <w:snapToGrid/>
        <w:spacing w:before="168" w:line="360" w:lineRule="auto"/>
        <w:ind w:left="567" w:right="567" w:firstLine="482"/>
        <w:jc w:val="both"/>
        <w:textAlignment w:val="auto"/>
        <w:rPr>
          <w:color w:val="0000FF"/>
        </w:rPr>
      </w:pPr>
      <w:r>
        <w:rPr>
          <w:color w:val="0000FF"/>
          <w:spacing w:val="-7"/>
        </w:rPr>
        <w:t>本项目根据养殖场内地形，基地场地排水采用无组织排水。在施工中将场地</w:t>
      </w:r>
      <w:r>
        <w:rPr>
          <w:color w:val="0000FF"/>
          <w:spacing w:val="-10"/>
        </w:rPr>
        <w:t>适当填方，略高于周围地坪，以使建筑有良好的视角，并为雨水的排放提供便利</w:t>
      </w:r>
      <w:r>
        <w:rPr>
          <w:color w:val="0000FF"/>
        </w:rPr>
        <w:t>条件，地表雨水均排入周围绿化带。</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567" w:right="567" w:firstLine="452" w:firstLineChars="200"/>
        <w:jc w:val="both"/>
        <w:textAlignment w:val="auto"/>
        <w:rPr>
          <w:color w:val="0000FF"/>
        </w:rPr>
      </w:pPr>
      <w:r>
        <w:rPr>
          <w:color w:val="0000FF"/>
          <w:spacing w:val="-7"/>
        </w:rPr>
        <w:t>本项目采用干清粪工艺，不产生圈舍冲洗废水；羊饮水一部分参与羊的新陈</w:t>
      </w:r>
      <w:r>
        <w:rPr>
          <w:color w:val="0000FF"/>
          <w:spacing w:val="-11"/>
        </w:rPr>
        <w:t>代谢，另一部分饮水以尿液的方式排放，根据《畜禽养殖业污染治理工程技术规</w:t>
      </w:r>
      <w:r>
        <w:rPr>
          <w:color w:val="0000FF"/>
          <w:spacing w:val="-14"/>
        </w:rPr>
        <w:t>范》中附录</w:t>
      </w:r>
      <w:r>
        <w:rPr>
          <w:rFonts w:ascii="Times New Roman" w:hAnsi="Times New Roman" w:eastAsia="Times New Roman"/>
          <w:color w:val="0000FF"/>
        </w:rPr>
        <w:t>A</w:t>
      </w:r>
      <w:r>
        <w:rPr>
          <w:color w:val="0000FF"/>
          <w:spacing w:val="-7"/>
        </w:rPr>
        <w:t>中可知，每头每天排放尿液约</w:t>
      </w:r>
      <w:r>
        <w:rPr>
          <w:rFonts w:ascii="Times New Roman" w:hAnsi="Times New Roman" w:eastAsia="Times New Roman"/>
          <w:color w:val="0000FF"/>
        </w:rPr>
        <w:t>10L/</w:t>
      </w:r>
      <w:r>
        <w:rPr>
          <w:color w:val="0000FF"/>
        </w:rPr>
        <w:t>（头</w:t>
      </w:r>
      <w:r>
        <w:rPr>
          <w:rFonts w:ascii="Times New Roman" w:hAnsi="Times New Roman" w:eastAsia="Times New Roman"/>
          <w:color w:val="0000FF"/>
          <w:spacing w:val="-3"/>
        </w:rPr>
        <w:t>•d</w:t>
      </w:r>
      <w:r>
        <w:rPr>
          <w:color w:val="0000FF"/>
          <w:spacing w:val="-3"/>
        </w:rPr>
        <w:t>），</w:t>
      </w:r>
      <w:r>
        <w:rPr>
          <w:color w:val="0000FF"/>
          <w:spacing w:val="-2"/>
        </w:rPr>
        <w:t>羊排放的尿液很小，</w:t>
      </w:r>
      <w:r>
        <w:rPr>
          <w:color w:val="0000FF"/>
          <w:spacing w:val="-6"/>
        </w:rPr>
        <w:t>经类比分析，肉羊在圈养期间，羊尿的排放量约为</w:t>
      </w:r>
      <w:r>
        <w:rPr>
          <w:rFonts w:ascii="Times New Roman" w:hAnsi="Times New Roman" w:eastAsia="Times New Roman"/>
          <w:color w:val="0000FF"/>
        </w:rPr>
        <w:t>0.66L/</w:t>
      </w:r>
      <w:r>
        <w:rPr>
          <w:color w:val="0000FF"/>
        </w:rPr>
        <w:t>（只</w:t>
      </w:r>
      <w:r>
        <w:rPr>
          <w:rFonts w:ascii="Times New Roman" w:hAnsi="Times New Roman" w:eastAsia="Times New Roman"/>
          <w:color w:val="0000FF"/>
          <w:spacing w:val="-4"/>
        </w:rPr>
        <w:t>•d</w:t>
      </w:r>
      <w:r>
        <w:rPr>
          <w:color w:val="0000FF"/>
          <w:spacing w:val="-4"/>
        </w:rPr>
        <w:t>）</w:t>
      </w:r>
      <w:r>
        <w:rPr>
          <w:color w:val="0000FF"/>
          <w:spacing w:val="-2"/>
        </w:rPr>
        <w:t>，则羊尿的产</w:t>
      </w:r>
      <w:r>
        <w:rPr>
          <w:color w:val="0000FF"/>
          <w:spacing w:val="-18"/>
        </w:rPr>
        <w:t>生量为</w:t>
      </w:r>
      <w:r>
        <w:rPr>
          <w:rFonts w:hint="eastAsia"/>
          <w:color w:val="0000FF"/>
          <w:spacing w:val="-18"/>
          <w:lang w:val="en-US" w:eastAsia="zh-CN"/>
        </w:rPr>
        <w:t>24090</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/a</w:t>
      </w:r>
      <w:r>
        <w:rPr>
          <w:color w:val="0000FF"/>
        </w:rPr>
        <w:t>（</w:t>
      </w:r>
      <w:r>
        <w:rPr>
          <w:rFonts w:hint="eastAsia"/>
          <w:color w:val="0000FF"/>
          <w:lang w:val="en-US" w:eastAsia="zh-CN"/>
        </w:rPr>
        <w:t>66</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/d</w:t>
      </w:r>
      <w:r>
        <w:rPr>
          <w:color w:val="0000FF"/>
        </w:rPr>
        <w:t>），</w:t>
      </w:r>
      <w:r>
        <w:rPr>
          <w:color w:val="0000FF"/>
          <w:spacing w:val="-1"/>
        </w:rPr>
        <w:t>项目区夏季蒸发量很大，羊尿主要和粪便混合在一起，每日及时清除，不进入排水系统。</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567" w:right="220" w:rightChars="100" w:firstLine="464" w:firstLineChars="200"/>
        <w:jc w:val="both"/>
        <w:textAlignment w:val="auto"/>
        <w:rPr>
          <w:rFonts w:hint="eastAsia" w:ascii="宋体" w:hAnsi="宋体" w:eastAsia="宋体" w:cs="宋体"/>
          <w:color w:val="FF0000"/>
          <w:spacing w:val="-1"/>
          <w:sz w:val="24"/>
          <w:szCs w:val="24"/>
          <w:lang w:val="en-US" w:eastAsia="zh-CN"/>
        </w:rPr>
      </w:pPr>
      <w:r>
        <w:rPr>
          <w:color w:val="0000FF"/>
          <w:spacing w:val="-4"/>
        </w:rPr>
        <w:t>养殖场每栋羊舍地面为混凝土地面，上端覆盖</w:t>
      </w:r>
      <w:r>
        <w:rPr>
          <w:rFonts w:ascii="Times New Roman" w:eastAsia="Times New Roman"/>
          <w:color w:val="0000FF"/>
        </w:rPr>
        <w:t>35cm</w:t>
      </w:r>
      <w:r>
        <w:rPr>
          <w:color w:val="0000FF"/>
          <w:spacing w:val="-6"/>
        </w:rPr>
        <w:t>厚垫料，铺设垫床一般</w:t>
      </w:r>
      <w:r>
        <w:rPr>
          <w:color w:val="0000FF"/>
          <w:spacing w:val="-9"/>
        </w:rPr>
        <w:t>采用废气杂草、农作物秸秆粉、锯末等农业材料，羊排泄的尿液被垫料吸收、蒸发，项目定期对垫料层和粪便进行清理更换，不需要对畜舍进行冲洗，无冲栏废</w:t>
      </w:r>
      <w:r>
        <w:rPr>
          <w:color w:val="0000FF"/>
          <w:spacing w:val="-10"/>
        </w:rPr>
        <w:t>水产生。垫料层与羊粪一起进入堆肥厂堆肥发酵，废水实现综合利用，不外排。</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567" w:right="220" w:rightChars="100"/>
        <w:jc w:val="both"/>
        <w:textAlignment w:val="auto"/>
      </w:pPr>
      <w:r>
        <w:t>项目给排水情况见表</w:t>
      </w:r>
      <w:r>
        <w:rPr>
          <w:rFonts w:ascii="Times New Roman" w:eastAsia="Times New Roman"/>
        </w:rPr>
        <w:t>3.1-5</w:t>
      </w:r>
      <w:r>
        <w:t>，项目水平衡图见图</w:t>
      </w:r>
      <w:r>
        <w:rPr>
          <w:rFonts w:ascii="Times New Roman" w:eastAsia="Times New Roman"/>
        </w:rPr>
        <w:t>3.1-3</w:t>
      </w:r>
      <w: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567" w:right="0" w:firstLine="482"/>
        <w:textAlignment w:val="auto"/>
        <w:rPr>
          <w:color w:val="0000FF"/>
        </w:rPr>
      </w:pPr>
    </w:p>
    <w:p>
      <w:pPr>
        <w:pStyle w:val="7"/>
        <w:spacing w:before="2"/>
        <w:ind w:left="1020"/>
      </w:pPr>
    </w:p>
    <w:p>
      <w:pPr>
        <w:pStyle w:val="7"/>
        <w:spacing w:before="2"/>
        <w:ind w:left="1020"/>
      </w:pPr>
    </w:p>
    <w:p>
      <w:pPr>
        <w:pStyle w:val="7"/>
        <w:spacing w:before="2"/>
        <w:ind w:left="1020"/>
      </w:pPr>
    </w:p>
    <w:p>
      <w:pPr>
        <w:pStyle w:val="7"/>
        <w:spacing w:before="2"/>
        <w:ind w:left="1020"/>
      </w:pPr>
    </w:p>
    <w:p>
      <w:pPr>
        <w:pStyle w:val="7"/>
        <w:spacing w:before="2"/>
        <w:ind w:left="1020"/>
      </w:pPr>
    </w:p>
    <w:p>
      <w:pPr>
        <w:pStyle w:val="7"/>
        <w:spacing w:before="2"/>
        <w:ind w:left="1020"/>
      </w:pPr>
    </w:p>
    <w:p>
      <w:pPr>
        <w:pStyle w:val="7"/>
        <w:spacing w:before="2"/>
        <w:ind w:left="1020"/>
      </w:pPr>
    </w:p>
    <w:p>
      <w:pPr>
        <w:pStyle w:val="7"/>
        <w:spacing w:before="2"/>
        <w:ind w:left="1020"/>
      </w:pPr>
    </w:p>
    <w:p>
      <w:pPr>
        <w:pStyle w:val="7"/>
        <w:spacing w:before="2"/>
        <w:ind w:left="1020"/>
      </w:pPr>
    </w:p>
    <w:p>
      <w:pPr>
        <w:pStyle w:val="7"/>
        <w:bidi w:val="0"/>
        <w:jc w:val="center"/>
      </w:pPr>
      <w:r>
        <w:t>表</w:t>
      </w:r>
      <w:r>
        <w:rPr>
          <w:rFonts w:ascii="Times New Roman" w:eastAsia="Times New Roman"/>
        </w:rPr>
        <w:t>3.1-5</w:t>
      </w:r>
      <w:r>
        <w:rPr>
          <w:rFonts w:ascii="Times New Roman" w:eastAsia="Times New Roman"/>
        </w:rPr>
        <w:tab/>
      </w:r>
      <w:r>
        <w:t>项目给排水情况表</w:t>
      </w:r>
    </w:p>
    <w:p>
      <w:pPr>
        <w:pStyle w:val="7"/>
        <w:spacing w:before="3"/>
        <w:ind w:left="0"/>
        <w:rPr>
          <w:b/>
          <w:sz w:val="6"/>
        </w:rPr>
      </w:pP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388"/>
        <w:gridCol w:w="1287"/>
        <w:gridCol w:w="1565"/>
        <w:gridCol w:w="1643"/>
        <w:gridCol w:w="1055"/>
        <w:gridCol w:w="1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96" w:type="dxa"/>
          </w:tcPr>
          <w:p>
            <w:pPr>
              <w:pStyle w:val="19"/>
              <w:spacing w:before="1" w:line="270" w:lineRule="atLeast"/>
              <w:ind w:left="142" w:right="132"/>
              <w:jc w:val="left"/>
              <w:rPr>
                <w:b/>
                <w:sz w:val="21"/>
              </w:rPr>
            </w:pPr>
            <w:r>
              <w:rPr>
                <w:b/>
                <w:sz w:val="21"/>
              </w:rPr>
              <w:t>序号</w:t>
            </w:r>
          </w:p>
        </w:tc>
        <w:tc>
          <w:tcPr>
            <w:tcW w:w="1388" w:type="dxa"/>
          </w:tcPr>
          <w:p>
            <w:pPr>
              <w:pStyle w:val="19"/>
              <w:spacing w:before="136"/>
              <w:ind w:left="147" w:right="137"/>
              <w:rPr>
                <w:b/>
                <w:sz w:val="21"/>
              </w:rPr>
            </w:pPr>
            <w:r>
              <w:rPr>
                <w:b/>
                <w:sz w:val="21"/>
              </w:rPr>
              <w:t>项目</w:t>
            </w:r>
          </w:p>
        </w:tc>
        <w:tc>
          <w:tcPr>
            <w:tcW w:w="1287" w:type="dxa"/>
          </w:tcPr>
          <w:p>
            <w:pPr>
              <w:pStyle w:val="19"/>
              <w:spacing w:before="136"/>
              <w:ind w:left="201" w:right="192"/>
              <w:rPr>
                <w:b/>
                <w:sz w:val="21"/>
              </w:rPr>
            </w:pPr>
            <w:r>
              <w:rPr>
                <w:b/>
                <w:sz w:val="21"/>
              </w:rPr>
              <w:t>单位数量</w:t>
            </w:r>
          </w:p>
        </w:tc>
        <w:tc>
          <w:tcPr>
            <w:tcW w:w="1565" w:type="dxa"/>
          </w:tcPr>
          <w:p>
            <w:pPr>
              <w:pStyle w:val="19"/>
              <w:spacing w:before="136"/>
              <w:ind w:left="108" w:right="97"/>
              <w:rPr>
                <w:b/>
                <w:sz w:val="21"/>
              </w:rPr>
            </w:pPr>
            <w:r>
              <w:rPr>
                <w:b/>
                <w:sz w:val="21"/>
              </w:rPr>
              <w:t>用水量标准</w:t>
            </w:r>
          </w:p>
        </w:tc>
        <w:tc>
          <w:tcPr>
            <w:tcW w:w="1643" w:type="dxa"/>
          </w:tcPr>
          <w:p>
            <w:pPr>
              <w:pStyle w:val="19"/>
              <w:spacing w:before="136"/>
              <w:ind w:left="90" w:right="45"/>
              <w:rPr>
                <w:b/>
                <w:sz w:val="21"/>
              </w:rPr>
            </w:pPr>
            <w:r>
              <w:rPr>
                <w:b/>
                <w:sz w:val="21"/>
              </w:rPr>
              <w:t>用水量（</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/a</w:t>
            </w:r>
            <w:r>
              <w:rPr>
                <w:b/>
                <w:sz w:val="21"/>
              </w:rPr>
              <w:t>）</w:t>
            </w:r>
          </w:p>
        </w:tc>
        <w:tc>
          <w:tcPr>
            <w:tcW w:w="1055" w:type="dxa"/>
          </w:tcPr>
          <w:p>
            <w:pPr>
              <w:pStyle w:val="19"/>
              <w:spacing w:before="14" w:line="255" w:lineRule="exact"/>
              <w:ind w:left="212"/>
              <w:jc w:val="left"/>
              <w:rPr>
                <w:b/>
                <w:sz w:val="21"/>
              </w:rPr>
            </w:pPr>
            <w:r>
              <w:rPr>
                <w:b/>
                <w:sz w:val="21"/>
              </w:rPr>
              <w:t>损耗量</w:t>
            </w:r>
          </w:p>
          <w:p>
            <w:pPr>
              <w:pStyle w:val="19"/>
              <w:spacing w:line="255" w:lineRule="exact"/>
              <w:ind w:left="114"/>
              <w:jc w:val="left"/>
              <w:rPr>
                <w:b/>
                <w:sz w:val="21"/>
              </w:rPr>
            </w:pPr>
            <w:r>
              <w:rPr>
                <w:b/>
                <w:sz w:val="21"/>
              </w:rPr>
              <w:t>（</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/a</w:t>
            </w:r>
            <w:r>
              <w:rPr>
                <w:b/>
                <w:sz w:val="21"/>
              </w:rPr>
              <w:t>）</w:t>
            </w:r>
          </w:p>
        </w:tc>
        <w:tc>
          <w:tcPr>
            <w:tcW w:w="1085" w:type="dxa"/>
          </w:tcPr>
          <w:p>
            <w:pPr>
              <w:pStyle w:val="19"/>
              <w:spacing w:before="14" w:line="255" w:lineRule="exact"/>
              <w:ind w:left="225"/>
              <w:jc w:val="left"/>
              <w:rPr>
                <w:b/>
                <w:sz w:val="21"/>
              </w:rPr>
            </w:pPr>
            <w:r>
              <w:rPr>
                <w:b/>
                <w:sz w:val="21"/>
              </w:rPr>
              <w:t>排水量</w:t>
            </w:r>
          </w:p>
          <w:p>
            <w:pPr>
              <w:pStyle w:val="19"/>
              <w:spacing w:line="255" w:lineRule="exact"/>
              <w:ind w:left="129"/>
              <w:jc w:val="left"/>
              <w:rPr>
                <w:b/>
                <w:sz w:val="21"/>
              </w:rPr>
            </w:pPr>
            <w:r>
              <w:rPr>
                <w:b/>
                <w:sz w:val="21"/>
              </w:rPr>
              <w:t>（</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/a</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96" w:type="dxa"/>
          </w:tcPr>
          <w:p>
            <w:pPr>
              <w:pStyle w:val="19"/>
              <w:spacing w:before="44"/>
              <w:ind w:right="183"/>
              <w:jc w:val="right"/>
              <w:rPr>
                <w:rFonts w:ascii="Times New Roman"/>
                <w:sz w:val="21"/>
              </w:rPr>
            </w:pPr>
            <w:r>
              <w:rPr>
                <w:rFonts w:ascii="Times New Roman"/>
                <w:w w:val="99"/>
                <w:sz w:val="21"/>
              </w:rPr>
              <w:t>1</w:t>
            </w:r>
          </w:p>
        </w:tc>
        <w:tc>
          <w:tcPr>
            <w:tcW w:w="1388" w:type="dxa"/>
          </w:tcPr>
          <w:p>
            <w:pPr>
              <w:pStyle w:val="19"/>
              <w:spacing w:before="27"/>
              <w:ind w:left="147" w:right="141"/>
              <w:rPr>
                <w:color w:val="0000FF"/>
                <w:sz w:val="21"/>
              </w:rPr>
            </w:pPr>
            <w:r>
              <w:rPr>
                <w:color w:val="0000FF"/>
                <w:sz w:val="21"/>
              </w:rPr>
              <w:t>羊饮用水量</w:t>
            </w:r>
          </w:p>
        </w:tc>
        <w:tc>
          <w:tcPr>
            <w:tcW w:w="1287" w:type="dxa"/>
          </w:tcPr>
          <w:p>
            <w:pPr>
              <w:pStyle w:val="19"/>
              <w:spacing w:before="27"/>
              <w:ind w:left="201" w:right="192"/>
              <w:rPr>
                <w:color w:val="0000FF"/>
                <w:sz w:val="21"/>
              </w:rPr>
            </w:pPr>
            <w:r>
              <w:rPr>
                <w:rFonts w:hint="eastAsia" w:ascii="Times New Roman" w:eastAsia="宋体"/>
                <w:color w:val="0000FF"/>
                <w:sz w:val="21"/>
                <w:lang w:val="en-US" w:eastAsia="zh-CN"/>
              </w:rPr>
              <w:t>100000</w:t>
            </w:r>
            <w:r>
              <w:rPr>
                <w:color w:val="0000FF"/>
                <w:sz w:val="21"/>
              </w:rPr>
              <w:t>头</w:t>
            </w:r>
          </w:p>
        </w:tc>
        <w:tc>
          <w:tcPr>
            <w:tcW w:w="1565" w:type="dxa"/>
          </w:tcPr>
          <w:p>
            <w:pPr>
              <w:pStyle w:val="19"/>
              <w:spacing w:before="27"/>
              <w:ind w:left="108" w:right="97"/>
              <w:rPr>
                <w:color w:val="0000FF"/>
                <w:sz w:val="21"/>
              </w:rPr>
            </w:pPr>
            <w:r>
              <w:rPr>
                <w:rFonts w:ascii="Times New Roman" w:hAnsi="Times New Roman" w:eastAsia="Times New Roman"/>
                <w:color w:val="0000FF"/>
                <w:sz w:val="21"/>
              </w:rPr>
              <w:t>8L/</w:t>
            </w:r>
            <w:r>
              <w:rPr>
                <w:color w:val="0000FF"/>
                <w:sz w:val="21"/>
              </w:rPr>
              <w:t>（只</w:t>
            </w:r>
            <w:r>
              <w:rPr>
                <w:rFonts w:ascii="Times New Roman" w:hAnsi="Times New Roman" w:eastAsia="Times New Roman"/>
                <w:color w:val="0000FF"/>
                <w:sz w:val="21"/>
              </w:rPr>
              <w:t>•d</w:t>
            </w:r>
            <w:r>
              <w:rPr>
                <w:color w:val="0000FF"/>
                <w:sz w:val="21"/>
              </w:rPr>
              <w:t>）</w:t>
            </w:r>
          </w:p>
        </w:tc>
        <w:tc>
          <w:tcPr>
            <w:tcW w:w="1643" w:type="dxa"/>
          </w:tcPr>
          <w:p>
            <w:pPr>
              <w:pStyle w:val="19"/>
              <w:spacing w:before="44"/>
              <w:ind w:left="55" w:right="45"/>
              <w:rPr>
                <w:rFonts w:ascii="Times New Roman"/>
                <w:color w:val="0000FF"/>
                <w:sz w:val="21"/>
              </w:rPr>
            </w:pPr>
            <w:r>
              <w:rPr>
                <w:rFonts w:hint="eastAsia"/>
                <w:color w:val="0000FF"/>
                <w:spacing w:val="-6"/>
                <w:lang w:val="en-US" w:eastAsia="zh-CN"/>
              </w:rPr>
              <w:t>292000</w:t>
            </w:r>
          </w:p>
        </w:tc>
        <w:tc>
          <w:tcPr>
            <w:tcW w:w="1055" w:type="dxa"/>
          </w:tcPr>
          <w:p>
            <w:pPr>
              <w:pStyle w:val="19"/>
              <w:spacing w:before="44"/>
              <w:ind w:left="113" w:right="103"/>
              <w:rPr>
                <w:rFonts w:ascii="Times New Roman"/>
                <w:color w:val="0000FF"/>
                <w:sz w:val="21"/>
              </w:rPr>
            </w:pPr>
            <w:r>
              <w:rPr>
                <w:rFonts w:ascii="Times New Roman"/>
                <w:color w:val="0000FF"/>
                <w:sz w:val="21"/>
              </w:rPr>
              <w:t>80373</w:t>
            </w:r>
          </w:p>
        </w:tc>
        <w:tc>
          <w:tcPr>
            <w:tcW w:w="1085" w:type="dxa"/>
          </w:tcPr>
          <w:p>
            <w:pPr>
              <w:pStyle w:val="19"/>
              <w:spacing w:before="44"/>
              <w:ind w:left="8"/>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96" w:type="dxa"/>
          </w:tcPr>
          <w:p>
            <w:pPr>
              <w:pStyle w:val="19"/>
              <w:spacing w:before="42"/>
              <w:ind w:right="183"/>
              <w:jc w:val="right"/>
              <w:rPr>
                <w:rFonts w:ascii="Times New Roman"/>
                <w:sz w:val="21"/>
              </w:rPr>
            </w:pPr>
            <w:r>
              <w:rPr>
                <w:rFonts w:ascii="Times New Roman"/>
                <w:w w:val="99"/>
                <w:sz w:val="21"/>
              </w:rPr>
              <w:t>2</w:t>
            </w:r>
          </w:p>
        </w:tc>
        <w:tc>
          <w:tcPr>
            <w:tcW w:w="1388" w:type="dxa"/>
          </w:tcPr>
          <w:p>
            <w:pPr>
              <w:pStyle w:val="19"/>
              <w:spacing w:before="28"/>
              <w:ind w:left="147" w:right="139"/>
              <w:rPr>
                <w:color w:val="0000FF"/>
                <w:sz w:val="21"/>
              </w:rPr>
            </w:pPr>
            <w:r>
              <w:rPr>
                <w:color w:val="0000FF"/>
                <w:sz w:val="21"/>
              </w:rPr>
              <w:t>消毒</w:t>
            </w:r>
          </w:p>
        </w:tc>
        <w:tc>
          <w:tcPr>
            <w:tcW w:w="1287" w:type="dxa"/>
          </w:tcPr>
          <w:p>
            <w:pPr>
              <w:pStyle w:val="19"/>
              <w:spacing w:before="28"/>
              <w:ind w:left="200" w:right="192"/>
              <w:rPr>
                <w:rFonts w:ascii="Times New Roman" w:eastAsia="Times New Roman"/>
                <w:color w:val="0000FF"/>
                <w:sz w:val="21"/>
              </w:rPr>
            </w:pPr>
            <w:r>
              <w:rPr>
                <w:rFonts w:ascii="Times New Roman" w:eastAsia="Times New Roman"/>
                <w:color w:val="0000FF"/>
                <w:sz w:val="21"/>
              </w:rPr>
              <w:t>2</w:t>
            </w:r>
            <w:r>
              <w:rPr>
                <w:color w:val="0000FF"/>
                <w:sz w:val="21"/>
              </w:rPr>
              <w:t>辆</w:t>
            </w:r>
            <w:r>
              <w:rPr>
                <w:rFonts w:ascii="Times New Roman" w:eastAsia="Times New Roman"/>
                <w:color w:val="0000FF"/>
                <w:sz w:val="21"/>
              </w:rPr>
              <w:t>/d</w:t>
            </w:r>
          </w:p>
        </w:tc>
        <w:tc>
          <w:tcPr>
            <w:tcW w:w="1565" w:type="dxa"/>
          </w:tcPr>
          <w:p>
            <w:pPr>
              <w:pStyle w:val="19"/>
              <w:spacing w:before="28"/>
              <w:ind w:left="108" w:right="100"/>
              <w:rPr>
                <w:color w:val="0000FF"/>
                <w:sz w:val="21"/>
              </w:rPr>
            </w:pPr>
            <w:r>
              <w:rPr>
                <w:rFonts w:ascii="Times New Roman" w:eastAsia="Times New Roman"/>
                <w:color w:val="0000FF"/>
                <w:sz w:val="21"/>
              </w:rPr>
              <w:t>0.05m</w:t>
            </w:r>
            <w:r>
              <w:rPr>
                <w:rFonts w:ascii="Times New Roman" w:eastAsia="Times New Roman"/>
                <w:color w:val="0000FF"/>
                <w:position w:val="7"/>
                <w:sz w:val="13"/>
              </w:rPr>
              <w:t>3</w:t>
            </w:r>
            <w:r>
              <w:rPr>
                <w:rFonts w:ascii="Times New Roman" w:eastAsia="Times New Roman"/>
                <w:color w:val="0000FF"/>
                <w:sz w:val="21"/>
              </w:rPr>
              <w:t>/</w:t>
            </w:r>
            <w:r>
              <w:rPr>
                <w:color w:val="0000FF"/>
                <w:sz w:val="21"/>
              </w:rPr>
              <w:t>辆</w:t>
            </w:r>
          </w:p>
        </w:tc>
        <w:tc>
          <w:tcPr>
            <w:tcW w:w="1643" w:type="dxa"/>
          </w:tcPr>
          <w:p>
            <w:pPr>
              <w:pStyle w:val="19"/>
              <w:spacing w:before="42"/>
              <w:ind w:left="55" w:right="45"/>
              <w:rPr>
                <w:rFonts w:ascii="Times New Roman"/>
                <w:color w:val="0000FF"/>
                <w:sz w:val="21"/>
              </w:rPr>
            </w:pPr>
            <w:r>
              <w:rPr>
                <w:rFonts w:ascii="Times New Roman"/>
                <w:color w:val="0000FF"/>
                <w:sz w:val="21"/>
              </w:rPr>
              <w:t>36.5</w:t>
            </w:r>
          </w:p>
        </w:tc>
        <w:tc>
          <w:tcPr>
            <w:tcW w:w="1055" w:type="dxa"/>
          </w:tcPr>
          <w:p>
            <w:pPr>
              <w:pStyle w:val="19"/>
              <w:spacing w:before="42"/>
              <w:ind w:left="113" w:right="101"/>
              <w:rPr>
                <w:rFonts w:ascii="Times New Roman"/>
                <w:color w:val="0000FF"/>
                <w:sz w:val="21"/>
              </w:rPr>
            </w:pPr>
            <w:r>
              <w:rPr>
                <w:rFonts w:ascii="Times New Roman"/>
                <w:color w:val="0000FF"/>
                <w:sz w:val="21"/>
              </w:rPr>
              <w:t>36.5</w:t>
            </w:r>
          </w:p>
        </w:tc>
        <w:tc>
          <w:tcPr>
            <w:tcW w:w="1085" w:type="dxa"/>
          </w:tcPr>
          <w:p>
            <w:pPr>
              <w:pStyle w:val="19"/>
              <w:spacing w:before="42"/>
              <w:ind w:left="8"/>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96" w:type="dxa"/>
          </w:tcPr>
          <w:p>
            <w:pPr>
              <w:pStyle w:val="19"/>
              <w:spacing w:before="43"/>
              <w:ind w:right="183"/>
              <w:jc w:val="right"/>
              <w:rPr>
                <w:rFonts w:ascii="Times New Roman"/>
                <w:sz w:val="21"/>
              </w:rPr>
            </w:pPr>
            <w:r>
              <w:rPr>
                <w:rFonts w:ascii="Times New Roman"/>
                <w:w w:val="99"/>
                <w:sz w:val="21"/>
              </w:rPr>
              <w:t>3</w:t>
            </w:r>
          </w:p>
        </w:tc>
        <w:tc>
          <w:tcPr>
            <w:tcW w:w="1388" w:type="dxa"/>
          </w:tcPr>
          <w:p>
            <w:pPr>
              <w:pStyle w:val="19"/>
              <w:spacing w:before="27"/>
              <w:ind w:left="147" w:right="141"/>
              <w:rPr>
                <w:color w:val="0000FF"/>
                <w:sz w:val="21"/>
              </w:rPr>
            </w:pPr>
            <w:r>
              <w:rPr>
                <w:color w:val="0000FF"/>
                <w:sz w:val="21"/>
              </w:rPr>
              <w:t>绿化用水</w:t>
            </w:r>
          </w:p>
        </w:tc>
        <w:tc>
          <w:tcPr>
            <w:tcW w:w="1287" w:type="dxa"/>
          </w:tcPr>
          <w:p>
            <w:pPr>
              <w:pStyle w:val="19"/>
              <w:spacing w:before="27"/>
              <w:ind w:left="199" w:right="192"/>
              <w:rPr>
                <w:color w:val="0000FF"/>
                <w:sz w:val="21"/>
              </w:rPr>
            </w:pPr>
            <w:r>
              <w:rPr>
                <w:rFonts w:hint="eastAsia"/>
                <w:color w:val="0000FF"/>
                <w:sz w:val="21"/>
                <w:lang w:val="en-US" w:eastAsia="zh-CN"/>
              </w:rPr>
              <w:t>4.66</w:t>
            </w:r>
            <w:r>
              <w:rPr>
                <w:color w:val="0000FF"/>
                <w:sz w:val="21"/>
              </w:rPr>
              <w:t>亩</w:t>
            </w:r>
          </w:p>
        </w:tc>
        <w:tc>
          <w:tcPr>
            <w:tcW w:w="1565" w:type="dxa"/>
          </w:tcPr>
          <w:p>
            <w:pPr>
              <w:pStyle w:val="19"/>
              <w:spacing w:before="27"/>
              <w:ind w:left="108" w:right="-15"/>
              <w:rPr>
                <w:color w:val="0000FF"/>
                <w:sz w:val="21"/>
              </w:rPr>
            </w:pPr>
            <w:r>
              <w:rPr>
                <w:rFonts w:ascii="Times New Roman" w:hAnsi="Times New Roman" w:eastAsia="Times New Roman"/>
                <w:color w:val="0000FF"/>
                <w:spacing w:val="1"/>
                <w:w w:val="99"/>
                <w:sz w:val="21"/>
              </w:rPr>
              <w:t>500</w:t>
            </w:r>
            <w:r>
              <w:rPr>
                <w:rFonts w:ascii="Times New Roman" w:hAnsi="Times New Roman" w:eastAsia="Times New Roman"/>
                <w:color w:val="0000FF"/>
                <w:spacing w:val="-2"/>
                <w:w w:val="99"/>
                <w:sz w:val="21"/>
              </w:rPr>
              <w:t>m</w:t>
            </w:r>
            <w:r>
              <w:rPr>
                <w:rFonts w:ascii="Times New Roman" w:hAnsi="Times New Roman" w:eastAsia="Times New Roman"/>
                <w:color w:val="0000FF"/>
                <w:spacing w:val="-7"/>
                <w:w w:val="105"/>
                <w:position w:val="7"/>
                <w:sz w:val="13"/>
              </w:rPr>
              <w:t>3</w:t>
            </w:r>
            <w:r>
              <w:rPr>
                <w:color w:val="0000FF"/>
                <w:spacing w:val="-202"/>
                <w:w w:val="99"/>
                <w:sz w:val="21"/>
              </w:rPr>
              <w:t>（</w:t>
            </w:r>
            <w:r>
              <w:rPr>
                <w:rFonts w:ascii="Times New Roman" w:hAnsi="Times New Roman" w:eastAsia="Times New Roman"/>
                <w:color w:val="0000FF"/>
                <w:w w:val="99"/>
                <w:sz w:val="21"/>
              </w:rPr>
              <w:t>/</w:t>
            </w:r>
            <w:r>
              <w:rPr>
                <w:color w:val="0000FF"/>
                <w:spacing w:val="-1"/>
                <w:w w:val="99"/>
                <w:sz w:val="21"/>
              </w:rPr>
              <w:t>亩</w:t>
            </w:r>
            <w:r>
              <w:rPr>
                <w:rFonts w:ascii="Times New Roman" w:hAnsi="Times New Roman" w:eastAsia="Times New Roman"/>
                <w:color w:val="0000FF"/>
                <w:spacing w:val="1"/>
                <w:w w:val="99"/>
                <w:sz w:val="21"/>
              </w:rPr>
              <w:t>•</w:t>
            </w:r>
            <w:r>
              <w:rPr>
                <w:color w:val="0000FF"/>
                <w:spacing w:val="-1"/>
                <w:w w:val="99"/>
                <w:sz w:val="21"/>
              </w:rPr>
              <w:t>年</w:t>
            </w:r>
            <w:r>
              <w:rPr>
                <w:color w:val="0000FF"/>
                <w:w w:val="99"/>
                <w:sz w:val="21"/>
              </w:rPr>
              <w:t>）</w:t>
            </w:r>
          </w:p>
        </w:tc>
        <w:tc>
          <w:tcPr>
            <w:tcW w:w="1643" w:type="dxa"/>
          </w:tcPr>
          <w:p>
            <w:pPr>
              <w:pStyle w:val="19"/>
              <w:spacing w:before="43"/>
              <w:ind w:left="55" w:right="45"/>
              <w:rPr>
                <w:rFonts w:hint="default" w:ascii="Times New Roman" w:eastAsia="宋体"/>
                <w:color w:val="0000FF"/>
                <w:sz w:val="21"/>
                <w:lang w:val="en-US" w:eastAsia="zh-CN"/>
              </w:rPr>
            </w:pPr>
            <w:r>
              <w:rPr>
                <w:rFonts w:hint="eastAsia" w:ascii="Times New Roman"/>
                <w:color w:val="0000FF"/>
                <w:sz w:val="21"/>
                <w:lang w:val="en-US" w:eastAsia="zh-CN"/>
              </w:rPr>
              <w:t>2330</w:t>
            </w:r>
          </w:p>
        </w:tc>
        <w:tc>
          <w:tcPr>
            <w:tcW w:w="1055" w:type="dxa"/>
          </w:tcPr>
          <w:p>
            <w:pPr>
              <w:pStyle w:val="19"/>
              <w:spacing w:before="43"/>
              <w:ind w:left="113" w:right="103"/>
              <w:rPr>
                <w:rFonts w:hint="default" w:ascii="Times New Roman" w:eastAsia="宋体"/>
                <w:color w:val="0000FF"/>
                <w:sz w:val="21"/>
                <w:lang w:val="en-US" w:eastAsia="zh-CN"/>
              </w:rPr>
            </w:pPr>
            <w:r>
              <w:rPr>
                <w:rFonts w:hint="eastAsia" w:ascii="Times New Roman"/>
                <w:color w:val="0000FF"/>
                <w:sz w:val="21"/>
                <w:lang w:val="en-US" w:eastAsia="zh-CN"/>
              </w:rPr>
              <w:t>2330</w:t>
            </w:r>
          </w:p>
        </w:tc>
        <w:tc>
          <w:tcPr>
            <w:tcW w:w="1085" w:type="dxa"/>
          </w:tcPr>
          <w:p>
            <w:pPr>
              <w:pStyle w:val="19"/>
              <w:spacing w:before="43"/>
              <w:ind w:left="8"/>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84" w:type="dxa"/>
            <w:gridSpan w:val="2"/>
          </w:tcPr>
          <w:p>
            <w:pPr>
              <w:pStyle w:val="19"/>
              <w:spacing w:before="27"/>
              <w:ind w:left="709" w:right="704"/>
              <w:rPr>
                <w:sz w:val="21"/>
              </w:rPr>
            </w:pPr>
            <w:r>
              <w:rPr>
                <w:sz w:val="21"/>
              </w:rPr>
              <w:t>小计</w:t>
            </w:r>
          </w:p>
        </w:tc>
        <w:tc>
          <w:tcPr>
            <w:tcW w:w="1287" w:type="dxa"/>
          </w:tcPr>
          <w:p>
            <w:pPr>
              <w:pStyle w:val="19"/>
              <w:spacing w:before="44"/>
              <w:ind w:left="7"/>
              <w:rPr>
                <w:rFonts w:ascii="Times New Roman"/>
                <w:sz w:val="21"/>
              </w:rPr>
            </w:pPr>
            <w:r>
              <w:rPr>
                <w:rFonts w:ascii="Times New Roman"/>
                <w:w w:val="99"/>
                <w:sz w:val="21"/>
              </w:rPr>
              <w:t>/</w:t>
            </w:r>
          </w:p>
        </w:tc>
        <w:tc>
          <w:tcPr>
            <w:tcW w:w="1565" w:type="dxa"/>
          </w:tcPr>
          <w:p>
            <w:pPr>
              <w:pStyle w:val="19"/>
              <w:spacing w:before="44"/>
              <w:ind w:left="6"/>
              <w:rPr>
                <w:rFonts w:ascii="Times New Roman"/>
                <w:sz w:val="21"/>
              </w:rPr>
            </w:pPr>
            <w:r>
              <w:rPr>
                <w:rFonts w:ascii="Times New Roman"/>
                <w:w w:val="99"/>
                <w:sz w:val="21"/>
              </w:rPr>
              <w:t>/</w:t>
            </w:r>
          </w:p>
        </w:tc>
        <w:tc>
          <w:tcPr>
            <w:tcW w:w="1643" w:type="dxa"/>
          </w:tcPr>
          <w:p>
            <w:pPr>
              <w:pStyle w:val="19"/>
              <w:spacing w:before="44"/>
              <w:ind w:left="55" w:right="45"/>
              <w:jc w:val="center"/>
              <w:rPr>
                <w:rFonts w:hint="default" w:ascii="Times New Roman" w:eastAsia="宋体"/>
                <w:color w:val="0000FF"/>
                <w:sz w:val="21"/>
                <w:lang w:val="en-US" w:eastAsia="zh-CN"/>
              </w:rPr>
            </w:pPr>
            <w:r>
              <w:rPr>
                <w:rFonts w:hint="eastAsia" w:ascii="Times New Roman"/>
                <w:color w:val="0000FF"/>
                <w:sz w:val="21"/>
                <w:lang w:val="en-US" w:eastAsia="zh-CN"/>
              </w:rPr>
              <w:t>294366.5</w:t>
            </w:r>
          </w:p>
        </w:tc>
        <w:tc>
          <w:tcPr>
            <w:tcW w:w="1055" w:type="dxa"/>
          </w:tcPr>
          <w:p>
            <w:pPr>
              <w:pStyle w:val="19"/>
              <w:spacing w:before="44"/>
              <w:ind w:left="113" w:right="103"/>
              <w:rPr>
                <w:rFonts w:hint="default" w:ascii="Times New Roman" w:eastAsia="宋体"/>
                <w:color w:val="0000FF"/>
                <w:sz w:val="21"/>
                <w:lang w:val="en-US" w:eastAsia="zh-CN"/>
              </w:rPr>
            </w:pPr>
            <w:r>
              <w:rPr>
                <w:rFonts w:hint="eastAsia" w:ascii="Times New Roman"/>
                <w:color w:val="0000FF"/>
                <w:sz w:val="21"/>
                <w:lang w:val="en-US" w:eastAsia="zh-CN"/>
              </w:rPr>
              <w:t>82739.5</w:t>
            </w:r>
          </w:p>
        </w:tc>
        <w:tc>
          <w:tcPr>
            <w:tcW w:w="1085" w:type="dxa"/>
          </w:tcPr>
          <w:p>
            <w:pPr>
              <w:pStyle w:val="19"/>
              <w:spacing w:before="44"/>
              <w:ind w:left="8"/>
              <w:rPr>
                <w:rFonts w:ascii="Times New Roman"/>
                <w:sz w:val="21"/>
              </w:rPr>
            </w:pPr>
            <w:r>
              <w:rPr>
                <w:rFonts w:ascii="Times New Roman"/>
                <w:w w:val="99"/>
                <w:sz w:val="21"/>
              </w:rPr>
              <w:t>0</w:t>
            </w:r>
          </w:p>
        </w:tc>
      </w:tr>
    </w:tbl>
    <w:p>
      <w:pPr>
        <w:pStyle w:val="7"/>
        <w:spacing w:before="11"/>
        <w:ind w:left="0"/>
        <w:rPr>
          <w:b/>
        </w:rPr>
      </w:pP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tabs>
          <w:tab w:val="left" w:pos="6211"/>
        </w:tabs>
        <w:spacing w:before="79"/>
        <w:ind w:left="5819" w:leftChars="1663" w:hanging="2160" w:hangingChars="900"/>
        <w:rPr>
          <w:rFonts w:hint="default" w:ascii="Times New Roman" w:eastAsia="仿宋"/>
          <w:lang w:val="en-US" w:eastAsia="zh-CN"/>
        </w:rPr>
      </w:pPr>
      <w:r>
        <w:pict>
          <v:group id="_x0000_s1066" o:spid="_x0000_s1066" o:spt="203" style="position:absolute;left:0pt;margin-left:139.45pt;margin-top:16.6pt;height:153.45pt;width:325.75pt;mso-position-horizontal-relative:page;z-index:251686912;mso-width-relative:page;mso-height-relative:page;" coordorigin="2756,-1100" coordsize="6515,3069">
            <o:lock v:ext="edit" aspectratio="f"/>
            <v:shape id="_x0000_s1067" o:spid="_x0000_s1067" o:spt="75" type="#_x0000_t75" style="position:absolute;left:2756;top:-1100;height:3069;width:6515;" filled="f" o:preferrelative="t" stroked="f" coordsize="21600,21600">
              <v:path/>
              <v:fill on="f" focussize="0,0"/>
              <v:stroke on="f"/>
              <v:imagedata r:id="rId37" o:title=""/>
              <o:lock v:ext="edit" aspectratio="t"/>
            </v:shape>
            <v:shape id="_x0000_s1068" o:spid="_x0000_s1068" o:spt="202" type="#_x0000_t202" style="position:absolute;left:4144;top:-889;height:266;width:620;" filled="f" stroked="f" coordsize="21600,21600">
              <v:path/>
              <v:fill on="f" focussize="0,0"/>
              <v:stroke on="f"/>
              <v:imagedata o:title=""/>
              <o:lock v:ext="edit" aspectratio="f"/>
              <v:textbox inset="0mm,0mm,0mm,0mm">
                <w:txbxContent>
                  <w:p>
                    <w:pPr>
                      <w:spacing w:before="0" w:line="266" w:lineRule="exact"/>
                      <w:ind w:left="0" w:right="0" w:firstLine="0"/>
                      <w:jc w:val="left"/>
                      <w:rPr>
                        <w:rFonts w:hint="default" w:ascii="Times New Roman" w:eastAsia="宋体"/>
                        <w:sz w:val="24"/>
                        <w:lang w:val="en-US" w:eastAsia="zh-CN"/>
                      </w:rPr>
                    </w:pPr>
                  </w:p>
                </w:txbxContent>
              </v:textbox>
            </v:shape>
            <v:shape id="_x0000_s1069" o:spid="_x0000_s1069" o:spt="202" type="#_x0000_t202" style="position:absolute;left:5294;top:-677;height:240;width:98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羊饮用水</w:t>
                    </w:r>
                  </w:p>
                </w:txbxContent>
              </v:textbox>
            </v:shape>
            <v:shape id="_x0000_s1070" o:spid="_x0000_s1070" o:spt="202" type="#_x0000_t202" style="position:absolute;left:6916;top:-903;height:675;width:500;" filled="f" stroked="f" coordsize="21600,21600">
              <v:path/>
              <v:fill on="f" focussize="0,0"/>
              <v:stroke on="f"/>
              <v:imagedata o:title=""/>
              <o:lock v:ext="edit" aspectratio="f"/>
              <v:textbox inset="0mm,0mm,0mm,0mm">
                <w:txbxContent>
                  <w:p>
                    <w:pPr>
                      <w:spacing w:before="0" w:line="266" w:lineRule="exact"/>
                      <w:ind w:left="0" w:right="0" w:firstLine="0"/>
                      <w:jc w:val="left"/>
                      <w:rPr>
                        <w:rFonts w:ascii="Times New Roman"/>
                        <w:sz w:val="24"/>
                      </w:rPr>
                    </w:pPr>
                  </w:p>
                  <w:p>
                    <w:pPr>
                      <w:spacing w:before="135" w:line="274" w:lineRule="exact"/>
                      <w:ind w:left="192" w:right="0" w:firstLine="0"/>
                      <w:jc w:val="left"/>
                      <w:rPr>
                        <w:sz w:val="24"/>
                      </w:rPr>
                    </w:pPr>
                    <w:r>
                      <w:rPr>
                        <w:sz w:val="24"/>
                      </w:rPr>
                      <w:t>尿</w:t>
                    </w:r>
                  </w:p>
                </w:txbxContent>
              </v:textbox>
            </v:shape>
            <v:shape id="_x0000_s1071" o:spid="_x0000_s1071" o:spt="202" type="#_x0000_t202" style="position:absolute;left:7984;top:-704;height:240;width:50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垫料</w:t>
                    </w:r>
                  </w:p>
                </w:txbxContent>
              </v:textbox>
            </v:shape>
            <v:shape id="_x0000_s1072" o:spid="_x0000_s1072" o:spt="202" type="#_x0000_t202" style="position:absolute;left:5402;top:-121;height:266;width:1160;" filled="f" stroked="f" coordsize="21600,21600">
              <v:path/>
              <v:fill on="f" focussize="0,0"/>
              <v:stroke on="f"/>
              <v:imagedata o:title=""/>
              <o:lock v:ext="edit" aspectratio="f"/>
              <v:textbox inset="0mm,0mm,0mm,0mm">
                <w:txbxContent>
                  <w:p>
                    <w:pPr>
                      <w:spacing w:before="0" w:line="266" w:lineRule="exact"/>
                      <w:ind w:left="0" w:right="0" w:firstLine="0"/>
                      <w:jc w:val="left"/>
                      <w:rPr>
                        <w:rFonts w:ascii="Times New Roman" w:eastAsia="Times New Roman"/>
                        <w:sz w:val="24"/>
                      </w:rPr>
                    </w:pPr>
                    <w:r>
                      <w:rPr>
                        <w:sz w:val="24"/>
                      </w:rPr>
                      <w:t>损耗</w:t>
                    </w:r>
                    <w:r>
                      <w:rPr>
                        <w:rFonts w:hint="eastAsia" w:ascii="仿宋" w:eastAsia="仿宋"/>
                        <w:sz w:val="24"/>
                      </w:rPr>
                      <w:t>：</w:t>
                    </w:r>
                    <w:r>
                      <w:rPr>
                        <w:rFonts w:ascii="Times New Roman" w:eastAsia="Times New Roman"/>
                        <w:sz w:val="24"/>
                      </w:rPr>
                      <w:t>36.5</w:t>
                    </w:r>
                  </w:p>
                </w:txbxContent>
              </v:textbox>
            </v:shape>
            <v:shape id="_x0000_s1073" o:spid="_x0000_s1073" o:spt="202" type="#_x0000_t202" style="position:absolute;left:2810;top:129;height:266;width:920;" filled="f" stroked="f" coordsize="21600,21600">
              <v:path/>
              <v:fill on="f" focussize="0,0"/>
              <v:stroke on="f"/>
              <v:imagedata o:title=""/>
              <o:lock v:ext="edit" aspectratio="f"/>
              <v:textbox inset="0mm,0mm,0mm,0mm">
                <w:txbxContent>
                  <w:p>
                    <w:pPr>
                      <w:spacing w:before="0" w:line="266" w:lineRule="exact"/>
                      <w:ind w:left="0" w:right="0" w:firstLine="0"/>
                      <w:jc w:val="left"/>
                      <w:rPr>
                        <w:rFonts w:hint="default" w:ascii="Times New Roman" w:eastAsia="宋体"/>
                        <w:sz w:val="24"/>
                        <w:lang w:val="en-US" w:eastAsia="zh-CN"/>
                      </w:rPr>
                    </w:pPr>
                    <w:r>
                      <w:rPr>
                        <w:rFonts w:hint="eastAsia" w:ascii="Times New Roman"/>
                        <w:sz w:val="24"/>
                        <w:lang w:val="en-US" w:eastAsia="zh-CN"/>
                      </w:rPr>
                      <w:t>294366.5</w:t>
                    </w:r>
                  </w:p>
                </w:txbxContent>
              </v:textbox>
            </v:shape>
            <v:shape id="_x0000_s1074" o:spid="_x0000_s1074" o:spt="202" type="#_x0000_t202" style="position:absolute;left:4245;top:294;height:266;width:440;" filled="f" stroked="f" coordsize="21600,21600">
              <v:path/>
              <v:fill on="f" focussize="0,0"/>
              <v:stroke on="f"/>
              <v:imagedata o:title=""/>
              <o:lock v:ext="edit" aspectratio="f"/>
              <v:textbox inset="0mm,0mm,0mm,0mm">
                <w:txbxContent>
                  <w:p>
                    <w:pPr>
                      <w:spacing w:before="0" w:line="266" w:lineRule="exact"/>
                      <w:ind w:left="0" w:right="0" w:firstLine="0"/>
                      <w:jc w:val="left"/>
                      <w:rPr>
                        <w:rFonts w:ascii="Times New Roman"/>
                        <w:sz w:val="24"/>
                      </w:rPr>
                    </w:pPr>
                    <w:r>
                      <w:rPr>
                        <w:rFonts w:ascii="Times New Roman"/>
                        <w:sz w:val="24"/>
                      </w:rPr>
                      <w:t>36.5</w:t>
                    </w:r>
                  </w:p>
                </w:txbxContent>
              </v:textbox>
            </v:shape>
            <v:shape id="_x0000_s1075" o:spid="_x0000_s1075" o:spt="202" type="#_x0000_t202" style="position:absolute;left:5332;top:583;height:240;width:98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消毒用水</w:t>
                    </w:r>
                  </w:p>
                </w:txbxContent>
              </v:textbox>
            </v:shape>
            <v:shape id="_x0000_s1076" o:spid="_x0000_s1076" o:spt="202" type="#_x0000_t202" style="position:absolute;left:4048;top:1288;height:266;width:740;" filled="f" stroked="f" coordsize="21600,21600">
              <v:path/>
              <v:fill on="f" focussize="0,0"/>
              <v:stroke on="f"/>
              <v:imagedata o:title=""/>
              <o:lock v:ext="edit" aspectratio="f"/>
              <v:textbox inset="0mm,0mm,0mm,0mm">
                <w:txbxContent>
                  <w:p>
                    <w:pPr>
                      <w:spacing w:before="0" w:line="266" w:lineRule="exact"/>
                      <w:ind w:left="0" w:right="0" w:firstLine="0"/>
                      <w:jc w:val="left"/>
                      <w:rPr>
                        <w:rFonts w:hint="default" w:ascii="Times New Roman" w:eastAsia="宋体"/>
                        <w:sz w:val="24"/>
                        <w:lang w:val="en-US" w:eastAsia="zh-CN"/>
                      </w:rPr>
                    </w:pPr>
                    <w:r>
                      <w:rPr>
                        <w:rFonts w:hint="eastAsia" w:ascii="Times New Roman"/>
                        <w:sz w:val="24"/>
                        <w:lang w:val="en-US" w:eastAsia="zh-CN"/>
                      </w:rPr>
                      <w:t>2330</w:t>
                    </w:r>
                  </w:p>
                </w:txbxContent>
              </v:textbox>
            </v:shape>
            <v:shape id="_x0000_s1077" o:spid="_x0000_s1077" o:spt="202" type="#_x0000_t202" style="position:absolute;left:5313;top:1617;height:240;width:98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绿化用水</w:t>
                    </w:r>
                  </w:p>
                </w:txbxContent>
              </v:textbox>
            </v:shape>
          </v:group>
        </w:pict>
      </w:r>
      <w:r>
        <w:t>吸收、损耗</w:t>
      </w:r>
      <w:r>
        <w:rPr>
          <w:rFonts w:hint="eastAsia" w:ascii="仿宋" w:eastAsia="仿宋"/>
        </w:rPr>
        <w:t>：</w:t>
      </w:r>
      <w:r>
        <w:rPr>
          <w:rFonts w:ascii="Times New Roman" w:eastAsia="Times New Roman"/>
        </w:rPr>
        <w:t>80373</w:t>
      </w:r>
      <w:r>
        <w:rPr>
          <w:rFonts w:ascii="Times New Roman" w:eastAsia="Times New Roman"/>
        </w:rPr>
        <w:tab/>
      </w:r>
      <w:r>
        <w:t>吸收、损耗</w:t>
      </w:r>
      <w:r>
        <w:rPr>
          <w:rFonts w:hint="eastAsia" w:ascii="仿宋" w:eastAsia="仿宋"/>
          <w:spacing w:val="-4"/>
        </w:rPr>
        <w:t>：</w:t>
      </w:r>
      <w:r>
        <w:rPr>
          <w:rFonts w:hint="eastAsia" w:ascii="Times New Roman" w:eastAsia="宋体"/>
          <w:spacing w:val="-4"/>
          <w:lang w:val="en-US" w:eastAsia="zh-CN"/>
        </w:rPr>
        <w:t>24090</w:t>
      </w:r>
    </w:p>
    <w:p>
      <w:pPr>
        <w:pStyle w:val="7"/>
        <w:ind w:left="0"/>
        <w:rPr>
          <w:rFonts w:ascii="Times New Roman"/>
        </w:rPr>
      </w:pPr>
      <w:r>
        <w:rPr>
          <w:sz w:val="24"/>
        </w:rPr>
        <w:pict>
          <v:shape id="_x0000_s1215" o:spid="_x0000_s1215" o:spt="202" type="#_x0000_t202" style="position:absolute;left:0pt;margin-left:136.45pt;margin-top:1.2pt;height:21.65pt;width:50.8pt;z-index:4096;mso-width-relative:page;mso-height-relative:page;" filled="f" stroked="f" coordsize="21600,21600">
            <v:path/>
            <v:fill on="f" focussize="0,0"/>
            <v:stroke on="f"/>
            <v:imagedata o:title=""/>
            <o:lock v:ext="edit" aspectratio="f"/>
            <v:textbox>
              <w:txbxContent>
                <w:p>
                  <w:pPr>
                    <w:rPr>
                      <w:rFonts w:hint="default" w:eastAsia="宋体"/>
                      <w:lang w:val="en-US" w:eastAsia="zh-CN"/>
                    </w:rPr>
                  </w:pPr>
                  <w:r>
                    <w:rPr>
                      <w:rFonts w:hint="eastAsia"/>
                      <w:lang w:val="en-US" w:eastAsia="zh-CN"/>
                    </w:rPr>
                    <w:t>292000</w:t>
                  </w:r>
                </w:p>
              </w:txbxContent>
            </v:textbox>
          </v:shape>
        </w:pict>
      </w:r>
      <w:r>
        <w:rPr>
          <w:sz w:val="24"/>
        </w:rPr>
        <w:pict>
          <v:shape id="_x0000_s1214" o:spid="_x0000_s1214" o:spt="202" type="#_x0000_t202" style="position:absolute;left:0pt;margin-left:46.5pt;margin-top:57.6pt;height:56.7pt;width:32.45pt;z-index:3072;mso-width-relative:page;mso-height-relative:page;" filled="f" stroked="f" coordsize="21600,21600">
            <v:path/>
            <v:fill on="f" focussize="0,0"/>
            <v:stroke on="f"/>
            <v:imagedata o:title=""/>
            <o:lock v:ext="edit" aspectratio="f"/>
            <v:textbox style="layout-flow:vertical-ideographic;">
              <w:txbxContent>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textAlignment w:val="auto"/>
                    <w:rPr>
                      <w:rFonts w:hint="eastAsia" w:eastAsia="宋体"/>
                      <w:sz w:val="24"/>
                      <w:szCs w:val="24"/>
                      <w:lang w:val="en-US" w:eastAsia="zh-CN"/>
                    </w:rPr>
                  </w:pPr>
                  <w:r>
                    <w:rPr>
                      <w:rFonts w:hint="eastAsia"/>
                      <w:sz w:val="24"/>
                      <w:szCs w:val="24"/>
                      <w:lang w:val="en-US" w:eastAsia="zh-CN"/>
                    </w:rPr>
                    <w:t>新鲜水</w:t>
                  </w:r>
                </w:p>
              </w:txbxContent>
            </v:textbox>
          </v:shape>
        </w:pict>
      </w:r>
      <w:r>
        <w:rPr>
          <w:sz w:val="24"/>
        </w:rPr>
        <w:pict>
          <v:shape id="_x0000_s1213" o:spid="_x0000_s1213" o:spt="202" type="#_x0000_t202" style="position:absolute;left:0pt;margin-left:107.25pt;margin-top:171.8pt;height:40pt;width:260pt;z-index:2048;mso-width-relative:page;mso-height-relative:page;" filled="f" stroked="f" coordsize="21600,21600">
            <v:path/>
            <v:fill on="f" focussize="0,0"/>
            <v:stroke on="f"/>
            <v:imagedata o:title=""/>
            <o:lock v:ext="edit" aspectratio="f"/>
            <v:textbox>
              <w:txbxContent>
                <w:p>
                  <w:pPr>
                    <w:pStyle w:val="7"/>
                    <w:bidi w:val="0"/>
                    <w:ind w:left="0" w:leftChars="0" w:firstLine="0" w:firstLineChars="0"/>
                    <w:jc w:val="both"/>
                    <w:rPr>
                      <w:rFonts w:ascii="Times New Roman" w:eastAsia="Times New Roman"/>
                    </w:rPr>
                  </w:pPr>
                  <w:r>
                    <w:t>图</w:t>
                  </w:r>
                  <w:r>
                    <w:rPr>
                      <w:rFonts w:ascii="Times New Roman" w:eastAsia="Times New Roman"/>
                    </w:rPr>
                    <w:t>3.1-3</w:t>
                  </w:r>
                  <w:r>
                    <w:rPr>
                      <w:rFonts w:ascii="Times New Roman" w:eastAsia="Times New Roman"/>
                    </w:rPr>
                    <w:tab/>
                  </w:r>
                  <w:r>
                    <w:t>项目水平衡示意图</w:t>
                  </w:r>
                  <w:r>
                    <w:tab/>
                  </w:r>
                  <w:r>
                    <w:t>单位：</w:t>
                  </w:r>
                  <w:r>
                    <w:rPr>
                      <w:rFonts w:ascii="Times New Roman" w:eastAsia="Times New Roman"/>
                    </w:rPr>
                    <w:t>m</w:t>
                  </w:r>
                  <w:r>
                    <w:rPr>
                      <w:rFonts w:ascii="Times New Roman" w:eastAsia="Times New Roman"/>
                      <w:position w:val="8"/>
                      <w:sz w:val="15"/>
                    </w:rPr>
                    <w:t>3</w:t>
                  </w:r>
                  <w:r>
                    <w:rPr>
                      <w:rFonts w:ascii="Times New Roman" w:eastAsia="Times New Roman"/>
                    </w:rPr>
                    <w:t>/a</w:t>
                  </w:r>
                </w:p>
                <w:p/>
              </w:txbxContent>
            </v:textbox>
          </v:shape>
        </w:pict>
      </w:r>
      <w:r>
        <w:rPr>
          <w:sz w:val="24"/>
        </w:rPr>
        <w:pict>
          <v:shape id="_x0000_s1209" o:spid="_x0000_s1209" o:spt="202" type="#_x0000_t202" style="position:absolute;left:0pt;margin-left:291.8pt;margin-top:1.55pt;height:25.85pt;width:44.7pt;z-index:2048;mso-width-relative:page;mso-height-relative:page;" filled="f" stroked="f" coordsize="21600,21600">
            <v:path/>
            <v:fill on="f" focussize="0,0"/>
            <v:stroke on="f"/>
            <v:imagedata o:title=""/>
            <o:lock v:ext="edit" aspectratio="f"/>
            <v:textbox>
              <w:txbxContent>
                <w:p>
                  <w:pPr>
                    <w:rPr>
                      <w:rFonts w:hint="default" w:eastAsia="宋体"/>
                      <w:lang w:val="en-US" w:eastAsia="zh-CN"/>
                    </w:rPr>
                  </w:pPr>
                  <w:r>
                    <w:rPr>
                      <w:rFonts w:hint="eastAsia"/>
                      <w:lang w:val="en-US" w:eastAsia="zh-CN"/>
                    </w:rPr>
                    <w:t>24090</w:t>
                  </w:r>
                </w:p>
              </w:txbxContent>
            </v:textbox>
          </v:shape>
        </w:pict>
      </w:r>
      <w:r>
        <w:br w:type="column"/>
      </w:r>
    </w:p>
    <w:p>
      <w:pPr>
        <w:pStyle w:val="7"/>
        <w:ind w:left="0"/>
        <w:rPr>
          <w:rFonts w:ascii="Times New Roman"/>
        </w:rPr>
      </w:pPr>
    </w:p>
    <w:p>
      <w:pPr>
        <w:pStyle w:val="7"/>
        <w:spacing w:before="6"/>
        <w:ind w:left="0"/>
        <w:rPr>
          <w:rFonts w:ascii="Times New Roman"/>
          <w:sz w:val="22"/>
        </w:rPr>
      </w:pPr>
    </w:p>
    <w:p>
      <w:pPr>
        <w:pStyle w:val="7"/>
        <w:ind w:left="48"/>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cols w:equalWidth="0" w:num="2">
            <w:col w:w="8132" w:space="40"/>
            <w:col w:w="1258"/>
          </w:cols>
        </w:sectPr>
      </w:pPr>
      <w:r>
        <w:t>堆肥厂</w:t>
      </w:r>
    </w:p>
    <w:p>
      <w:pPr>
        <w:pStyle w:val="18"/>
        <w:numPr>
          <w:ilvl w:val="3"/>
          <w:numId w:val="20"/>
        </w:numPr>
        <w:tabs>
          <w:tab w:val="left" w:pos="1320"/>
        </w:tabs>
        <w:spacing w:before="167" w:after="0" w:line="240" w:lineRule="auto"/>
        <w:ind w:left="1320" w:right="0" w:hanging="780"/>
        <w:jc w:val="left"/>
        <w:rPr>
          <w:sz w:val="24"/>
        </w:rPr>
      </w:pPr>
      <w:bookmarkStart w:id="122" w:name="3.1.5.3 供电工程"/>
      <w:bookmarkEnd w:id="122"/>
      <w:bookmarkStart w:id="123" w:name="3.1.5.3 供电工程"/>
      <w:bookmarkEnd w:id="123"/>
      <w:r>
        <w:rPr>
          <w:sz w:val="24"/>
        </w:rPr>
        <w:t>供电工程</w:t>
      </w:r>
    </w:p>
    <w:p>
      <w:pPr>
        <w:pStyle w:val="7"/>
        <w:spacing w:before="170" w:line="364" w:lineRule="auto"/>
        <w:ind w:right="577" w:firstLine="480"/>
        <w:jc w:val="both"/>
        <w:rPr>
          <w:color w:val="0000FF"/>
        </w:rPr>
      </w:pPr>
      <w:r>
        <w:rPr>
          <w:color w:val="0000FF"/>
          <w:spacing w:val="2"/>
        </w:rPr>
        <w:t>项目区电力主要由</w:t>
      </w:r>
      <w:r>
        <w:rPr>
          <w:rFonts w:hint="eastAsia"/>
          <w:color w:val="0000FF"/>
          <w:spacing w:val="2"/>
          <w:lang w:val="en-US" w:eastAsia="zh-CN"/>
        </w:rPr>
        <w:t>莎车</w:t>
      </w:r>
      <w:r>
        <w:rPr>
          <w:color w:val="0000FF"/>
          <w:spacing w:val="2"/>
        </w:rPr>
        <w:t>县供电公司联网供应，输电线路和电力来源配置完</w:t>
      </w:r>
      <w:r>
        <w:rPr>
          <w:color w:val="0000FF"/>
          <w:spacing w:val="-12"/>
        </w:rPr>
        <w:t>善，用电有保障，能够保证施工的供电。电源由养殖场周边道路农村低压电网引</w:t>
      </w:r>
      <w:r>
        <w:rPr>
          <w:color w:val="0000FF"/>
          <w:spacing w:val="-3"/>
        </w:rPr>
        <w:t>进建筑物，供电电压</w:t>
      </w:r>
      <w:r>
        <w:rPr>
          <w:rFonts w:ascii="Times New Roman" w:eastAsia="Times New Roman"/>
          <w:color w:val="0000FF"/>
        </w:rPr>
        <w:t>380/220V</w:t>
      </w:r>
      <w:r>
        <w:rPr>
          <w:color w:val="0000FF"/>
        </w:rPr>
        <w:t>，采用三相四线制进线。农村电网可以满足项目建设的要求。羊产业养殖场生产用电距离较近，使用方便。</w:t>
      </w:r>
    </w:p>
    <w:p>
      <w:pPr>
        <w:pStyle w:val="18"/>
        <w:numPr>
          <w:ilvl w:val="3"/>
          <w:numId w:val="20"/>
        </w:numPr>
        <w:tabs>
          <w:tab w:val="left" w:pos="1320"/>
        </w:tabs>
        <w:spacing w:before="10" w:after="0" w:line="240" w:lineRule="auto"/>
        <w:ind w:left="1320" w:right="0" w:hanging="780"/>
        <w:jc w:val="left"/>
        <w:rPr>
          <w:color w:val="0000FF"/>
          <w:sz w:val="24"/>
        </w:rPr>
      </w:pPr>
      <w:bookmarkStart w:id="124" w:name="3.1.5.4 供暖工程"/>
      <w:bookmarkEnd w:id="124"/>
      <w:bookmarkStart w:id="125" w:name="3.1.5.4 供暖工程"/>
      <w:bookmarkEnd w:id="125"/>
      <w:r>
        <w:rPr>
          <w:color w:val="0000FF"/>
          <w:sz w:val="24"/>
        </w:rPr>
        <w:t>供暖工程</w:t>
      </w:r>
    </w:p>
    <w:p>
      <w:pPr>
        <w:pStyle w:val="7"/>
        <w:spacing w:before="168"/>
        <w:ind w:left="1020"/>
        <w:rPr>
          <w:color w:val="0000FF"/>
        </w:rPr>
      </w:pPr>
      <w:r>
        <w:rPr>
          <w:color w:val="0000FF"/>
        </w:rPr>
        <w:t>本项目供暖采用电采暖。</w:t>
      </w:r>
    </w:p>
    <w:p>
      <w:pPr>
        <w:pStyle w:val="18"/>
        <w:numPr>
          <w:ilvl w:val="3"/>
          <w:numId w:val="20"/>
        </w:numPr>
        <w:tabs>
          <w:tab w:val="left" w:pos="1320"/>
        </w:tabs>
        <w:spacing w:before="167" w:after="0" w:line="240" w:lineRule="auto"/>
        <w:ind w:left="1320" w:right="0" w:hanging="780"/>
        <w:jc w:val="left"/>
        <w:rPr>
          <w:color w:val="0000FF"/>
          <w:sz w:val="24"/>
        </w:rPr>
      </w:pPr>
      <w:bookmarkStart w:id="126" w:name="3.1.5.5 交通运输工程"/>
      <w:bookmarkEnd w:id="126"/>
      <w:bookmarkStart w:id="127" w:name="3.1.5.5 交通运输工程"/>
      <w:bookmarkEnd w:id="127"/>
      <w:r>
        <w:rPr>
          <w:color w:val="0000FF"/>
          <w:sz w:val="24"/>
        </w:rPr>
        <w:t>交通运输工程</w:t>
      </w:r>
    </w:p>
    <w:p>
      <w:pPr>
        <w:pStyle w:val="7"/>
        <w:spacing w:before="171" w:line="364" w:lineRule="auto"/>
        <w:ind w:right="577" w:firstLine="480"/>
        <w:rPr>
          <w:color w:val="0000FF"/>
        </w:rPr>
      </w:pPr>
      <w:r>
        <w:rPr>
          <w:color w:val="0000FF"/>
          <w:spacing w:val="-5"/>
        </w:rPr>
        <w:t>本项目进厂的原材料和出厂的产品全部采用公路运输的方式，依托</w:t>
      </w:r>
      <w:r>
        <w:rPr>
          <w:rFonts w:hint="eastAsia"/>
          <w:color w:val="0000FF"/>
          <w:spacing w:val="-5"/>
          <w:lang w:val="en-US" w:eastAsia="zh-CN"/>
        </w:rPr>
        <w:t>莎车</w:t>
      </w:r>
      <w:r>
        <w:rPr>
          <w:color w:val="0000FF"/>
          <w:spacing w:val="-5"/>
        </w:rPr>
        <w:t>县</w:t>
      </w:r>
      <w:r>
        <w:rPr>
          <w:color w:val="0000FF"/>
        </w:rPr>
        <w:t>已有公路，不新增公路建设。</w:t>
      </w:r>
    </w:p>
    <w:p>
      <w:pPr>
        <w:pStyle w:val="7"/>
        <w:spacing w:before="143"/>
        <w:rPr>
          <w:color w:val="0000FF"/>
        </w:rPr>
      </w:pPr>
      <w:r>
        <w:rPr>
          <w:color w:val="0000FF"/>
        </w:rPr>
        <w:t>基地内道路采用戈壁石路面，基地内外形成环状道路，并与消防车道相结合。</w:t>
      </w:r>
    </w:p>
    <w:p>
      <w:pPr>
        <w:pStyle w:val="7"/>
        <w:spacing w:before="143"/>
        <w:rPr>
          <w:color w:val="0000FF"/>
        </w:rPr>
      </w:pPr>
      <w:r>
        <w:rPr>
          <w:color w:val="0000FF"/>
        </w:rPr>
        <w:t>道路宽度</w:t>
      </w:r>
      <w:r>
        <w:rPr>
          <w:rFonts w:ascii="Times New Roman" w:eastAsia="Times New Roman"/>
          <w:color w:val="0000FF"/>
        </w:rPr>
        <w:t>6</w:t>
      </w:r>
      <w:r>
        <w:rPr>
          <w:color w:val="0000FF"/>
        </w:rPr>
        <w:t>米，纵坡</w:t>
      </w:r>
      <w:r>
        <w:rPr>
          <w:rFonts w:ascii="Times New Roman" w:eastAsia="Times New Roman"/>
          <w:color w:val="0000FF"/>
        </w:rPr>
        <w:t>0.55</w:t>
      </w:r>
      <w:r>
        <w:rPr>
          <w:color w:val="0000FF"/>
        </w:rPr>
        <w:t>％，最小纵坡</w:t>
      </w:r>
      <w:r>
        <w:rPr>
          <w:rFonts w:ascii="Times New Roman" w:eastAsia="Times New Roman"/>
          <w:color w:val="0000FF"/>
        </w:rPr>
        <w:t>0.2</w:t>
      </w:r>
      <w:r>
        <w:rPr>
          <w:color w:val="0000FF"/>
        </w:rPr>
        <w:t>％。地表雨水均排入周围绿化带。</w:t>
      </w:r>
    </w:p>
    <w:p>
      <w:pPr>
        <w:pStyle w:val="18"/>
        <w:numPr>
          <w:ilvl w:val="3"/>
          <w:numId w:val="20"/>
        </w:numPr>
        <w:tabs>
          <w:tab w:val="left" w:pos="1320"/>
        </w:tabs>
        <w:spacing w:before="170" w:after="0" w:line="240" w:lineRule="auto"/>
        <w:ind w:left="1320" w:right="0" w:hanging="780"/>
        <w:jc w:val="left"/>
        <w:rPr>
          <w:color w:val="0000FF"/>
          <w:sz w:val="24"/>
        </w:rPr>
      </w:pPr>
      <w:bookmarkStart w:id="128" w:name="3.1.5.6 通风降温"/>
      <w:bookmarkEnd w:id="128"/>
      <w:bookmarkStart w:id="129" w:name="3.1.5.6 通风降温"/>
      <w:bookmarkEnd w:id="129"/>
      <w:r>
        <w:rPr>
          <w:color w:val="0000FF"/>
          <w:sz w:val="24"/>
        </w:rPr>
        <w:t>通风降温</w:t>
      </w:r>
    </w:p>
    <w:p>
      <w:pPr>
        <w:pStyle w:val="7"/>
        <w:spacing w:before="168" w:line="364" w:lineRule="auto"/>
        <w:ind w:right="577" w:firstLine="480"/>
        <w:jc w:val="both"/>
        <w:rPr>
          <w:color w:val="0000FF"/>
        </w:rPr>
      </w:pPr>
      <w:r>
        <w:rPr>
          <w:color w:val="0000FF"/>
          <w:spacing w:val="-8"/>
        </w:rPr>
        <w:t>为了保证羊养殖有个良好的环境，羊舍内气温的调节通过室内外空气交换完</w:t>
      </w:r>
      <w:r>
        <w:rPr>
          <w:color w:val="0000FF"/>
          <w:spacing w:val="-4"/>
        </w:rPr>
        <w:t>成。羊舍内安装通风风扇保证羊舍内以</w:t>
      </w:r>
      <w:r>
        <w:rPr>
          <w:rFonts w:ascii="Times New Roman" w:eastAsia="Times New Roman"/>
          <w:color w:val="0000FF"/>
        </w:rPr>
        <w:t>2m/s</w:t>
      </w:r>
      <w:r>
        <w:rPr>
          <w:color w:val="0000FF"/>
        </w:rPr>
        <w:t>的风速保持通风状态，每座羊舍有</w:t>
      </w:r>
      <w:r>
        <w:rPr>
          <w:rFonts w:ascii="Times New Roman" w:eastAsia="Times New Roman"/>
          <w:color w:val="0000FF"/>
        </w:rPr>
        <w:t>8</w:t>
      </w:r>
      <w:r>
        <w:rPr>
          <w:color w:val="0000FF"/>
        </w:rPr>
        <w:t>台风机。</w:t>
      </w:r>
    </w:p>
    <w:p>
      <w:pPr>
        <w:pStyle w:val="7"/>
        <w:spacing w:before="2"/>
        <w:ind w:left="0"/>
        <w:rPr>
          <w:sz w:val="21"/>
        </w:rPr>
      </w:pPr>
    </w:p>
    <w:p>
      <w:pPr>
        <w:pStyle w:val="5"/>
        <w:numPr>
          <w:ilvl w:val="0"/>
          <w:numId w:val="0"/>
        </w:numPr>
        <w:tabs>
          <w:tab w:val="left" w:pos="1241"/>
        </w:tabs>
        <w:spacing w:before="0" w:after="0" w:line="240" w:lineRule="auto"/>
        <w:ind w:right="0" w:rightChars="0"/>
        <w:jc w:val="left"/>
      </w:pPr>
      <w:bookmarkStart w:id="130" w:name="3.1.6 主要原辅材料及能耗"/>
      <w:bookmarkEnd w:id="130"/>
      <w:bookmarkStart w:id="131" w:name="3.1.6 主要原辅材料及能耗"/>
      <w:bookmarkEnd w:id="131"/>
      <w:r>
        <w:rPr>
          <w:rFonts w:hint="eastAsia"/>
          <w:lang w:val="en-US" w:eastAsia="zh-CN"/>
        </w:rPr>
        <w:t xml:space="preserve">3.1.6 </w:t>
      </w:r>
      <w:r>
        <w:t>主要原辅材料及能耗</w:t>
      </w:r>
    </w:p>
    <w:p>
      <w:pPr>
        <w:pStyle w:val="7"/>
        <w:spacing w:before="5"/>
        <w:ind w:left="0"/>
        <w:rPr>
          <w:b/>
          <w:sz w:val="21"/>
        </w:rPr>
      </w:pPr>
    </w:p>
    <w:p>
      <w:pPr>
        <w:pStyle w:val="7"/>
        <w:keepNext w:val="0"/>
        <w:keepLines w:val="0"/>
        <w:pageBreakBefore w:val="0"/>
        <w:widowControl w:val="0"/>
        <w:kinsoku/>
        <w:wordWrap/>
        <w:overflowPunct/>
        <w:topLinePunct w:val="0"/>
        <w:autoSpaceDE w:val="0"/>
        <w:autoSpaceDN w:val="0"/>
        <w:bidi w:val="0"/>
        <w:adjustRightInd/>
        <w:snapToGrid/>
        <w:spacing w:line="360" w:lineRule="auto"/>
        <w:ind w:left="567" w:right="220" w:rightChars="100" w:firstLine="480" w:firstLineChars="200"/>
        <w:jc w:val="both"/>
        <w:textAlignment w:val="auto"/>
        <w:rPr>
          <w:color w:val="0000FF"/>
        </w:rPr>
      </w:pPr>
      <w:r>
        <w:rPr>
          <w:color w:val="0000FF"/>
        </w:rPr>
        <w:t>本项目引进</w:t>
      </w:r>
      <w:r>
        <w:rPr>
          <w:rFonts w:hint="eastAsia"/>
          <w:color w:val="0000FF"/>
          <w:lang w:val="en-US" w:eastAsia="zh-CN"/>
        </w:rPr>
        <w:t>多胎羊9157</w:t>
      </w:r>
      <w:r>
        <w:rPr>
          <w:color w:val="0000FF"/>
        </w:rPr>
        <w:t>只，其中，</w:t>
      </w:r>
      <w:r>
        <w:rPr>
          <w:rFonts w:ascii="宋?" w:hAnsi="宋?" w:cs="宋?"/>
          <w:color w:val="0000FF"/>
          <w:kern w:val="0"/>
          <w:sz w:val="24"/>
          <w:szCs w:val="24"/>
        </w:rPr>
        <w:t>多胎性生产母羊</w:t>
      </w:r>
      <w:r>
        <w:rPr>
          <w:rFonts w:hint="eastAsia" w:ascii="宋?" w:hAnsi="宋?" w:cs="宋?"/>
          <w:color w:val="0000FF"/>
          <w:kern w:val="0"/>
          <w:sz w:val="24"/>
          <w:szCs w:val="24"/>
          <w:lang w:val="en-US" w:eastAsia="zh-CN"/>
        </w:rPr>
        <w:t>9117</w:t>
      </w:r>
      <w:r>
        <w:rPr>
          <w:color w:val="0000FF"/>
        </w:rPr>
        <w:t>只，</w:t>
      </w:r>
      <w:r>
        <w:rPr>
          <w:rFonts w:ascii="宋?" w:hAnsi="宋?" w:cs="宋?"/>
          <w:color w:val="0000FF"/>
          <w:kern w:val="0"/>
          <w:sz w:val="24"/>
          <w:szCs w:val="24"/>
        </w:rPr>
        <w:t>萨福克种公羊</w:t>
      </w:r>
      <w:r>
        <w:rPr>
          <w:rFonts w:ascii="Times New Roman" w:eastAsia="Times New Roman"/>
          <w:color w:val="0000FF"/>
        </w:rPr>
        <w:t>20</w:t>
      </w:r>
      <w:r>
        <w:rPr>
          <w:color w:val="0000FF"/>
        </w:rPr>
        <w:t>只，湖羊种公羊</w:t>
      </w:r>
      <w:r>
        <w:rPr>
          <w:rFonts w:hint="eastAsia" w:ascii="Times New Roman" w:eastAsia="宋体"/>
          <w:color w:val="0000FF"/>
          <w:lang w:val="en-US" w:eastAsia="zh-CN"/>
        </w:rPr>
        <w:t>20</w:t>
      </w:r>
      <w:r>
        <w:rPr>
          <w:color w:val="0000FF"/>
        </w:rPr>
        <w:t>只，计划实现年出栏</w:t>
      </w:r>
      <w:r>
        <w:rPr>
          <w:rFonts w:hint="eastAsia"/>
          <w:color w:val="0000FF"/>
          <w:lang w:val="en-US" w:eastAsia="zh-CN"/>
        </w:rPr>
        <w:t>公羊</w:t>
      </w:r>
      <w:r>
        <w:rPr>
          <w:rFonts w:ascii="Times New Roman" w:eastAsia="Times New Roman"/>
          <w:color w:val="0000FF"/>
        </w:rPr>
        <w:t>4</w:t>
      </w:r>
      <w:r>
        <w:rPr>
          <w:color w:val="0000FF"/>
        </w:rPr>
        <w:t>万只，本项目全部外购成品饲料，</w:t>
      </w:r>
      <w:r>
        <w:rPr>
          <w:color w:val="0000FF"/>
          <w:spacing w:val="-6"/>
        </w:rPr>
        <w:t>粗饲料及青贮年用量</w:t>
      </w:r>
      <w:r>
        <w:rPr>
          <w:rFonts w:ascii="Times New Roman" w:eastAsia="Times New Roman"/>
          <w:color w:val="0000FF"/>
        </w:rPr>
        <w:t>600</w:t>
      </w:r>
      <w:r>
        <w:rPr>
          <w:color w:val="0000FF"/>
        </w:rPr>
        <w:t>公斤</w:t>
      </w:r>
      <w:r>
        <w:rPr>
          <w:rFonts w:ascii="Times New Roman" w:eastAsia="Times New Roman"/>
          <w:color w:val="0000FF"/>
        </w:rPr>
        <w:t>/</w:t>
      </w:r>
      <w:r>
        <w:rPr>
          <w:color w:val="0000FF"/>
          <w:spacing w:val="-15"/>
        </w:rPr>
        <w:t>头，混合精料</w:t>
      </w:r>
      <w:r>
        <w:rPr>
          <w:rFonts w:ascii="Times New Roman" w:eastAsia="Times New Roman"/>
          <w:color w:val="0000FF"/>
        </w:rPr>
        <w:t>70</w:t>
      </w:r>
      <w:r>
        <w:rPr>
          <w:color w:val="0000FF"/>
        </w:rPr>
        <w:t>公斤</w:t>
      </w:r>
      <w:r>
        <w:rPr>
          <w:rFonts w:ascii="Times New Roman" w:eastAsia="Times New Roman"/>
          <w:color w:val="0000FF"/>
        </w:rPr>
        <w:t>/</w:t>
      </w:r>
      <w:r>
        <w:rPr>
          <w:color w:val="0000FF"/>
          <w:spacing w:val="-10"/>
        </w:rPr>
        <w:t>头。本项目主要原、辅材料</w:t>
      </w:r>
      <w:r>
        <w:rPr>
          <w:color w:val="0000FF"/>
          <w:spacing w:val="-6"/>
        </w:rPr>
        <w:t>及能源消耗情况见下表</w:t>
      </w:r>
      <w:r>
        <w:rPr>
          <w:rFonts w:ascii="Times New Roman" w:eastAsia="Times New Roman"/>
          <w:color w:val="0000FF"/>
        </w:rPr>
        <w:t>3.1-6</w:t>
      </w:r>
      <w:r>
        <w:rPr>
          <w:color w:val="0000FF"/>
        </w:rPr>
        <w:t>。</w:t>
      </w:r>
    </w:p>
    <w:p>
      <w:pPr>
        <w:pStyle w:val="7"/>
        <w:bidi w:val="0"/>
        <w:jc w:val="center"/>
        <w:rPr>
          <w:color w:val="0000FF"/>
        </w:rPr>
      </w:pPr>
      <w:r>
        <w:rPr>
          <w:color w:val="0000FF"/>
        </w:rPr>
        <w:t>表</w:t>
      </w:r>
      <w:r>
        <w:rPr>
          <w:rFonts w:ascii="Times New Roman" w:eastAsia="Times New Roman"/>
          <w:color w:val="0000FF"/>
        </w:rPr>
        <w:t>3.1-6</w:t>
      </w:r>
      <w:r>
        <w:rPr>
          <w:rFonts w:ascii="Times New Roman" w:eastAsia="Times New Roman"/>
          <w:color w:val="0000FF"/>
        </w:rPr>
        <w:tab/>
      </w:r>
      <w:r>
        <w:rPr>
          <w:color w:val="0000FF"/>
        </w:rPr>
        <w:t>项目主要原辅材料及能源消耗一览表</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968"/>
        <w:gridCol w:w="1795"/>
        <w:gridCol w:w="1520"/>
        <w:gridCol w:w="1617"/>
        <w:gridCol w:w="1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tcPr>
          <w:p>
            <w:pPr>
              <w:pStyle w:val="19"/>
              <w:spacing w:before="27"/>
              <w:ind w:left="196" w:right="188"/>
              <w:rPr>
                <w:b/>
                <w:color w:val="0000FF"/>
                <w:sz w:val="21"/>
              </w:rPr>
            </w:pPr>
            <w:r>
              <w:rPr>
                <w:b/>
                <w:color w:val="0000FF"/>
                <w:sz w:val="21"/>
              </w:rPr>
              <w:t>序号</w:t>
            </w:r>
          </w:p>
        </w:tc>
        <w:tc>
          <w:tcPr>
            <w:tcW w:w="2763" w:type="dxa"/>
            <w:gridSpan w:val="2"/>
          </w:tcPr>
          <w:p>
            <w:pPr>
              <w:pStyle w:val="19"/>
              <w:spacing w:before="27"/>
              <w:ind w:left="1149" w:right="1141"/>
              <w:rPr>
                <w:b/>
                <w:color w:val="0000FF"/>
                <w:sz w:val="21"/>
              </w:rPr>
            </w:pPr>
            <w:r>
              <w:rPr>
                <w:b/>
                <w:color w:val="0000FF"/>
                <w:sz w:val="21"/>
              </w:rPr>
              <w:t>名称</w:t>
            </w:r>
          </w:p>
        </w:tc>
        <w:tc>
          <w:tcPr>
            <w:tcW w:w="1520" w:type="dxa"/>
          </w:tcPr>
          <w:p>
            <w:pPr>
              <w:pStyle w:val="19"/>
              <w:spacing w:before="27"/>
              <w:ind w:left="445"/>
              <w:jc w:val="left"/>
              <w:rPr>
                <w:b/>
                <w:color w:val="0000FF"/>
                <w:sz w:val="21"/>
              </w:rPr>
            </w:pPr>
            <w:r>
              <w:rPr>
                <w:b/>
                <w:color w:val="0000FF"/>
                <w:sz w:val="21"/>
              </w:rPr>
              <w:t>年耗量</w:t>
            </w:r>
          </w:p>
        </w:tc>
        <w:tc>
          <w:tcPr>
            <w:tcW w:w="1617" w:type="dxa"/>
          </w:tcPr>
          <w:p>
            <w:pPr>
              <w:pStyle w:val="19"/>
              <w:spacing w:before="27"/>
              <w:ind w:left="365" w:right="356"/>
              <w:rPr>
                <w:b/>
                <w:color w:val="0000FF"/>
                <w:sz w:val="21"/>
              </w:rPr>
            </w:pPr>
            <w:r>
              <w:rPr>
                <w:b/>
                <w:color w:val="0000FF"/>
                <w:sz w:val="21"/>
              </w:rPr>
              <w:t>单位</w:t>
            </w:r>
          </w:p>
        </w:tc>
        <w:tc>
          <w:tcPr>
            <w:tcW w:w="1763" w:type="dxa"/>
          </w:tcPr>
          <w:p>
            <w:pPr>
              <w:pStyle w:val="19"/>
              <w:spacing w:before="27"/>
              <w:ind w:left="438" w:right="430"/>
              <w:rPr>
                <w:b/>
                <w:color w:val="0000FF"/>
                <w:sz w:val="21"/>
              </w:rPr>
            </w:pPr>
            <w:r>
              <w:rPr>
                <w:b/>
                <w:color w:val="0000FF"/>
                <w:sz w:val="21"/>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vMerge w:val="restart"/>
          </w:tcPr>
          <w:p>
            <w:pPr>
              <w:pStyle w:val="19"/>
              <w:spacing w:before="11"/>
              <w:jc w:val="left"/>
              <w:rPr>
                <w:b/>
                <w:color w:val="0000FF"/>
                <w:sz w:val="29"/>
              </w:rPr>
            </w:pPr>
          </w:p>
          <w:p>
            <w:pPr>
              <w:pStyle w:val="19"/>
              <w:ind w:left="9"/>
              <w:rPr>
                <w:rFonts w:ascii="Times New Roman"/>
                <w:color w:val="0000FF"/>
                <w:sz w:val="21"/>
              </w:rPr>
            </w:pPr>
            <w:r>
              <w:rPr>
                <w:rFonts w:ascii="Times New Roman"/>
                <w:color w:val="0000FF"/>
                <w:w w:val="99"/>
                <w:sz w:val="21"/>
              </w:rPr>
              <w:t>1</w:t>
            </w:r>
          </w:p>
        </w:tc>
        <w:tc>
          <w:tcPr>
            <w:tcW w:w="968" w:type="dxa"/>
            <w:vMerge w:val="restart"/>
          </w:tcPr>
          <w:p>
            <w:pPr>
              <w:pStyle w:val="19"/>
              <w:spacing w:before="10"/>
              <w:jc w:val="center"/>
              <w:rPr>
                <w:b/>
                <w:color w:val="0000FF"/>
                <w:sz w:val="28"/>
              </w:rPr>
            </w:pPr>
          </w:p>
          <w:p>
            <w:pPr>
              <w:pStyle w:val="19"/>
              <w:ind w:left="167"/>
              <w:jc w:val="center"/>
              <w:rPr>
                <w:color w:val="0000FF"/>
                <w:sz w:val="21"/>
              </w:rPr>
            </w:pPr>
            <w:r>
              <w:rPr>
                <w:color w:val="0000FF"/>
                <w:sz w:val="21"/>
              </w:rPr>
              <w:t>繁育羊</w:t>
            </w:r>
          </w:p>
        </w:tc>
        <w:tc>
          <w:tcPr>
            <w:tcW w:w="1795" w:type="dxa"/>
          </w:tcPr>
          <w:p>
            <w:pPr>
              <w:pStyle w:val="19"/>
              <w:spacing w:before="28"/>
              <w:ind w:left="141" w:right="134"/>
              <w:jc w:val="center"/>
              <w:rPr>
                <w:color w:val="0000FF"/>
                <w:sz w:val="21"/>
              </w:rPr>
            </w:pPr>
            <w:r>
              <w:rPr>
                <w:rFonts w:ascii="宋?" w:hAnsi="宋?" w:cs="宋?"/>
                <w:color w:val="0000FF"/>
                <w:kern w:val="0"/>
                <w:sz w:val="24"/>
                <w:szCs w:val="24"/>
              </w:rPr>
              <w:t>多胎性生产母羊</w:t>
            </w:r>
          </w:p>
        </w:tc>
        <w:tc>
          <w:tcPr>
            <w:tcW w:w="1520" w:type="dxa"/>
          </w:tcPr>
          <w:p>
            <w:pPr>
              <w:pStyle w:val="19"/>
              <w:spacing w:before="42"/>
              <w:ind w:left="529" w:right="521"/>
              <w:jc w:val="center"/>
              <w:rPr>
                <w:rFonts w:hint="default" w:ascii="Times New Roman" w:eastAsia="宋体"/>
                <w:color w:val="0000FF"/>
                <w:sz w:val="21"/>
                <w:lang w:val="en-US" w:eastAsia="zh-CN"/>
              </w:rPr>
            </w:pPr>
            <w:r>
              <w:rPr>
                <w:rFonts w:hint="eastAsia" w:ascii="Times New Roman"/>
                <w:color w:val="0000FF"/>
                <w:sz w:val="21"/>
                <w:lang w:val="en-US" w:eastAsia="zh-CN"/>
              </w:rPr>
              <w:t>9117</w:t>
            </w:r>
          </w:p>
        </w:tc>
        <w:tc>
          <w:tcPr>
            <w:tcW w:w="1617" w:type="dxa"/>
          </w:tcPr>
          <w:p>
            <w:pPr>
              <w:pStyle w:val="19"/>
              <w:spacing w:before="28"/>
              <w:ind w:left="9"/>
              <w:jc w:val="center"/>
              <w:rPr>
                <w:color w:val="0000FF"/>
                <w:sz w:val="21"/>
              </w:rPr>
            </w:pPr>
            <w:r>
              <w:rPr>
                <w:color w:val="0000FF"/>
                <w:w w:val="99"/>
                <w:sz w:val="21"/>
              </w:rPr>
              <w:t>只</w:t>
            </w:r>
          </w:p>
        </w:tc>
        <w:tc>
          <w:tcPr>
            <w:tcW w:w="1763" w:type="dxa"/>
          </w:tcPr>
          <w:p>
            <w:pPr>
              <w:pStyle w:val="19"/>
              <w:spacing w:before="28"/>
              <w:ind w:left="438" w:right="432"/>
              <w:jc w:val="center"/>
              <w:rPr>
                <w:color w:val="0000FF"/>
                <w:sz w:val="21"/>
              </w:rPr>
            </w:pPr>
            <w:r>
              <w:rPr>
                <w:color w:val="0000FF"/>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856" w:type="dxa"/>
            <w:vMerge w:val="continue"/>
            <w:tcBorders>
              <w:top w:val="nil"/>
            </w:tcBorders>
          </w:tcPr>
          <w:p>
            <w:pPr>
              <w:rPr>
                <w:color w:val="0000FF"/>
                <w:sz w:val="2"/>
                <w:szCs w:val="2"/>
              </w:rPr>
            </w:pPr>
          </w:p>
        </w:tc>
        <w:tc>
          <w:tcPr>
            <w:tcW w:w="968" w:type="dxa"/>
            <w:vMerge w:val="continue"/>
            <w:tcBorders>
              <w:top w:val="nil"/>
            </w:tcBorders>
          </w:tcPr>
          <w:p>
            <w:pPr>
              <w:jc w:val="center"/>
              <w:rPr>
                <w:color w:val="0000FF"/>
                <w:sz w:val="2"/>
                <w:szCs w:val="2"/>
              </w:rPr>
            </w:pPr>
          </w:p>
        </w:tc>
        <w:tc>
          <w:tcPr>
            <w:tcW w:w="1795" w:type="dxa"/>
          </w:tcPr>
          <w:p>
            <w:pPr>
              <w:pStyle w:val="19"/>
              <w:spacing w:before="29"/>
              <w:ind w:left="139" w:right="134"/>
              <w:jc w:val="center"/>
              <w:rPr>
                <w:color w:val="0000FF"/>
                <w:sz w:val="21"/>
              </w:rPr>
            </w:pPr>
            <w:r>
              <w:rPr>
                <w:rFonts w:ascii="宋?" w:hAnsi="宋?" w:cs="宋?"/>
                <w:color w:val="0000FF"/>
                <w:kern w:val="0"/>
                <w:sz w:val="24"/>
                <w:szCs w:val="24"/>
              </w:rPr>
              <w:t>萨福克种公羊</w:t>
            </w:r>
          </w:p>
        </w:tc>
        <w:tc>
          <w:tcPr>
            <w:tcW w:w="1520" w:type="dxa"/>
          </w:tcPr>
          <w:p>
            <w:pPr>
              <w:pStyle w:val="19"/>
              <w:spacing w:before="43"/>
              <w:jc w:val="center"/>
              <w:rPr>
                <w:rFonts w:ascii="Times New Roman"/>
                <w:color w:val="0000FF"/>
                <w:sz w:val="21"/>
              </w:rPr>
            </w:pPr>
            <w:r>
              <w:rPr>
                <w:rFonts w:ascii="Times New Roman"/>
                <w:color w:val="0000FF"/>
                <w:sz w:val="21"/>
              </w:rPr>
              <w:t>20</w:t>
            </w:r>
          </w:p>
        </w:tc>
        <w:tc>
          <w:tcPr>
            <w:tcW w:w="1617" w:type="dxa"/>
          </w:tcPr>
          <w:p>
            <w:pPr>
              <w:pStyle w:val="19"/>
              <w:spacing w:before="29"/>
              <w:ind w:left="9"/>
              <w:jc w:val="center"/>
              <w:rPr>
                <w:color w:val="0000FF"/>
                <w:sz w:val="21"/>
              </w:rPr>
            </w:pPr>
            <w:r>
              <w:rPr>
                <w:color w:val="0000FF"/>
                <w:w w:val="99"/>
                <w:sz w:val="21"/>
              </w:rPr>
              <w:t>只</w:t>
            </w:r>
          </w:p>
        </w:tc>
        <w:tc>
          <w:tcPr>
            <w:tcW w:w="1763" w:type="dxa"/>
          </w:tcPr>
          <w:p>
            <w:pPr>
              <w:pStyle w:val="19"/>
              <w:spacing w:before="29"/>
              <w:ind w:left="438" w:right="432"/>
              <w:jc w:val="center"/>
              <w:rPr>
                <w:color w:val="0000FF"/>
                <w:sz w:val="21"/>
              </w:rPr>
            </w:pPr>
            <w:r>
              <w:rPr>
                <w:color w:val="0000FF"/>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vMerge w:val="continue"/>
            <w:tcBorders>
              <w:top w:val="nil"/>
            </w:tcBorders>
          </w:tcPr>
          <w:p>
            <w:pPr>
              <w:rPr>
                <w:color w:val="0000FF"/>
                <w:sz w:val="2"/>
                <w:szCs w:val="2"/>
              </w:rPr>
            </w:pPr>
          </w:p>
        </w:tc>
        <w:tc>
          <w:tcPr>
            <w:tcW w:w="968" w:type="dxa"/>
            <w:vMerge w:val="continue"/>
            <w:tcBorders>
              <w:top w:val="nil"/>
            </w:tcBorders>
          </w:tcPr>
          <w:p>
            <w:pPr>
              <w:jc w:val="center"/>
              <w:rPr>
                <w:color w:val="0000FF"/>
                <w:sz w:val="2"/>
                <w:szCs w:val="2"/>
              </w:rPr>
            </w:pPr>
          </w:p>
        </w:tc>
        <w:tc>
          <w:tcPr>
            <w:tcW w:w="1795" w:type="dxa"/>
          </w:tcPr>
          <w:p>
            <w:pPr>
              <w:pStyle w:val="19"/>
              <w:spacing w:before="27"/>
              <w:ind w:left="139" w:right="134"/>
              <w:jc w:val="center"/>
              <w:rPr>
                <w:color w:val="0000FF"/>
                <w:sz w:val="21"/>
              </w:rPr>
            </w:pPr>
            <w:r>
              <w:rPr>
                <w:rFonts w:hint="eastAsia"/>
                <w:color w:val="0000FF"/>
                <w:sz w:val="21"/>
                <w:lang w:val="en-US" w:eastAsia="zh-CN"/>
              </w:rPr>
              <w:t>湖</w:t>
            </w:r>
            <w:r>
              <w:rPr>
                <w:color w:val="0000FF"/>
                <w:sz w:val="21"/>
              </w:rPr>
              <w:t>羊</w:t>
            </w:r>
          </w:p>
        </w:tc>
        <w:tc>
          <w:tcPr>
            <w:tcW w:w="1520" w:type="dxa"/>
          </w:tcPr>
          <w:p>
            <w:pPr>
              <w:pStyle w:val="19"/>
              <w:spacing w:before="44"/>
              <w:ind w:right="521"/>
              <w:jc w:val="center"/>
              <w:rPr>
                <w:rFonts w:ascii="Times New Roman"/>
                <w:color w:val="0000FF"/>
                <w:sz w:val="21"/>
              </w:rPr>
            </w:pPr>
            <w:r>
              <w:rPr>
                <w:rFonts w:hint="eastAsia" w:ascii="Times New Roman"/>
                <w:color w:val="0000FF"/>
                <w:lang w:val="en-US" w:eastAsia="zh-CN"/>
              </w:rPr>
              <w:t xml:space="preserve">         </w:t>
            </w:r>
            <w:r>
              <w:rPr>
                <w:rFonts w:hint="eastAsia" w:ascii="Times New Roman" w:eastAsia="宋体"/>
                <w:color w:val="0000FF"/>
                <w:lang w:val="en-US" w:eastAsia="zh-CN"/>
              </w:rPr>
              <w:t>20</w:t>
            </w:r>
          </w:p>
        </w:tc>
        <w:tc>
          <w:tcPr>
            <w:tcW w:w="1617" w:type="dxa"/>
          </w:tcPr>
          <w:p>
            <w:pPr>
              <w:pStyle w:val="19"/>
              <w:spacing w:before="27"/>
              <w:ind w:left="9"/>
              <w:jc w:val="center"/>
              <w:rPr>
                <w:color w:val="0000FF"/>
                <w:sz w:val="21"/>
              </w:rPr>
            </w:pPr>
            <w:r>
              <w:rPr>
                <w:color w:val="0000FF"/>
                <w:w w:val="99"/>
                <w:sz w:val="21"/>
              </w:rPr>
              <w:t>只</w:t>
            </w:r>
          </w:p>
        </w:tc>
        <w:tc>
          <w:tcPr>
            <w:tcW w:w="1763" w:type="dxa"/>
          </w:tcPr>
          <w:p>
            <w:pPr>
              <w:pStyle w:val="19"/>
              <w:spacing w:before="27"/>
              <w:ind w:left="438" w:right="432"/>
              <w:jc w:val="center"/>
              <w:rPr>
                <w:color w:val="0000FF"/>
                <w:sz w:val="21"/>
              </w:rPr>
            </w:pPr>
            <w:r>
              <w:rPr>
                <w:color w:val="0000FF"/>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vMerge w:val="restart"/>
          </w:tcPr>
          <w:p>
            <w:pPr>
              <w:pStyle w:val="19"/>
              <w:spacing w:before="7"/>
              <w:jc w:val="left"/>
              <w:rPr>
                <w:b/>
                <w:color w:val="0000FF"/>
                <w:sz w:val="16"/>
              </w:rPr>
            </w:pPr>
          </w:p>
          <w:p>
            <w:pPr>
              <w:pStyle w:val="19"/>
              <w:ind w:left="9"/>
              <w:rPr>
                <w:rFonts w:ascii="Times New Roman"/>
                <w:color w:val="0000FF"/>
                <w:sz w:val="21"/>
              </w:rPr>
            </w:pPr>
            <w:r>
              <w:rPr>
                <w:rFonts w:ascii="Times New Roman"/>
                <w:color w:val="0000FF"/>
                <w:w w:val="99"/>
                <w:sz w:val="21"/>
              </w:rPr>
              <w:t>2</w:t>
            </w:r>
          </w:p>
        </w:tc>
        <w:tc>
          <w:tcPr>
            <w:tcW w:w="968" w:type="dxa"/>
            <w:vMerge w:val="restart"/>
          </w:tcPr>
          <w:p>
            <w:pPr>
              <w:pStyle w:val="19"/>
              <w:spacing w:before="6"/>
              <w:jc w:val="left"/>
              <w:rPr>
                <w:b/>
                <w:color w:val="0000FF"/>
                <w:sz w:val="15"/>
              </w:rPr>
            </w:pPr>
          </w:p>
          <w:p>
            <w:pPr>
              <w:pStyle w:val="19"/>
              <w:ind w:left="273"/>
              <w:jc w:val="left"/>
              <w:rPr>
                <w:color w:val="0000FF"/>
                <w:sz w:val="21"/>
              </w:rPr>
            </w:pPr>
            <w:r>
              <w:rPr>
                <w:color w:val="0000FF"/>
                <w:sz w:val="21"/>
              </w:rPr>
              <w:t>饲料</w:t>
            </w:r>
          </w:p>
        </w:tc>
        <w:tc>
          <w:tcPr>
            <w:tcW w:w="1795" w:type="dxa"/>
          </w:tcPr>
          <w:p>
            <w:pPr>
              <w:pStyle w:val="19"/>
              <w:spacing w:before="28"/>
              <w:ind w:left="141" w:right="134"/>
              <w:rPr>
                <w:color w:val="0000FF"/>
                <w:sz w:val="21"/>
              </w:rPr>
            </w:pPr>
            <w:r>
              <w:rPr>
                <w:color w:val="0000FF"/>
                <w:sz w:val="21"/>
              </w:rPr>
              <w:t>粗饲料及青贮料</w:t>
            </w:r>
          </w:p>
        </w:tc>
        <w:tc>
          <w:tcPr>
            <w:tcW w:w="1520" w:type="dxa"/>
          </w:tcPr>
          <w:p>
            <w:pPr>
              <w:pStyle w:val="19"/>
              <w:spacing w:before="42"/>
              <w:ind w:left="495"/>
              <w:jc w:val="left"/>
              <w:rPr>
                <w:rFonts w:ascii="Times New Roman"/>
                <w:color w:val="0000FF"/>
                <w:sz w:val="21"/>
              </w:rPr>
            </w:pPr>
            <w:r>
              <w:rPr>
                <w:rFonts w:ascii="Times New Roman"/>
                <w:color w:val="0000FF"/>
                <w:sz w:val="21"/>
              </w:rPr>
              <w:t>18000</w:t>
            </w:r>
          </w:p>
        </w:tc>
        <w:tc>
          <w:tcPr>
            <w:tcW w:w="1617" w:type="dxa"/>
          </w:tcPr>
          <w:p>
            <w:pPr>
              <w:pStyle w:val="19"/>
              <w:spacing w:before="42"/>
              <w:ind w:left="365" w:right="357"/>
              <w:rPr>
                <w:rFonts w:ascii="Times New Roman"/>
                <w:color w:val="0000FF"/>
                <w:sz w:val="21"/>
              </w:rPr>
            </w:pPr>
            <w:r>
              <w:rPr>
                <w:rFonts w:ascii="Times New Roman"/>
                <w:color w:val="0000FF"/>
                <w:sz w:val="21"/>
              </w:rPr>
              <w:t>t/a</w:t>
            </w:r>
          </w:p>
        </w:tc>
        <w:tc>
          <w:tcPr>
            <w:tcW w:w="1763" w:type="dxa"/>
          </w:tcPr>
          <w:p>
            <w:pPr>
              <w:pStyle w:val="19"/>
              <w:spacing w:before="28"/>
              <w:ind w:left="438" w:right="432"/>
              <w:rPr>
                <w:color w:val="0000FF"/>
                <w:sz w:val="21"/>
              </w:rPr>
            </w:pPr>
            <w:r>
              <w:rPr>
                <w:color w:val="0000FF"/>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vMerge w:val="continue"/>
            <w:tcBorders>
              <w:top w:val="nil"/>
            </w:tcBorders>
          </w:tcPr>
          <w:p>
            <w:pPr>
              <w:rPr>
                <w:color w:val="0000FF"/>
                <w:sz w:val="2"/>
                <w:szCs w:val="2"/>
              </w:rPr>
            </w:pPr>
          </w:p>
        </w:tc>
        <w:tc>
          <w:tcPr>
            <w:tcW w:w="968" w:type="dxa"/>
            <w:vMerge w:val="continue"/>
            <w:tcBorders>
              <w:top w:val="nil"/>
            </w:tcBorders>
          </w:tcPr>
          <w:p>
            <w:pPr>
              <w:rPr>
                <w:color w:val="0000FF"/>
                <w:sz w:val="2"/>
                <w:szCs w:val="2"/>
              </w:rPr>
            </w:pPr>
          </w:p>
        </w:tc>
        <w:tc>
          <w:tcPr>
            <w:tcW w:w="1795" w:type="dxa"/>
          </w:tcPr>
          <w:p>
            <w:pPr>
              <w:pStyle w:val="19"/>
              <w:spacing w:before="29"/>
              <w:ind w:left="139" w:right="134"/>
              <w:rPr>
                <w:color w:val="0000FF"/>
                <w:sz w:val="21"/>
              </w:rPr>
            </w:pPr>
            <w:r>
              <w:rPr>
                <w:color w:val="0000FF"/>
                <w:sz w:val="21"/>
              </w:rPr>
              <w:t>混合精料</w:t>
            </w:r>
          </w:p>
        </w:tc>
        <w:tc>
          <w:tcPr>
            <w:tcW w:w="1520" w:type="dxa"/>
          </w:tcPr>
          <w:p>
            <w:pPr>
              <w:pStyle w:val="19"/>
              <w:spacing w:before="43"/>
              <w:ind w:left="529" w:right="521"/>
              <w:rPr>
                <w:rFonts w:ascii="Times New Roman"/>
                <w:color w:val="0000FF"/>
                <w:sz w:val="21"/>
              </w:rPr>
            </w:pPr>
            <w:r>
              <w:rPr>
                <w:rFonts w:ascii="Times New Roman"/>
                <w:color w:val="0000FF"/>
                <w:sz w:val="21"/>
              </w:rPr>
              <w:t>2100</w:t>
            </w:r>
          </w:p>
        </w:tc>
        <w:tc>
          <w:tcPr>
            <w:tcW w:w="1617" w:type="dxa"/>
          </w:tcPr>
          <w:p>
            <w:pPr>
              <w:pStyle w:val="19"/>
              <w:spacing w:before="43"/>
              <w:ind w:left="365" w:right="357"/>
              <w:rPr>
                <w:rFonts w:ascii="Times New Roman"/>
                <w:color w:val="0000FF"/>
                <w:sz w:val="21"/>
              </w:rPr>
            </w:pPr>
            <w:r>
              <w:rPr>
                <w:rFonts w:ascii="Times New Roman"/>
                <w:color w:val="0000FF"/>
                <w:sz w:val="21"/>
              </w:rPr>
              <w:t>t/a</w:t>
            </w:r>
          </w:p>
        </w:tc>
        <w:tc>
          <w:tcPr>
            <w:tcW w:w="1763" w:type="dxa"/>
          </w:tcPr>
          <w:p>
            <w:pPr>
              <w:pStyle w:val="19"/>
              <w:spacing w:before="29"/>
              <w:ind w:left="438" w:right="432"/>
              <w:rPr>
                <w:color w:val="0000FF"/>
                <w:sz w:val="21"/>
              </w:rPr>
            </w:pPr>
            <w:r>
              <w:rPr>
                <w:color w:val="0000FF"/>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tcPr>
          <w:p>
            <w:pPr>
              <w:pStyle w:val="19"/>
              <w:spacing w:before="44"/>
              <w:ind w:left="9"/>
              <w:rPr>
                <w:rFonts w:ascii="Times New Roman"/>
                <w:color w:val="0000FF"/>
                <w:sz w:val="21"/>
              </w:rPr>
            </w:pPr>
            <w:r>
              <w:rPr>
                <w:rFonts w:ascii="Times New Roman"/>
                <w:color w:val="0000FF"/>
                <w:w w:val="99"/>
                <w:sz w:val="21"/>
              </w:rPr>
              <w:t>3</w:t>
            </w:r>
          </w:p>
        </w:tc>
        <w:tc>
          <w:tcPr>
            <w:tcW w:w="2763" w:type="dxa"/>
            <w:gridSpan w:val="2"/>
          </w:tcPr>
          <w:p>
            <w:pPr>
              <w:pStyle w:val="19"/>
              <w:spacing w:before="27"/>
              <w:ind w:left="8"/>
              <w:rPr>
                <w:color w:val="0000FF"/>
                <w:sz w:val="21"/>
              </w:rPr>
            </w:pPr>
            <w:r>
              <w:rPr>
                <w:color w:val="0000FF"/>
                <w:w w:val="99"/>
                <w:sz w:val="21"/>
              </w:rPr>
              <w:t>水</w:t>
            </w:r>
          </w:p>
        </w:tc>
        <w:tc>
          <w:tcPr>
            <w:tcW w:w="1520" w:type="dxa"/>
          </w:tcPr>
          <w:p>
            <w:pPr>
              <w:pStyle w:val="19"/>
              <w:spacing w:before="44"/>
              <w:ind w:left="418"/>
              <w:jc w:val="left"/>
              <w:rPr>
                <w:rFonts w:ascii="Times New Roman"/>
                <w:color w:val="0000FF"/>
                <w:sz w:val="21"/>
              </w:rPr>
            </w:pPr>
            <w:r>
              <w:rPr>
                <w:rFonts w:ascii="Times New Roman"/>
                <w:color w:val="0000FF"/>
                <w:sz w:val="21"/>
              </w:rPr>
              <w:t>6752.36</w:t>
            </w:r>
          </w:p>
        </w:tc>
        <w:tc>
          <w:tcPr>
            <w:tcW w:w="1617" w:type="dxa"/>
          </w:tcPr>
          <w:p>
            <w:pPr>
              <w:pStyle w:val="19"/>
              <w:spacing w:before="44"/>
              <w:ind w:left="365" w:right="357"/>
              <w:rPr>
                <w:rFonts w:ascii="Times New Roman"/>
                <w:color w:val="0000FF"/>
                <w:sz w:val="21"/>
              </w:rPr>
            </w:pPr>
            <w:r>
              <w:rPr>
                <w:rFonts w:ascii="Times New Roman"/>
                <w:color w:val="0000FF"/>
                <w:sz w:val="21"/>
              </w:rPr>
              <w:t>m</w:t>
            </w:r>
            <w:r>
              <w:rPr>
                <w:rFonts w:ascii="Times New Roman"/>
                <w:color w:val="0000FF"/>
                <w:position w:val="7"/>
                <w:sz w:val="13"/>
              </w:rPr>
              <w:t>3</w:t>
            </w:r>
            <w:r>
              <w:rPr>
                <w:rFonts w:ascii="Times New Roman"/>
                <w:color w:val="0000FF"/>
                <w:sz w:val="21"/>
              </w:rPr>
              <w:t>/a</w:t>
            </w:r>
          </w:p>
        </w:tc>
        <w:tc>
          <w:tcPr>
            <w:tcW w:w="1763" w:type="dxa"/>
          </w:tcPr>
          <w:p>
            <w:pPr>
              <w:pStyle w:val="19"/>
              <w:spacing w:before="27"/>
              <w:ind w:left="438" w:right="435"/>
              <w:rPr>
                <w:color w:val="0000FF"/>
                <w:sz w:val="21"/>
              </w:rPr>
            </w:pPr>
            <w:r>
              <w:rPr>
                <w:color w:val="0000FF"/>
                <w:sz w:val="21"/>
              </w:rPr>
              <w:t>供水管网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56" w:type="dxa"/>
          </w:tcPr>
          <w:p>
            <w:pPr>
              <w:pStyle w:val="19"/>
              <w:spacing w:before="42"/>
              <w:ind w:left="9"/>
              <w:rPr>
                <w:rFonts w:ascii="Times New Roman"/>
                <w:color w:val="0000FF"/>
                <w:sz w:val="21"/>
              </w:rPr>
            </w:pPr>
            <w:r>
              <w:rPr>
                <w:rFonts w:ascii="Times New Roman"/>
                <w:color w:val="0000FF"/>
                <w:w w:val="99"/>
                <w:sz w:val="21"/>
              </w:rPr>
              <w:t>4</w:t>
            </w:r>
          </w:p>
        </w:tc>
        <w:tc>
          <w:tcPr>
            <w:tcW w:w="2763" w:type="dxa"/>
            <w:gridSpan w:val="2"/>
          </w:tcPr>
          <w:p>
            <w:pPr>
              <w:pStyle w:val="19"/>
              <w:spacing w:before="28"/>
              <w:ind w:left="8"/>
              <w:rPr>
                <w:color w:val="0000FF"/>
                <w:sz w:val="21"/>
              </w:rPr>
            </w:pPr>
            <w:r>
              <w:rPr>
                <w:color w:val="0000FF"/>
                <w:w w:val="99"/>
                <w:sz w:val="21"/>
              </w:rPr>
              <w:t>电</w:t>
            </w:r>
          </w:p>
        </w:tc>
        <w:tc>
          <w:tcPr>
            <w:tcW w:w="1520" w:type="dxa"/>
          </w:tcPr>
          <w:p>
            <w:pPr>
              <w:pStyle w:val="19"/>
              <w:spacing w:before="42"/>
              <w:ind w:left="471"/>
              <w:jc w:val="left"/>
              <w:rPr>
                <w:rFonts w:ascii="Times New Roman"/>
                <w:color w:val="0000FF"/>
                <w:sz w:val="21"/>
              </w:rPr>
            </w:pPr>
            <w:r>
              <w:rPr>
                <w:rFonts w:ascii="Times New Roman"/>
                <w:color w:val="0000FF"/>
                <w:sz w:val="21"/>
              </w:rPr>
              <w:t>126.50</w:t>
            </w:r>
          </w:p>
        </w:tc>
        <w:tc>
          <w:tcPr>
            <w:tcW w:w="1617" w:type="dxa"/>
          </w:tcPr>
          <w:p>
            <w:pPr>
              <w:pStyle w:val="19"/>
              <w:spacing w:before="28"/>
              <w:ind w:left="365" w:right="361"/>
              <w:rPr>
                <w:color w:val="0000FF"/>
                <w:sz w:val="21"/>
              </w:rPr>
            </w:pPr>
            <w:r>
              <w:rPr>
                <w:color w:val="0000FF"/>
                <w:sz w:val="21"/>
              </w:rPr>
              <w:t>万千瓦时</w:t>
            </w:r>
          </w:p>
        </w:tc>
        <w:tc>
          <w:tcPr>
            <w:tcW w:w="1763" w:type="dxa"/>
          </w:tcPr>
          <w:p>
            <w:pPr>
              <w:pStyle w:val="19"/>
              <w:spacing w:before="28"/>
              <w:ind w:left="438" w:right="435"/>
              <w:rPr>
                <w:color w:val="0000FF"/>
                <w:sz w:val="21"/>
              </w:rPr>
            </w:pPr>
            <w:r>
              <w:rPr>
                <w:color w:val="0000FF"/>
                <w:sz w:val="21"/>
              </w:rPr>
              <w:t>农村电网</w:t>
            </w:r>
          </w:p>
        </w:tc>
      </w:tr>
    </w:tbl>
    <w:p>
      <w:pPr>
        <w:pStyle w:val="7"/>
        <w:spacing w:before="4"/>
        <w:ind w:left="0"/>
        <w:rPr>
          <w:b/>
          <w:color w:val="0000FF"/>
          <w:sz w:val="27"/>
        </w:rPr>
      </w:pPr>
    </w:p>
    <w:p>
      <w:pPr>
        <w:pStyle w:val="18"/>
        <w:numPr>
          <w:ilvl w:val="2"/>
          <w:numId w:val="19"/>
        </w:numPr>
        <w:tabs>
          <w:tab w:val="left" w:pos="1241"/>
        </w:tabs>
        <w:spacing w:before="0" w:after="0" w:line="240" w:lineRule="auto"/>
        <w:ind w:left="1240" w:right="0" w:hanging="701"/>
        <w:jc w:val="left"/>
        <w:rPr>
          <w:b/>
          <w:sz w:val="28"/>
        </w:rPr>
      </w:pPr>
      <w:bookmarkStart w:id="132" w:name="3.1.7 生产工艺流程"/>
      <w:bookmarkEnd w:id="132"/>
      <w:bookmarkStart w:id="133" w:name="3.1.7 生产工艺流程"/>
      <w:bookmarkEnd w:id="133"/>
      <w:r>
        <w:rPr>
          <w:b/>
          <w:sz w:val="28"/>
        </w:rPr>
        <w:t>生产工艺流程</w:t>
      </w:r>
    </w:p>
    <w:p>
      <w:pPr>
        <w:pStyle w:val="7"/>
        <w:spacing w:before="2"/>
        <w:ind w:left="0"/>
        <w:rPr>
          <w:b/>
          <w:sz w:val="22"/>
        </w:rPr>
      </w:pPr>
    </w:p>
    <w:p>
      <w:pPr>
        <w:pStyle w:val="18"/>
        <w:numPr>
          <w:ilvl w:val="3"/>
          <w:numId w:val="21"/>
        </w:numPr>
        <w:tabs>
          <w:tab w:val="left" w:pos="1320"/>
        </w:tabs>
        <w:spacing w:before="0" w:after="0" w:line="240" w:lineRule="auto"/>
        <w:ind w:left="1320" w:right="0" w:hanging="780"/>
        <w:jc w:val="left"/>
        <w:rPr>
          <w:color w:val="0000FF"/>
          <w:sz w:val="24"/>
        </w:rPr>
      </w:pPr>
      <w:bookmarkStart w:id="134" w:name="3.1.7.1 饲料加工流程简述"/>
      <w:bookmarkEnd w:id="134"/>
      <w:bookmarkStart w:id="135" w:name="3.1.7.1 饲料加工流程简述"/>
      <w:bookmarkEnd w:id="135"/>
      <w:r>
        <w:rPr>
          <w:color w:val="0000FF"/>
          <w:sz w:val="24"/>
        </w:rPr>
        <w:t>饲料加工流程简述</w:t>
      </w:r>
    </w:p>
    <w:p>
      <w:pPr>
        <w:pStyle w:val="7"/>
        <w:spacing w:before="168"/>
        <w:ind w:left="1020"/>
        <w:rPr>
          <w:color w:val="0000FF"/>
        </w:rPr>
      </w:pPr>
      <w:r>
        <w:rPr>
          <w:color w:val="0000FF"/>
        </w:rPr>
        <w:t>本项目饲料采购成品，在厂区内无粉碎、发酵等工序，可直接进行饲喂。</w:t>
      </w:r>
    </w:p>
    <w:p>
      <w:pPr>
        <w:pStyle w:val="18"/>
        <w:numPr>
          <w:ilvl w:val="3"/>
          <w:numId w:val="21"/>
        </w:numPr>
        <w:tabs>
          <w:tab w:val="left" w:pos="1320"/>
        </w:tabs>
        <w:spacing w:before="168" w:after="0" w:line="240" w:lineRule="auto"/>
        <w:ind w:left="1320" w:right="0" w:hanging="780"/>
        <w:jc w:val="left"/>
        <w:rPr>
          <w:color w:val="0000FF"/>
          <w:sz w:val="24"/>
        </w:rPr>
      </w:pPr>
      <w:bookmarkStart w:id="136" w:name="3.1.7.2 养殖工艺流程"/>
      <w:bookmarkEnd w:id="136"/>
      <w:bookmarkStart w:id="137" w:name="3.1.7.2 养殖工艺流程"/>
      <w:bookmarkEnd w:id="137"/>
      <w:r>
        <w:rPr>
          <w:color w:val="0000FF"/>
          <w:sz w:val="24"/>
        </w:rPr>
        <w:t>养殖工艺流程</w:t>
      </w:r>
    </w:p>
    <w:p>
      <w:pPr>
        <w:pStyle w:val="7"/>
        <w:spacing w:before="161" w:line="364" w:lineRule="auto"/>
        <w:ind w:right="577" w:firstLine="480" w:firstLineChars="200"/>
        <w:rPr>
          <w:color w:val="0000FF"/>
        </w:rPr>
      </w:pPr>
      <w:r>
        <w:rPr>
          <w:color w:val="0000FF"/>
        </w:rPr>
        <w:t>本项目年引进繁育羊</w:t>
      </w:r>
      <w:r>
        <w:rPr>
          <w:rFonts w:hint="eastAsia"/>
          <w:color w:val="0000FF"/>
          <w:lang w:val="en-US" w:eastAsia="zh-CN"/>
        </w:rPr>
        <w:t>9117</w:t>
      </w:r>
      <w:r>
        <w:rPr>
          <w:color w:val="0000FF"/>
        </w:rPr>
        <w:t>只，其中，</w:t>
      </w:r>
      <w:r>
        <w:rPr>
          <w:rFonts w:ascii="宋?" w:hAnsi="宋?" w:cs="宋?"/>
          <w:color w:val="0000FF"/>
          <w:kern w:val="0"/>
          <w:sz w:val="24"/>
          <w:szCs w:val="24"/>
        </w:rPr>
        <w:t>多胎性生产母羊</w:t>
      </w:r>
      <w:r>
        <w:rPr>
          <w:rFonts w:hint="eastAsia" w:ascii="宋?" w:hAnsi="宋?" w:cs="宋?"/>
          <w:color w:val="0000FF"/>
          <w:kern w:val="0"/>
          <w:sz w:val="24"/>
          <w:szCs w:val="24"/>
          <w:lang w:val="en-US" w:eastAsia="zh-CN"/>
        </w:rPr>
        <w:t>9117</w:t>
      </w:r>
      <w:r>
        <w:rPr>
          <w:color w:val="0000FF"/>
        </w:rPr>
        <w:t>只，</w:t>
      </w:r>
      <w:r>
        <w:rPr>
          <w:rFonts w:ascii="宋?" w:hAnsi="宋?" w:cs="宋?"/>
          <w:color w:val="0000FF"/>
          <w:kern w:val="0"/>
          <w:sz w:val="24"/>
          <w:szCs w:val="24"/>
        </w:rPr>
        <w:t>萨福克种公羊</w:t>
      </w:r>
      <w:r>
        <w:rPr>
          <w:rFonts w:ascii="Times New Roman" w:eastAsia="Times New Roman"/>
          <w:color w:val="0000FF"/>
        </w:rPr>
        <w:t>20</w:t>
      </w:r>
      <w:r>
        <w:rPr>
          <w:color w:val="0000FF"/>
        </w:rPr>
        <w:t>只，湖羊种公羊</w:t>
      </w:r>
      <w:r>
        <w:rPr>
          <w:rFonts w:hint="eastAsia" w:ascii="Times New Roman" w:eastAsia="宋体"/>
          <w:color w:val="0000FF"/>
          <w:lang w:val="en-US" w:eastAsia="zh-CN"/>
        </w:rPr>
        <w:t>20</w:t>
      </w:r>
      <w:r>
        <w:rPr>
          <w:color w:val="0000FF"/>
        </w:rPr>
        <w:t>只</w:t>
      </w:r>
      <w:r>
        <w:rPr>
          <w:color w:val="0000FF"/>
          <w:spacing w:val="-9"/>
        </w:rPr>
        <w:t>。正常年出栏</w:t>
      </w:r>
      <w:r>
        <w:rPr>
          <w:rFonts w:hint="eastAsia"/>
          <w:color w:val="0000FF"/>
          <w:spacing w:val="-9"/>
          <w:lang w:val="en-US" w:eastAsia="zh-CN"/>
        </w:rPr>
        <w:t>公羊</w:t>
      </w:r>
      <w:r>
        <w:rPr>
          <w:rFonts w:ascii="Times New Roman" w:eastAsia="Times New Roman"/>
          <w:color w:val="0000FF"/>
          <w:spacing w:val="-3"/>
        </w:rPr>
        <w:t>4</w:t>
      </w:r>
      <w:r>
        <w:rPr>
          <w:color w:val="0000FF"/>
          <w:spacing w:val="-5"/>
        </w:rPr>
        <w:t>万只，出栏肉羊外售。项目运营期养殖</w:t>
      </w:r>
      <w:r>
        <w:rPr>
          <w:color w:val="0000FF"/>
          <w:spacing w:val="-6"/>
        </w:rPr>
        <w:t>工艺流程及产污节点见图</w:t>
      </w:r>
      <w:r>
        <w:rPr>
          <w:rFonts w:ascii="Times New Roman" w:eastAsia="Times New Roman"/>
          <w:color w:val="0000FF"/>
        </w:rPr>
        <w:t>3.1-4</w:t>
      </w:r>
      <w:r>
        <w:rPr>
          <w:color w:val="0000FF"/>
        </w:rPr>
        <w:t>。</w:t>
      </w:r>
    </w:p>
    <w:p>
      <w:pPr>
        <w:pStyle w:val="7"/>
        <w:ind w:left="869"/>
        <w:rPr>
          <w:sz w:val="20"/>
        </w:rPr>
      </w:pPr>
      <w:r>
        <w:rPr>
          <w:sz w:val="20"/>
        </w:rPr>
        <w:pict>
          <v:group id="_x0000_s1078" o:spid="_x0000_s1078" o:spt="203" style="height:362pt;width:418.6pt;" coordsize="7690,6525">
            <o:lock v:ext="edit" aspectratio="f"/>
            <v:shape id="_x0000_s1079" o:spid="_x0000_s1079" style="position:absolute;left:6674;top:2495;height:120;width:405;" fillcolor="#000000" filled="t" stroked="f" coordorigin="6675,2496" coordsize="405,120" path="m6961,2616l6957,2496,7079,2552,6961,2616xm6675,2572l6675,2557,6735,2555,6735,2570,6675,2572xm6780,2568l6780,2553,6840,2552,6840,2567,6780,2568xm6885,2565l6885,2550,6945,2549,6945,2564,6885,2565xe">
              <v:path arrowok="t"/>
              <v:fill on="t" color2="#FFFFFF" focussize="0,0"/>
              <v:stroke on="f"/>
              <v:imagedata o:title=""/>
              <o:lock v:ext="edit" aspectratio="f"/>
            </v:shape>
            <v:shape id="_x0000_s1080" o:spid="_x0000_s1080" style="position:absolute;left:1099;top:410;height:4013;width:3151;" fillcolor="#000000" filled="t" stroked="f" coordorigin="1099,410" coordsize="3151,4013" path="m4240,430l4160,430,4160,410,4240,410,4240,430xm4100,430l4020,430,4020,410,4100,410,4100,430xm3960,430l3880,430,3880,410,3960,410,3960,430xm3820,430l3740,430,3740,410,3820,410,3820,430xm3680,430l3600,430,3600,410,3680,410,3680,430xm3540,430l3460,430,3460,410,3540,410,3540,430xm3400,430l3320,430,3320,410,3400,410,3400,430xm3260,430l3180,430,3180,410,3260,410,3260,430xm3120,430l3040,430,3040,410,3120,410,3120,430xm2980,430l2900,430,2900,410,2980,410,2980,430xm2840,430l2760,430,2760,410,2840,410,2840,430xm2700,430l2620,430,2620,410,2700,410,2700,430xm2560,430l2480,430,2480,410,2560,410,2560,430xm2420,430l2340,430,2340,410,2420,410,2420,430xm2280,430l2200,430,2200,410,2280,410,2280,430xm2140,430l2060,430,2060,410,2140,410,2140,430xm2000,430l1920,430,1920,410,2000,410,2000,430xm1860,430l1780,430,1780,410,1860,410,1860,430xm1720,430l1640,430,1640,410,1720,410,1720,430xm1580,430l1500,430,1500,410,1580,410,1580,430xm1440,430l1360,430,1360,410,1440,410,1440,430xm1300,430l1220,430,1220,410,1300,410,1300,430xm1119,449l1099,449,1099,410,1160,410,1160,420,1119,420,1109,430,1119,430,1119,449xm1119,430l1109,430,1119,420,1119,430xm1160,430l1119,430,1119,420,1160,420,1160,430xm1119,589l1099,589,1099,509,1119,509,1119,589xm1119,729l1099,729,1099,649,1119,649,1119,729xm1119,869l1099,869,1099,789,1119,789,1119,869xm1119,1009l1099,1009,1099,929,1119,929,1119,1009xm1119,1149l1099,1149,1099,1069,1119,1069,1119,1149xm1119,1289l1099,1289,1099,1209,1119,1209,1119,1289xm1119,1429l1099,1429,1099,1349,1119,1349,1119,1429xm1119,1569l1099,1569,1099,1489,1119,1489,1119,1569xm1119,1709l1099,1709,1099,1629,1119,1629,1119,1709xm1119,1849l1099,1849,1099,1769,1119,1769,1119,1849xm1119,1989l1099,1989,1099,1909,1119,1909,1119,1989xm1119,2129l1099,2129,1099,2049,1119,2049,1119,2129xm1119,2269l1099,2269,1099,2189,1119,2189,1119,2269xm1119,2409l1099,2409,1099,2329,1119,2329,1119,2409xm1119,2549l1099,2549,1099,2469,1119,2469,1119,2549xm1119,2689l1099,2689,1099,2609,1119,2609,1119,2689xm1119,2829l1099,2829,1099,2749,1119,2749,1119,2829xm1119,2969l1099,2969,1099,2889,1119,2889,1119,2969xm1119,3109l1099,3109,1099,3029,1119,3029,1119,3109xm1119,3249l1099,3249,1099,3169,1119,3169,1119,3249xm1119,3389l1099,3389,1099,3309,1119,3309,1119,3389xm1119,3529l1099,3529,1099,3449,1119,3449,1119,3529xm1119,3669l1099,3669,1099,3589,1119,3589,1119,3669xm1119,3809l1099,3809,1099,3729,1119,3729,1119,3809xm1119,3949l1099,3949,1099,3869,1119,3869,1119,3949xm1119,4089l1099,4089,1099,4009,1119,4009,1119,4089xm1119,4229l1099,4229,1099,4149,1119,4149,1119,4229xm1119,4369l1099,4369,1099,4289,1119,4289,1119,4369xm1205,4423l1125,4423,1125,4403,1205,4403,1205,4423xm1345,4423l1265,4423,1265,4403,1345,4403,1345,4423xm1485,4423l1405,4423,1405,4403,1485,4403,1485,4423xm1625,4423l1545,4423,1545,4403,1625,4403,1625,4423xm1765,4423l1685,4423,1685,4403,1765,4403,1765,4423xm1905,4423l1825,4423,1825,4403,1905,4403,1905,4423xm2045,4423l1965,4423,1965,4403,2045,4403,2045,4423xm2185,4423l2105,4423,2105,4403,2185,4403,2185,4423xm2325,4423l2245,4423,2245,4403,2325,4403,2325,4423xm2465,4423l2385,4423,2385,4403,2465,4403,2465,4423xm2605,4423l2525,4423,2525,4403,2605,4403,2605,4423xm2745,4423l2665,4423,2665,4403,2745,4403,2745,4423xm2885,4423l2805,4423,2805,4403,2885,4403,2885,4423xm3025,4423l2945,4423,2945,4403,3025,4403,3025,4423xm3165,4423l3085,4423,3085,4403,3165,4403,3165,4423xm3305,4423l3225,4423,3225,4403,3305,4403,3305,4423xm3445,4423l3365,4423,3365,4403,3445,4403,3445,4423xm3585,4423l3505,4423,3505,4403,3585,4403,3585,4423xm3725,4423l3645,4423,3645,4403,3725,4403,3725,4423xm3865,4423l3785,4423,3785,4403,3865,4403,3865,4423xm4005,4423l3925,4423,3925,4403,4005,4403,4005,4423xm4145,4423l4065,4423,4065,4403,4145,4403,4145,4423xm4230,4413l4230,4368,4250,4368,4250,4403,4240,4403,4230,4413xm4250,4423l4205,4423,4205,4403,4230,4403,4230,4413,4250,4413,4250,4423xm4250,4413l4230,4413,4240,4403,4250,4403,4250,4413xm4250,4308l4230,4308,4230,4228,4250,4228,4250,4308xm4250,4168l4230,4168,4230,4088,4250,4088,4250,4168xm4250,4028l4230,4028,4230,3948,4250,3948,4250,4028xm4250,3888l4230,3888,4230,3808,4250,3808,4250,3888xm4250,3748l4230,3748,4230,3668,4250,3668,4250,3748xm4250,3608l4230,3608,4230,3528,4250,3528,4250,3608xm4250,3468l4230,3468,4230,3388,4250,3388,4250,3468xm4250,3328l4230,3328,4230,3248,4250,3248,4250,3328xm4250,3188l4230,3188,4230,3108,4250,3108,4250,3188xm4250,3048l4230,3048,4230,2968,4250,2968,4250,3048xm4250,2908l4230,2908,4230,2828,4250,2828,4250,2908xm4250,2768l4230,2768,4230,2688,4250,2688,4250,2768xm4250,2628l4230,2628,4230,2548,4250,2548,4250,2628xm4250,2488l4230,2488,4230,2408,4250,2408,4250,2488xm4250,2348l4230,2348,4230,2268,4250,2268,4250,2348xm4250,2208l4230,2208,4230,2128,4250,2128,4250,2208xm4250,2068l4230,2068,4230,1988,4250,1988,4250,2068xm4250,1928l4230,1928,4230,1848,4250,1848,4250,1928xm4250,1788l4230,1788,4230,1708,4250,1708,4250,1788xm4250,1648l4230,1648,4230,1568,4250,1568,4250,1648xm4250,1508l4230,1508,4230,1428,4250,1428,4250,1508xm4250,1368l4230,1368,4230,1288,4250,1288,4250,1368xm4250,1228l4230,1228,4230,1148,4250,1148,4250,1228xm4250,1088l4230,1088,4230,1008,4250,1008,4250,1088xm4250,948l4230,948,4230,868,4250,868,4250,948xm4250,808l4230,808,4230,728,4250,728,4250,808xm4250,668l4230,668,4230,588,4250,588,4250,668xm4250,528l4230,528,4230,448,4250,448,4250,528xe">
              <v:path arrowok="t"/>
              <v:fill on="t" color2="#FFFFFF" focussize="0,0"/>
              <v:stroke on="f"/>
              <v:imagedata o:title=""/>
              <o:lock v:ext="edit" aspectratio="f"/>
            </v:shape>
            <v:shape id="_x0000_s1081" o:spid="_x0000_s1081" style="position:absolute;left:4274;top:913;height:120;width:1058;" fillcolor="#000000" filled="t" stroked="f" coordorigin="4274,913" coordsize="1058,120" path="m5211,1033l5211,913,5317,966,5241,966,5219,966,5219,981,5315,981,5211,1033xm5219,981l5219,966,5241,966,5241,981,5219,981xm5315,981l5219,981,5241,981,5241,966,5317,966,5331,973,5315,981xm4274,985l4274,970,4334,969,4334,984,4274,985xm4379,984l4379,969,4439,969,4439,984,4379,984xm4484,984l4484,969,4544,969,4544,984,4484,984xm4589,983l4589,968,4649,968,4649,983,4589,983xm4694,983l4694,968,4754,968,4754,983,4694,983xm4799,983l4799,968,4859,967,4859,982,4799,983xm4904,982l4904,967,4964,967,4964,982,4904,982xm5009,982l5009,967,5069,967,5069,982,5009,982xm5114,981l5114,966,5174,966,5174,981,5114,981xe">
              <v:path arrowok="t"/>
              <v:fill on="t" color2="#FFFFFF" focussize="0,0"/>
              <v:stroke on="f"/>
              <v:imagedata o:title=""/>
              <o:lock v:ext="edit" aspectratio="f"/>
            </v:shape>
            <v:shape id="_x0000_s1082" o:spid="_x0000_s1082" style="position:absolute;left:5302;top:1504;height:516;width:2040;" fillcolor="#000000" filled="t" stroked="f" coordorigin="5302,1504" coordsize="2040,516" path="m7336,2020l5308,2020,5306,2020,5304,2018,5302,2016,5302,2014,5302,1510,5302,1508,5304,1506,5306,1505,5308,1504,7336,1504,7338,1505,7340,1506,7342,1508,7342,1510,5314,1510,5308,1516,5314,1516,5314,2008,5308,2008,5314,2014,7342,2014,7342,2016,7340,2018,7338,2020,7336,2020xm5314,1516l5308,1516,5314,1510,5314,1516xm7330,1516l5314,1516,5314,1510,7330,1510,7330,1516xm7330,2014l7330,1510,7336,1516,7342,1516,7342,2008,7336,2008,7330,2014xm7342,1516l7336,1516,7330,1510,7342,1510,7342,1516xm5314,2014l5308,2008,5314,2008,5314,2014xm7330,2014l5314,2014,5314,2008,7330,2008,7330,2014xm7342,2014l7330,2014,7336,2008,7342,2008,7342,2014xe">
              <v:path arrowok="t"/>
              <v:fill on="t" color2="#FFFFFF" focussize="0,0"/>
              <v:stroke on="f"/>
              <v:imagedata o:title=""/>
              <o:lock v:ext="edit" aspectratio="f"/>
            </v:shape>
            <v:shape id="_x0000_s1083" o:spid="_x0000_s1083" style="position:absolute;left:4261;top:1711;height:120;width:1058;" fillcolor="#000000" filled="t" stroked="f" coordorigin="4261,1711" coordsize="1058,120" path="m5198,1831l5198,1711,5304,1764,5228,1764,5206,1764,5206,1779,5302,1779,5198,1831xm5206,1779l5206,1764,5228,1764,5228,1779,5206,1779xm5302,1779l5206,1779,5228,1779,5228,1764,5304,1764,5318,1771,5302,1779xm4261,1783l4261,1768,4321,1767,4321,1782,4261,1783xm4366,1782l4366,1767,4426,1767,4426,1782,4366,1782xm4471,1782l4471,1767,4531,1767,4531,1782,4471,1782xm4576,1781l4576,1766,4636,1766,4636,1781,4576,1781xm4681,1781l4681,1766,4741,1766,4741,1781,4681,1781xm4786,1781l4786,1766,4846,1765,4846,1780,4786,1781xm4891,1780l4891,1765,4951,1765,4951,1780,4891,1780xm4996,1780l4996,1765,5056,1765,5056,1780,4996,1780xm5101,1779l5101,1764,5161,1764,5161,1779,5101,1779xe">
              <v:path arrowok="t"/>
              <v:fill on="t" color2="#FFFFFF" focussize="0,0"/>
              <v:stroke on="f"/>
              <v:imagedata o:title=""/>
              <o:lock v:ext="edit" aspectratio="f"/>
            </v:shape>
            <v:shape id="_x0000_s1084" o:spid="_x0000_s1084" style="position:absolute;left:0;top:1592;height:120;width:1126;" fillcolor="#000000" filled="t" stroked="f" coordorigin="0,1593" coordsize="1126,120" path="m1111,1660l1035,1660,1035,1645,1005,1645,1005,1593,1125,1653,1111,1660xm1005,1660l0,1657,0,1642,1005,1645,1005,1660xm1035,1660l1005,1660,1005,1645,1035,1645,1035,1660xm1005,1713l1005,1660,1111,1660,1005,1713xe">
              <v:path arrowok="t"/>
              <v:fill on="t" color2="#FFFFFF" focussize="0,0"/>
              <v:stroke on="f"/>
              <v:imagedata o:title=""/>
              <o:lock v:ext="edit" aspectratio="f"/>
            </v:shape>
            <v:shape id="_x0000_s1085" o:spid="_x0000_s1085" style="position:absolute;left:5397;top:2306;height:516;width:1284;" fillcolor="#000000" filled="t" stroked="f" coordorigin="5397,2306" coordsize="1284,516" path="m6675,2822l5403,2822,5401,2822,5399,2820,5397,2818,5397,2816,5397,2312,5397,2310,5399,2308,5401,2307,5403,2306,6675,2306,6677,2307,6679,2308,6681,2310,6681,2312,5409,2312,5403,2318,5409,2318,5409,2810,5403,2810,5409,2816,6681,2816,6681,2818,6679,2820,6677,2822,6675,2822xm5409,2318l5403,2318,5409,2312,5409,2318xm6669,2318l5409,2318,5409,2312,6669,2312,6669,2318xm6669,2816l6669,2312,6675,2318,6681,2318,6681,2810,6675,2810,6669,2816xm6681,2318l6675,2318,6669,2312,6681,2312,6681,2318xm5409,2816l5403,2810,5409,2810,5409,2816xm6669,2816l5409,2816,5409,2810,6669,2810,6669,2816xm6681,2816l6669,2816,6675,2810,6681,2810,6681,2816xe">
              <v:path arrowok="t"/>
              <v:fill on="t" color2="#FFFFFF" focussize="0,0"/>
              <v:stroke on="f"/>
              <v:imagedata o:title=""/>
              <o:lock v:ext="edit" aspectratio="f"/>
            </v:shape>
            <v:shape id="_x0000_s1086" o:spid="_x0000_s1086" style="position:absolute;left:4300;top:2504;height:120;width:1103;" fillcolor="#000000" filled="t" stroked="f" coordorigin="4301,2504" coordsize="1103,120" path="m5389,2572l5306,2572,5306,2557,5283,2557,5283,2504,5403,2565,5389,2572xm5283,2572l5246,2572,5246,2557,5283,2557,5283,2572xm5306,2572l5283,2572,5283,2557,5306,2557,5306,2572xm5283,2624l5283,2572,5389,2572,5283,2624xm4361,2568l4301,2568,4301,2553,4361,2553,4361,2568xm4466,2568l4406,2568,4406,2553,4466,2553,4466,2568xm4571,2569l4511,2568,4511,2553,4571,2554,4571,2569xm4676,2569l4616,2569,4616,2554,4676,2554,4676,2569xm4781,2570l4721,2569,4721,2554,4781,2555,4781,2570xm4886,2570l4826,2570,4826,2555,4886,2555,4886,2570xm4991,2571l4931,2570,4931,2555,4991,2556,4991,2571xm5096,2571l5036,2571,5036,2556,5096,2556,5096,2571xm5201,2572l5141,2571,5141,2556,5201,2557,5201,2572xe">
              <v:path arrowok="t"/>
              <v:fill on="t" color2="#FFFFFF" focussize="0,0"/>
              <v:stroke on="f"/>
              <v:imagedata o:title=""/>
              <o:lock v:ext="edit" aspectratio="f"/>
            </v:shape>
            <v:shape id="_x0000_s1087" o:spid="_x0000_s1087" style="position:absolute;left:147;top:2309;height:120;width:978;" fillcolor="#000000" filled="t" stroked="f" coordorigin="147,2309" coordsize="978,120" path="m1005,2429l1005,2309,1110,2362,1035,2362,1035,2377,1110,2377,1005,2429xm1005,2377l147,2377,147,2362,1005,2362,1005,2377xm1110,2377l1035,2377,1035,2362,1110,2362,1125,2369,1110,2377xe">
              <v:path arrowok="t"/>
              <v:fill on="t" color2="#FFFFFF" focussize="0,0"/>
              <v:stroke on="f"/>
              <v:imagedata o:title=""/>
              <o:lock v:ext="edit" aspectratio="f"/>
            </v:shape>
            <v:shape id="_x0000_s1088" o:spid="_x0000_s1088" style="position:absolute;left:2765;top:0;height:1139;width:120;" fillcolor="#000000" filled="t" stroked="f" coordorigin="2765,0" coordsize="120,1139" path="m2818,1018l2812,0,2827,0,2833,1018,2818,1018xm2870,1048l2818,1048,2833,1048,2833,1018,2885,1018,2870,1048xm2818,1048l2818,1018,2833,1018,2833,1048,2818,1048xm2826,1138l2765,1018,2818,1018,2818,1048,2870,1048,2826,1138xe">
              <v:path arrowok="t"/>
              <v:fill on="t" color2="#FFFFFF" focussize="0,0"/>
              <v:stroke on="f"/>
              <v:imagedata o:title=""/>
              <o:lock v:ext="edit" aspectratio="f"/>
            </v:shape>
            <v:shape id="_x0000_s1089" o:spid="_x0000_s1089" style="position:absolute;left:1953;top:1132;height:516;width:1745;" fillcolor="#000000" filled="t" stroked="f" coordorigin="1953,1132" coordsize="1745,516" path="m3692,1648l1959,1648,1957,1648,1955,1646,1953,1644,1953,1642,1953,1138,1953,1136,1955,1134,1957,1133,1959,1132,3692,1132,3694,1133,3696,1134,3698,1136,3698,1138,1965,1138,1959,1144,1965,1144,1965,1636,1959,1636,1965,1642,3698,1642,3698,1644,3696,1646,3694,1648,3692,1648xm1965,1144l1959,1144,1965,1138,1965,1144xm3686,1144l1965,1144,1965,1138,3686,1138,3686,1144xm3686,1642l3686,1138,3692,1144,3698,1144,3698,1636,3692,1636,3686,1642xm3698,1144l3692,1144,3686,1138,3698,1138,3698,1144xm1965,1642l1959,1636,1965,1636,1965,1642xm3686,1642l1965,1642,1965,1636,3686,1636,3686,1642xm3698,1642l3686,1642,3692,1636,3698,1636,3698,1642xe">
              <v:path arrowok="t"/>
              <v:fill on="t" color2="#FFFFFF" focussize="0,0"/>
              <v:stroke on="f"/>
              <v:imagedata o:title=""/>
              <o:lock v:ext="edit" aspectratio="f"/>
            </v:shape>
            <v:shape id="_x0000_s1090" o:spid="_x0000_s1090" style="position:absolute;left:1964;top:2128;height:783;width:1745;" fillcolor="#000000" filled="t" stroked="f" coordorigin="1964,2128" coordsize="1745,783" path="m3703,2911l1970,2911,1968,2911,1966,2909,1964,2907,1964,2905,1964,2134,1964,2132,1966,2130,1968,2129,1970,2128,3703,2128,3705,2129,3707,2130,3709,2132,3709,2134,1976,2134,1970,2140,1976,2140,1976,2899,1970,2899,1976,2905,3709,2905,3709,2907,3707,2909,3705,2911,3703,2911xm1976,2140l1970,2140,1976,2134,1976,2140xm3697,2140l1976,2140,1976,2134,3697,2134,3697,2140xm3697,2905l3697,2134,3703,2140,3709,2140,3709,2899,3703,2899,3697,2905xm3709,2140l3703,2140,3697,2134,3709,2134,3709,2140xm1976,2905l1970,2899,1976,2899,1976,2905xm3697,2905l1976,2905,1976,2899,3697,2899,3697,2905xm3709,2905l3697,2905,3703,2899,3709,2899,3709,2905xe">
              <v:path arrowok="t"/>
              <v:fill on="t" color2="#FFFFFF" focussize="0,0"/>
              <v:stroke on="f"/>
              <v:imagedata o:title=""/>
              <o:lock v:ext="edit" aspectratio="f"/>
            </v:shape>
            <v:shape id="_x0000_s1091" o:spid="_x0000_s1091" style="position:absolute;left:2774;top:1641;height:493;width:120;" fillcolor="#000000" filled="t" stroked="f" coordorigin="2774,1642" coordsize="120,493" path="m2827,2014l2819,1642,2834,1642,2842,2014,2827,2014xm2879,2044l2828,2044,2843,2044,2842,2014,2894,2013,2879,2044xm2828,2044l2827,2014,2842,2014,2843,2044,2828,2044xm2837,2134l2774,2015,2827,2014,2828,2044,2879,2044,2837,2134xe">
              <v:path arrowok="t"/>
              <v:fill on="t" color2="#FFFFFF" focussize="0,0"/>
              <v:stroke on="f"/>
              <v:imagedata o:title=""/>
              <o:lock v:ext="edit" aspectratio="f"/>
            </v:shape>
            <v:shape id="_x0000_s1092" o:spid="_x0000_s1092" style="position:absolute;left:2771;top:2904;height:430;width:120;" fillcolor="#000000" filled="t" stroked="f" coordorigin="2771,2905" coordsize="120,430" path="m2839,3214l2824,3214,2830,2905,2845,2905,2839,3214xm2829,3334l2771,3213,2824,3214,2823,3244,2838,3244,2876,3244,2829,3334xm2838,3244l2823,3244,2824,3214,2839,3214,2838,3244xm2876,3244l2838,3244,2839,3214,2891,3215,2876,3244xe">
              <v:path arrowok="t"/>
              <v:fill on="t" color2="#FFFFFF" focussize="0,0"/>
              <v:stroke on="f"/>
              <v:imagedata o:title=""/>
              <o:lock v:ext="edit" aspectratio="f"/>
            </v:shape>
            <v:shape id="_x0000_s1093" o:spid="_x0000_s1093" style="position:absolute;left:1956;top:3328;height:839;width:1745;" fillcolor="#000000" filled="t" stroked="f" coordorigin="1956,3328" coordsize="1745,839" path="m3695,4167l1962,4167,1960,4167,1958,4165,1956,4163,1956,4161,1956,3334,1956,3332,1958,3330,1960,3328,1962,3328,3695,3328,3697,3328,3699,3330,3701,3332,3701,3334,1968,3334,1962,3340,1968,3340,1968,4155,1962,4155,1968,4161,3701,4161,3701,4163,3699,4165,3697,4167,3695,4167xm1968,3340l1962,3340,1968,3334,1968,3340xm3689,3340l1968,3340,1968,3334,3689,3334,3689,3340xm3689,4161l3689,3334,3695,3340,3701,3340,3701,4155,3695,4155,3689,4161xm3701,3340l3695,3340,3689,3334,3701,3334,3701,3340xm1968,4161l1962,4155,1968,4155,1968,4161xm3689,4161l1968,4161,1968,4155,3689,4155,3689,4161xm3701,4161l3689,4161,3695,4155,3701,4155,3701,4161xe">
              <v:path arrowok="t"/>
              <v:fill on="t" color2="#FFFFFF" focussize="0,0"/>
              <v:stroke on="f"/>
              <v:imagedata o:title=""/>
              <o:lock v:ext="edit" aspectratio="f"/>
            </v:shape>
            <v:shape id="_x0000_s1094" o:spid="_x0000_s1094" style="position:absolute;left:2777;top:4160;height:599;width:120;" fillcolor="#000000" filled="t" stroked="f" coordorigin="2778,4161" coordsize="120,599" path="m2830,4639l2822,4161,2837,4161,2845,4639,2830,4639xm2883,4669l2831,4669,2846,4669,2845,4639,2898,4638,2883,4669xm2831,4669l2830,4639,2845,4639,2846,4669,2831,4669xm2840,4759l2778,4640,2830,4639,2831,4669,2883,4669,2840,4759xe">
              <v:path arrowok="t"/>
              <v:fill on="t" color2="#FFFFFF" focussize="0,0"/>
              <v:stroke on="f"/>
              <v:imagedata o:title=""/>
              <o:lock v:ext="edit" aspectratio="f"/>
            </v:shape>
            <v:shape id="_x0000_s1095" o:spid="_x0000_s1095" style="position:absolute;left:1967;top:4753;height:516;width:1745;" fillcolor="#000000" filled="t" stroked="f" coordorigin="1967,4753" coordsize="1745,516" path="m3706,5269l1973,5269,1971,5269,1969,5267,1967,5265,1967,5263,1967,4759,1967,4757,1969,4755,1971,4753,1973,4753,3706,4753,3708,4753,3710,4755,3712,4757,3712,4759,1979,4759,1973,4765,1979,4765,1979,5257,1973,5257,1979,5263,3712,5263,3712,5265,3710,5267,3708,5269,3706,5269xm1979,4765l1973,4765,1979,4759,1979,4765xm3700,4765l1979,4765,1979,4759,3700,4759,3700,4765xm3700,5263l3700,4759,3706,4765,3712,4765,3712,5257,3706,5257,3700,5263xm3712,4765l3706,4765,3700,4759,3712,4759,3712,4765xm1979,5263l1973,5257,1979,5257,1979,5263xm3700,5263l1979,5263,1979,5257,3700,5257,3700,5263xm3712,5263l3700,5263,3706,5257,3712,5257,3712,5263xe">
              <v:path arrowok="t"/>
              <v:fill on="t" color2="#FFFFFF" focussize="0,0"/>
              <v:stroke on="f"/>
              <v:imagedata o:title=""/>
              <o:lock v:ext="edit" aspectratio="f"/>
            </v:shape>
            <v:shape id="_x0000_s1096" o:spid="_x0000_s1096" style="position:absolute;left:2787;top:5262;height:455;width:120;" fillcolor="#000000" filled="t" stroked="f" coordorigin="2787,5263" coordsize="120,455" path="m2840,5597l2833,5263,2848,5263,2855,5597,2840,5597xm2892,5627l2841,5627,2856,5627,2855,5597,2907,5596,2892,5627xm2841,5627l2840,5597,2855,5597,2856,5627,2841,5627xm2850,5717l2787,5598,2840,5597,2841,5627,2892,5627,2850,5717xe">
              <v:path arrowok="t"/>
              <v:fill on="t" color2="#FFFFFF" focussize="0,0"/>
              <v:stroke on="f"/>
              <v:imagedata o:title=""/>
              <o:lock v:ext="edit" aspectratio="f"/>
            </v:shape>
            <v:shape id="_x0000_s1097" o:spid="_x0000_s1097" style="position:absolute;left:1977;top:5711;height:516;width:1745;" fillcolor="#000000" filled="t" stroked="f" coordorigin="1977,5711" coordsize="1745,516" path="m3716,6227l1983,6227,1981,6227,1979,6225,1977,6223,1977,6221,1977,5717,1977,5715,1979,5713,1981,5712,1983,5711,3716,5711,3718,5712,3720,5713,3722,5715,3722,5717,1989,5717,1983,5723,1989,5723,1989,6215,1983,6215,1989,6221,3722,6221,3722,6223,3720,6225,3718,6227,3716,6227xm1989,5723l1983,5723,1989,5717,1989,5723xm3710,5723l1989,5723,1989,5717,3710,5717,3710,5723xm3710,6221l3710,5717,3716,5723,3722,5723,3722,6215,3716,6215,3710,6221xm3722,5723l3716,5723,3710,5717,3722,5717,3722,5723xm1989,6221l1983,6215,1989,6215,1989,6221xm3710,6221l1989,6221,1989,6215,3710,6215,3710,6221xm3722,6221l3710,6221,3716,6215,3722,6215,3722,6221xe">
              <v:path arrowok="t"/>
              <v:fill on="t" color2="#FFFFFF" focussize="0,0"/>
              <v:stroke on="f"/>
              <v:imagedata o:title=""/>
              <o:lock v:ext="edit" aspectratio="f"/>
            </v:shape>
            <v:shape id="_x0000_s1098" o:spid="_x0000_s1098" style="position:absolute;left:3716;top:5909;height:120;width:2312;" fillcolor="#000000" filled="t" stroked="f" coordorigin="3716,5909" coordsize="2312,120" path="m5908,6029l5908,5909,6016,5963,5938,5963,5938,5975,6016,5975,5908,6029xm5908,5975l5900,5975,5900,5963,5908,5963,5908,5975xm6016,5975l5938,5975,5938,5963,6016,5963,6028,5969,6016,5975xm3764,5975l3716,5975,3716,5963,3764,5963,3764,5975xm3848,5975l3800,5975,3800,5963,3848,5963,3848,5975xm3932,5975l3884,5975,3884,5963,3932,5963,3932,5975xm4016,5975l3968,5975,3968,5963,4016,5963,4016,5975xm4100,5975l4052,5975,4052,5963,4100,5963,4100,5975xm4184,5975l4136,5975,4136,5963,4184,5963,4184,5975xm4268,5975l4220,5975,4220,5963,4268,5963,4268,5975xm4352,5975l4304,5975,4304,5963,4352,5963,4352,5975xm4436,5975l4388,5975,4388,5963,4436,5963,4436,5975xm4520,5975l4472,5975,4472,5963,4520,5963,4520,5975xm4604,5975l4556,5975,4556,5963,4604,5963,4604,5975xm4688,5975l4640,5975,4640,5963,4688,5963,4688,5975xm4772,5975l4724,5975,4724,5963,4772,5963,4772,5975xm4856,5975l4808,5975,4808,5963,4856,5963,4856,5975xm4940,5975l4892,5975,4892,5963,4940,5963,4940,5975xm5024,5975l4976,5975,4976,5963,5024,5963,5024,5975xm5108,5975l5060,5975,5060,5963,5108,5963,5108,5975xm5192,5975l5144,5975,5144,5963,5192,5963,5192,5975xm5276,5975l5228,5975,5228,5963,5276,5963,5276,5975xm5360,5975l5312,5975,5312,5963,5360,5963,5360,5975xm5444,5975l5396,5975,5396,5963,5444,5963,5444,5975xm5528,5975l5480,5975,5480,5963,5528,5963,5528,5975xm5612,5975l5564,5975,5564,5963,5612,5963,5612,5975xm5696,5975l5648,5975,5648,5963,5696,5963,5696,5975xm5780,5975l5732,5975,5732,5963,5780,5963,5780,5975xm5864,5975l5816,5975,5816,5963,5864,5963,5864,5975xe">
              <v:path arrowok="t"/>
              <v:fill on="t" color2="#FFFFFF" focussize="0,0"/>
              <v:stroke on="f"/>
              <v:imagedata o:title=""/>
              <o:lock v:ext="edit" aspectratio="f"/>
            </v:shape>
            <v:shape id="_x0000_s1099" o:spid="_x0000_s1099" o:spt="75" type="#_x0000_t75" style="position:absolute;left:2783;top:6220;height:304;width:120;" filled="f" o:preferrelative="t" stroked="f" coordsize="21600,21600">
              <v:path/>
              <v:fill on="f" focussize="0,0"/>
              <v:stroke on="f"/>
              <v:imagedata r:id="rId38" o:title=""/>
              <o:lock v:ext="edit" aspectratio="t"/>
            </v:shape>
            <v:shape id="_x0000_s1100" o:spid="_x0000_s1100" style="position:absolute;left:354;top:5907;height:120;width:1629;" fillcolor="#000000" filled="t" stroked="f" coordorigin="355,5908" coordsize="1629,120" path="m1969,5976l1893,5976,1893,5961,1863,5960,1864,5908,1983,5969,1969,5976xm1863,5975l355,5961,355,5946,1863,5960,1863,5975xm1893,5976l1863,5975,1863,5960,1893,5961,1893,5976xm1862,6028l1863,5975,1969,5976,1862,6028xe">
              <v:path arrowok="t"/>
              <v:fill on="t" color2="#FFFFFF" focussize="0,0"/>
              <v:stroke on="f"/>
              <v:imagedata o:title=""/>
              <o:lock v:ext="edit" aspectratio="f"/>
            </v:shape>
            <v:shape id="_x0000_s1101" o:spid="_x0000_s1101" style="position:absolute;left:5978;top:2816;height:3097;width:120;" fillcolor="#000000" filled="t" stroked="f" coordorigin="5979,2816" coordsize="120,3097" path="m6033,2936l5979,2936,6039,2816,6093,2924,6033,2924,6033,2936xm6045,2936l6033,2936,6033,2924,6045,2924,6045,2936xm6099,2936l6045,2936,6045,2924,6033,2924,6093,2924,6099,2936xm6044,2972l6032,2972,6033,2936,6045,2936,6044,2972xm6034,5912l6022,5912,6022,5864,6034,5864,6034,5912xm6034,5828l6022,5828,6022,5780,6034,5780,6034,5828xm6035,5744l6023,5744,6023,5696,6035,5696,6035,5744xm6035,5660l6023,5660,6023,5612,6035,5612,6035,5660xm6035,5576l6023,5576,6023,5528,6035,5528,6035,5576xm6036,5492l6024,5492,6024,5444,6036,5444,6036,5492xm6036,5408l6024,5408,6024,5360,6036,5360,6036,5408xm6036,5324l6024,5324,6024,5276,6036,5276,6036,5324xm6036,5240l6024,5240,6025,5192,6037,5192,6036,5240xm6037,5156l6025,5156,6025,5108,6037,5108,6037,5156xm6037,5072l6025,5072,6025,5024,6037,5024,6037,5072xm6037,4988l6025,4988,6025,4940,6037,4940,6037,4988xm6038,4904l6026,4904,6026,4856,6038,4856,6038,4904xm6038,4820l6026,4820,6026,4772,6038,4772,6038,4820xm6038,4736l6026,4736,6026,4688,6038,4688,6038,4736xm6038,4652l6026,4652,6027,4604,6039,4604,6038,4652xm6039,4568l6027,4568,6027,4520,6039,4520,6039,4568xm6039,4484l6027,4484,6027,4436,6039,4436,6039,4484xm6039,4400l6027,4400,6028,4352,6040,4352,6039,4400xm6040,4316l6028,4316,6028,4268,6040,4268,6040,4316xm6040,4232l6028,4232,6028,4184,6040,4184,6040,4232xm6040,4148l6028,4148,6028,4100,6040,4100,6040,4148xm6041,4064l6029,4064,6029,4016,6041,4016,6041,4064xm6041,3980l6029,3980,6029,3932,6041,3932,6041,3980xm6041,3896l6029,3896,6029,3848,6041,3848,6041,3896xm6041,3812l6029,3812,6030,3764,6042,3764,6041,3812xm6042,3728l6030,3728,6030,3680,6042,3680,6042,3728xm6042,3644l6030,3644,6030,3596,6042,3596,6042,3644xm6042,3560l6030,3560,6031,3512,6043,3512,6042,3560xm6043,3476l6031,3476,6031,3428,6043,3428,6043,3476xm6043,3392l6031,3392,6031,3344,6043,3344,6043,3392xm6043,3308l6031,3308,6031,3260,6043,3260,6043,3308xm6044,3224l6032,3224,6032,3176,6044,3176,6044,3224xm6044,3140l6032,3140,6032,3092,6044,3092,6044,3140xm6044,3056l6032,3056,6032,3008,6044,3008,6044,3056xe">
              <v:path arrowok="t"/>
              <v:fill on="t" color2="#FFFFFF" focussize="0,0"/>
              <v:stroke on="f"/>
              <v:imagedata o:title=""/>
              <o:lock v:ext="edit" aspectratio="f"/>
            </v:shape>
            <v:shape id="_x0000_s1102" o:spid="_x0000_s1102" o:spt="202" type="#_x0000_t202" style="position:absolute;left:1304;top:521;height:240;width:50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羊舍</w:t>
                    </w:r>
                  </w:p>
                </w:txbxContent>
              </v:textbox>
            </v:shape>
            <v:shape id="_x0000_s1103" o:spid="_x0000_s1103" o:spt="202" type="#_x0000_t202" style="position:absolute;left:2113;top:699;height:243;width:1808;" filled="f" stroked="f" coordsize="21600,21600">
              <v:path/>
              <v:fill on="f" focussize="0,0"/>
              <v:stroke on="f"/>
              <v:imagedata o:title=""/>
              <o:lock v:ext="edit" aspectratio="f"/>
              <v:textbox inset="0mm,0mm,0mm,0mm">
                <w:txbxContent>
                  <w:p>
                    <w:pPr>
                      <w:tabs>
                        <w:tab w:val="left" w:pos="827"/>
                      </w:tabs>
                      <w:spacing w:before="0" w:line="242" w:lineRule="exact"/>
                      <w:ind w:left="0" w:right="0" w:firstLine="0"/>
                      <w:jc w:val="left"/>
                      <w:rPr>
                        <w:sz w:val="24"/>
                      </w:rPr>
                    </w:pPr>
                    <w:r>
                      <w:rPr>
                        <w:sz w:val="24"/>
                      </w:rPr>
                      <w:t>配种</w:t>
                    </w:r>
                    <w:r>
                      <w:rPr>
                        <w:sz w:val="24"/>
                      </w:rPr>
                      <w:tab/>
                    </w:r>
                    <w:r>
                      <w:rPr>
                        <w:sz w:val="24"/>
                      </w:rPr>
                      <w:t>人工授精</w:t>
                    </w:r>
                  </w:p>
                </w:txbxContent>
              </v:textbox>
            </v:shape>
            <v:shape id="_x0000_s1104" o:spid="_x0000_s1104" o:spt="202" type="#_x0000_t202" style="position:absolute;left:5478;top:838;height:240;width:50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恶臭</w:t>
                    </w:r>
                  </w:p>
                </w:txbxContent>
              </v:textbox>
            </v:shape>
            <v:shape id="_x0000_s1105" o:spid="_x0000_s1105" o:spt="202" type="#_x0000_t202" style="position:absolute;left:44;top:1275;height:240;width:98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外购饲料</w:t>
                    </w:r>
                  </w:p>
                </w:txbxContent>
              </v:textbox>
            </v:shape>
            <v:shape id="_x0000_s1106" o:spid="_x0000_s1106" o:spt="202" type="#_x0000_t202" style="position:absolute;left:2226;top:1251;height:240;width:122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商品羊繁育</w:t>
                    </w:r>
                  </w:p>
                </w:txbxContent>
              </v:textbox>
            </v:shape>
            <v:shape id="_x0000_s1107" o:spid="_x0000_s1107" o:spt="202" type="#_x0000_t202" style="position:absolute;left:4443;top:1421;height:240;width:74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病死羊</w:t>
                    </w:r>
                  </w:p>
                </w:txbxContent>
              </v:textbox>
            </v:shape>
            <v:shape id="_x0000_s1108" o:spid="_x0000_s1108" o:spt="202" type="#_x0000_t202" style="position:absolute;left:5482;top:1623;height:240;width:170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无害化处理车间</w:t>
                    </w:r>
                  </w:p>
                </w:txbxContent>
              </v:textbox>
            </v:shape>
            <v:shape id="_x0000_s1109" o:spid="_x0000_s1109" o:spt="202" type="#_x0000_t202" style="position:absolute;left:318;top:1997;height:240;width:50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饮水</w:t>
                    </w:r>
                  </w:p>
                </w:txbxContent>
              </v:textbox>
            </v:shape>
            <v:shape id="_x0000_s1110" o:spid="_x0000_s1110" o:spt="202" type="#_x0000_t202" style="position:absolute;left:2235;top:2247;height:552;width:1220;" filled="f" stroked="f" coordsize="21600,21600">
              <v:path/>
              <v:fill on="f" focussize="0,0"/>
              <v:stroke on="f"/>
              <v:imagedata o:title=""/>
              <o:lock v:ext="edit" aspectratio="f"/>
              <v:textbox inset="0mm,0mm,0mm,0mm">
                <w:txbxContent>
                  <w:p>
                    <w:pPr>
                      <w:spacing w:before="0" w:line="274" w:lineRule="exact"/>
                      <w:ind w:left="-1" w:right="18" w:firstLine="0"/>
                      <w:jc w:val="center"/>
                      <w:rPr>
                        <w:sz w:val="24"/>
                      </w:rPr>
                    </w:pPr>
                    <w:r>
                      <w:rPr>
                        <w:spacing w:val="-4"/>
                        <w:sz w:val="24"/>
                      </w:rPr>
                      <w:t>羔羊工厂化</w:t>
                    </w:r>
                  </w:p>
                  <w:p>
                    <w:pPr>
                      <w:spacing w:before="4" w:line="274" w:lineRule="exact"/>
                      <w:ind w:left="220" w:right="239" w:firstLine="0"/>
                      <w:jc w:val="center"/>
                      <w:rPr>
                        <w:sz w:val="24"/>
                      </w:rPr>
                    </w:pPr>
                    <w:r>
                      <w:rPr>
                        <w:sz w:val="24"/>
                      </w:rPr>
                      <w:t>饲养</w:t>
                    </w:r>
                  </w:p>
                </w:txbxContent>
              </v:textbox>
            </v:shape>
            <v:shape id="_x0000_s1111" o:spid="_x0000_s1111" o:spt="202" type="#_x0000_t202" style="position:absolute;left:4556;top:2201;height:240;width:50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羊粪</w:t>
                    </w:r>
                  </w:p>
                </w:txbxContent>
              </v:textbox>
            </v:shape>
            <v:shape id="_x0000_s1112" o:spid="_x0000_s1112" o:spt="202" type="#_x0000_t202" style="position:absolute;left:5679;top:2424;height:240;width:74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堆肥厂</w:t>
                    </w:r>
                  </w:p>
                </w:txbxContent>
              </v:textbox>
            </v:shape>
            <v:shape id="_x0000_s1113" o:spid="_x0000_s1113" o:spt="202" type="#_x0000_t202" style="position:absolute;left:7189;top:2501;height:240;width:50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恶臭</w:t>
                    </w:r>
                  </w:p>
                </w:txbxContent>
              </v:textbox>
            </v:shape>
            <v:shape id="_x0000_s1114" o:spid="_x0000_s1114" o:spt="202" type="#_x0000_t202" style="position:absolute;left:2228;top:3447;height:552;width:1220;" filled="f" stroked="f" coordsize="21600,21600">
              <v:path/>
              <v:fill on="f" focussize="0,0"/>
              <v:stroke on="f"/>
              <v:imagedata o:title=""/>
              <o:lock v:ext="edit" aspectratio="f"/>
              <v:textbox inset="0mm,0mm,0mm,0mm">
                <w:txbxContent>
                  <w:p>
                    <w:pPr>
                      <w:spacing w:before="0" w:line="274" w:lineRule="exact"/>
                      <w:ind w:left="-1" w:right="18" w:firstLine="0"/>
                      <w:jc w:val="center"/>
                      <w:rPr>
                        <w:sz w:val="24"/>
                      </w:rPr>
                    </w:pPr>
                    <w:r>
                      <w:rPr>
                        <w:spacing w:val="-4"/>
                        <w:sz w:val="24"/>
                      </w:rPr>
                      <w:t>商品羊工厂</w:t>
                    </w:r>
                  </w:p>
                  <w:p>
                    <w:pPr>
                      <w:spacing w:before="4" w:line="274" w:lineRule="exact"/>
                      <w:ind w:left="220" w:right="239" w:firstLine="0"/>
                      <w:jc w:val="center"/>
                      <w:rPr>
                        <w:sz w:val="24"/>
                      </w:rPr>
                    </w:pPr>
                    <w:r>
                      <w:rPr>
                        <w:sz w:val="24"/>
                      </w:rPr>
                      <w:t>化饲养</w:t>
                    </w:r>
                  </w:p>
                </w:txbxContent>
              </v:textbox>
            </v:shape>
            <v:shape id="_x0000_s1115" o:spid="_x0000_s1115" o:spt="202" type="#_x0000_t202" style="position:absolute;left:2598;top:4872;height:240;width:50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出栏</w:t>
                    </w:r>
                  </w:p>
                </w:txbxContent>
              </v:textbox>
            </v:shape>
            <v:shape id="_x0000_s1116" o:spid="_x0000_s1116" o:spt="202" type="#_x0000_t202" style="position:absolute;left:562;top:5585;height:240;width:98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人工清理</w:t>
                    </w:r>
                  </w:p>
                </w:txbxContent>
              </v:textbox>
            </v:shape>
            <v:shape id="_x0000_s1117" o:spid="_x0000_s1117" o:spt="202" type="#_x0000_t202" style="position:absolute;left:4093;top:5592;height:240;width:98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废弃垫料</w:t>
                    </w:r>
                  </w:p>
                </w:txbxContent>
              </v:textbox>
            </v:shape>
            <v:shape id="_x0000_s1118" o:spid="_x0000_s1118" o:spt="202" type="#_x0000_t202" style="position:absolute;left:2370;top:5830;height:240;width:98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清栏消毒</w:t>
                    </w:r>
                  </w:p>
                </w:txbxContent>
              </v:textbox>
            </v:shape>
            <w10:wrap type="none"/>
            <w10:anchorlock/>
          </v:group>
        </w:pict>
      </w:r>
    </w:p>
    <w:p>
      <w:pPr>
        <w:pStyle w:val="7"/>
        <w:spacing w:before="127"/>
        <w:ind w:left="0" w:right="2009"/>
        <w:jc w:val="center"/>
      </w:pPr>
      <w:r>
        <w:rPr>
          <w:rFonts w:hint="eastAsia"/>
          <w:lang w:val="en-US" w:eastAsia="zh-CN"/>
        </w:rPr>
        <w:t xml:space="preserve">    </w:t>
      </w:r>
      <w:r>
        <w:t>饲养下批</w:t>
      </w:r>
    </w:p>
    <w:p>
      <w:pPr>
        <w:pStyle w:val="7"/>
        <w:bidi w:val="0"/>
        <w:jc w:val="center"/>
      </w:pPr>
      <w:r>
        <w:t>图</w:t>
      </w:r>
      <w:r>
        <w:rPr>
          <w:rFonts w:ascii="Times New Roman" w:eastAsia="Times New Roman"/>
        </w:rPr>
        <w:t>3.1-4</w:t>
      </w:r>
      <w:r>
        <w:rPr>
          <w:rFonts w:ascii="Times New Roman" w:eastAsia="Times New Roman"/>
        </w:rPr>
        <w:tab/>
      </w:r>
      <w:r>
        <w:t>养殖工艺流程及产污节点图</w:t>
      </w:r>
    </w:p>
    <w:p>
      <w:pPr>
        <w:pStyle w:val="18"/>
        <w:numPr>
          <w:ilvl w:val="4"/>
          <w:numId w:val="21"/>
        </w:numPr>
        <w:tabs>
          <w:tab w:val="left" w:pos="1500"/>
        </w:tabs>
        <w:spacing w:before="161" w:after="0" w:line="240" w:lineRule="auto"/>
        <w:ind w:left="1500" w:right="0" w:hanging="960"/>
        <w:jc w:val="left"/>
        <w:rPr>
          <w:sz w:val="24"/>
        </w:rPr>
      </w:pPr>
      <w:r>
        <w:rPr>
          <w:sz w:val="24"/>
        </w:rPr>
        <w:t>繁育工艺技术路线</w:t>
      </w:r>
    </w:p>
    <w:p>
      <w:pPr>
        <w:pStyle w:val="18"/>
        <w:numPr>
          <w:ilvl w:val="5"/>
          <w:numId w:val="21"/>
        </w:numPr>
        <w:tabs>
          <w:tab w:val="left" w:pos="1621"/>
        </w:tabs>
        <w:spacing w:before="160" w:after="0" w:line="240" w:lineRule="auto"/>
        <w:ind w:left="1621" w:right="0" w:hanging="601"/>
        <w:jc w:val="left"/>
        <w:rPr>
          <w:sz w:val="24"/>
        </w:rPr>
      </w:pPr>
      <w:r>
        <w:rPr>
          <w:sz w:val="24"/>
        </w:rPr>
        <w:t>商品羊生产方案</w:t>
      </w:r>
    </w:p>
    <w:p>
      <w:pPr>
        <w:pStyle w:val="7"/>
        <w:spacing w:before="161"/>
        <w:ind w:left="1020"/>
      </w:pPr>
      <w:r>
        <w:t>依据</w:t>
      </w:r>
      <w:r>
        <w:rPr>
          <w:rFonts w:hint="eastAsia"/>
          <w:lang w:val="en-US" w:eastAsia="zh-CN"/>
        </w:rPr>
        <w:t>莎车</w:t>
      </w:r>
      <w:r>
        <w:t>县肉羊养殖环境及养殖习惯，本项目选用自繁自育的生产模式。</w:t>
      </w:r>
    </w:p>
    <w:p>
      <w:pPr>
        <w:pStyle w:val="18"/>
        <w:numPr>
          <w:ilvl w:val="5"/>
          <w:numId w:val="21"/>
        </w:numPr>
        <w:tabs>
          <w:tab w:val="left" w:pos="1621"/>
        </w:tabs>
        <w:spacing w:before="160" w:after="0" w:line="240" w:lineRule="auto"/>
        <w:ind w:left="1621" w:right="0" w:hanging="601"/>
        <w:jc w:val="left"/>
      </w:pPr>
      <w:r>
        <w:pict>
          <v:group id="_x0000_s1119" o:spid="_x0000_s1119" o:spt="203" style="position:absolute;left:0pt;margin-left:90.15pt;margin-top:25.75pt;height:175.95pt;width:407.8pt;mso-position-horizontal-relative:page;mso-wrap-distance-bottom:0pt;mso-wrap-distance-top:0pt;z-index:-251599872;mso-width-relative:page;mso-height-relative:page;" coordorigin="1804,516" coordsize="8156,3519">
            <o:lock v:ext="edit"/>
            <v:shape id="_x0000_s1120" o:spid="_x0000_s1120" o:spt="75" type="#_x0000_t75" style="position:absolute;left:1804;top:515;height:3519;width:8156;" filled="f" stroked="f" coordsize="21600,21600">
              <v:path/>
              <v:fill on="f" focussize="0,0"/>
              <v:stroke on="f"/>
              <v:imagedata r:id="rId39" o:title=""/>
              <o:lock v:ext="edit" aspectratio="t"/>
            </v:shape>
            <v:shape id="_x0000_s1121" o:spid="_x0000_s1121" o:spt="202" type="#_x0000_t202" style="position:absolute;left:2198;top:714;height:240;width:74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种公羊</w:t>
                    </w:r>
                  </w:p>
                </w:txbxContent>
              </v:textbox>
            </v:shape>
            <v:shape id="_x0000_s1122" o:spid="_x0000_s1122" o:spt="202" type="#_x0000_t202" style="position:absolute;left:5412;top:1326;height:266;width:1040;" filled="f" stroked="f" coordsize="21600,21600">
              <v:path/>
              <v:fill on="f" focussize="0,0"/>
              <v:stroke on="f" joinstyle="miter"/>
              <v:imagedata o:title=""/>
              <o:lock v:ext="edit"/>
              <v:textbox inset="0mm,0mm,0mm,0mm">
                <w:txbxContent>
                  <w:p>
                    <w:pPr>
                      <w:spacing w:before="0" w:line="266" w:lineRule="exact"/>
                      <w:ind w:left="0" w:right="0" w:firstLine="0"/>
                      <w:jc w:val="left"/>
                      <w:rPr>
                        <w:b/>
                        <w:sz w:val="24"/>
                      </w:rPr>
                    </w:pPr>
                    <w:r>
                      <w:rPr>
                        <w:rFonts w:ascii="Times New Roman" w:eastAsia="Times New Roman"/>
                        <w:b/>
                        <w:sz w:val="24"/>
                      </w:rPr>
                      <w:t>20</w:t>
                    </w:r>
                    <w:r>
                      <w:rPr>
                        <w:b/>
                        <w:sz w:val="24"/>
                      </w:rPr>
                      <w:t>～</w:t>
                    </w:r>
                    <w:r>
                      <w:rPr>
                        <w:rFonts w:ascii="Times New Roman" w:eastAsia="Times New Roman"/>
                        <w:b/>
                        <w:sz w:val="24"/>
                      </w:rPr>
                      <w:t xml:space="preserve">24 </w:t>
                    </w:r>
                    <w:r>
                      <w:rPr>
                        <w:b/>
                        <w:sz w:val="24"/>
                      </w:rPr>
                      <w:t>周</w:t>
                    </w:r>
                  </w:p>
                </w:txbxContent>
              </v:textbox>
            </v:shape>
            <v:shape id="_x0000_s1123" o:spid="_x0000_s1123" o:spt="202" type="#_x0000_t202" style="position:absolute;left:8736;top:1602;height:240;width:98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后备母羊</w:t>
                    </w:r>
                  </w:p>
                </w:txbxContent>
              </v:textbox>
            </v:shape>
            <v:shape id="_x0000_s1124" o:spid="_x0000_s1124" o:spt="202" type="#_x0000_t202" style="position:absolute;left:3316;top:2266;height:266;width:440;" filled="f" stroked="f" coordsize="21600,21600">
              <v:path/>
              <v:fill on="f" focussize="0,0"/>
              <v:stroke on="f" joinstyle="miter"/>
              <v:imagedata o:title=""/>
              <o:lock v:ext="edit"/>
              <v:textbox inset="0mm,0mm,0mm,0mm">
                <w:txbxContent>
                  <w:p>
                    <w:pPr>
                      <w:spacing w:before="0" w:line="266" w:lineRule="exact"/>
                      <w:ind w:left="0" w:right="0" w:firstLine="0"/>
                      <w:jc w:val="left"/>
                      <w:rPr>
                        <w:b/>
                        <w:sz w:val="24"/>
                      </w:rPr>
                    </w:pPr>
                    <w:r>
                      <w:rPr>
                        <w:rFonts w:ascii="Times New Roman" w:eastAsia="Times New Roman"/>
                        <w:b/>
                        <w:sz w:val="24"/>
                      </w:rPr>
                      <w:t xml:space="preserve">1 </w:t>
                    </w:r>
                    <w:r>
                      <w:rPr>
                        <w:b/>
                        <w:sz w:val="24"/>
                      </w:rPr>
                      <w:t>周</w:t>
                    </w:r>
                  </w:p>
                </w:txbxContent>
              </v:textbox>
            </v:shape>
            <v:shape id="_x0000_s1125" o:spid="_x0000_s1125" o:spt="202" type="#_x0000_t202" style="position:absolute;left:5580;top:2281;height:266;width:560;" filled="f" stroked="f" coordsize="21600,21600">
              <v:path/>
              <v:fill on="f" focussize="0,0"/>
              <v:stroke on="f" joinstyle="miter"/>
              <v:imagedata o:title=""/>
              <o:lock v:ext="edit"/>
              <v:textbox inset="0mm,0mm,0mm,0mm">
                <w:txbxContent>
                  <w:p>
                    <w:pPr>
                      <w:spacing w:before="0" w:line="266" w:lineRule="exact"/>
                      <w:ind w:left="0" w:right="0" w:firstLine="0"/>
                      <w:jc w:val="left"/>
                      <w:rPr>
                        <w:b/>
                        <w:sz w:val="24"/>
                      </w:rPr>
                    </w:pPr>
                    <w:r>
                      <w:rPr>
                        <w:rFonts w:ascii="Times New Roman" w:eastAsia="Times New Roman"/>
                        <w:b/>
                        <w:sz w:val="24"/>
                      </w:rPr>
                      <w:t xml:space="preserve">20 </w:t>
                    </w:r>
                    <w:r>
                      <w:rPr>
                        <w:b/>
                        <w:sz w:val="24"/>
                      </w:rPr>
                      <w:t>周</w:t>
                    </w:r>
                  </w:p>
                </w:txbxContent>
              </v:textbox>
            </v:shape>
            <v:shape id="_x0000_s1126" o:spid="_x0000_s1126" o:spt="202" type="#_x0000_t202" style="position:absolute;left:7807;top:2278;height:266;width:440;" filled="f" stroked="f" coordsize="21600,21600">
              <v:path/>
              <v:fill on="f" focussize="0,0"/>
              <v:stroke on="f" joinstyle="miter"/>
              <v:imagedata o:title=""/>
              <o:lock v:ext="edit"/>
              <v:textbox inset="0mm,0mm,0mm,0mm">
                <w:txbxContent>
                  <w:p>
                    <w:pPr>
                      <w:spacing w:before="0" w:line="266" w:lineRule="exact"/>
                      <w:ind w:left="0" w:right="0" w:firstLine="0"/>
                      <w:jc w:val="left"/>
                      <w:rPr>
                        <w:b/>
                        <w:sz w:val="24"/>
                      </w:rPr>
                    </w:pPr>
                    <w:r>
                      <w:rPr>
                        <w:rFonts w:ascii="Times New Roman" w:eastAsia="Times New Roman"/>
                        <w:b/>
                        <w:sz w:val="24"/>
                      </w:rPr>
                      <w:t xml:space="preserve">8 </w:t>
                    </w:r>
                    <w:r>
                      <w:rPr>
                        <w:b/>
                        <w:sz w:val="24"/>
                      </w:rPr>
                      <w:t>周</w:t>
                    </w:r>
                  </w:p>
                </w:txbxContent>
              </v:textbox>
            </v:shape>
            <v:shape id="_x0000_s1127" o:spid="_x0000_s1127" o:spt="202" type="#_x0000_t202" style="position:absolute;left:1972;top:2581;height:248;width:7746;" filled="f" stroked="f" coordsize="21600,21600">
              <v:path/>
              <v:fill on="f" focussize="0,0"/>
              <v:stroke on="f" joinstyle="miter"/>
              <v:imagedata o:title=""/>
              <o:lock v:ext="edit"/>
              <v:textbox inset="0mm,0mm,0mm,0mm">
                <w:txbxContent>
                  <w:p>
                    <w:pPr>
                      <w:tabs>
                        <w:tab w:val="left" w:pos="2251"/>
                        <w:tab w:val="left" w:pos="4504"/>
                        <w:tab w:val="left" w:pos="6765"/>
                      </w:tabs>
                      <w:spacing w:before="0" w:line="247" w:lineRule="exact"/>
                      <w:ind w:left="0" w:right="0" w:firstLine="0"/>
                      <w:jc w:val="left"/>
                      <w:rPr>
                        <w:sz w:val="24"/>
                      </w:rPr>
                    </w:pPr>
                    <w:r>
                      <w:rPr>
                        <w:sz w:val="24"/>
                      </w:rPr>
                      <w:t>待配母羊</w:t>
                    </w:r>
                    <w:r>
                      <w:rPr>
                        <w:sz w:val="24"/>
                      </w:rPr>
                      <w:tab/>
                    </w:r>
                    <w:r>
                      <w:rPr>
                        <w:sz w:val="24"/>
                      </w:rPr>
                      <w:t>妊娠母羊</w:t>
                    </w:r>
                    <w:r>
                      <w:rPr>
                        <w:sz w:val="24"/>
                      </w:rPr>
                      <w:tab/>
                    </w:r>
                    <w:r>
                      <w:rPr>
                        <w:sz w:val="24"/>
                      </w:rPr>
                      <w:t>哺乳母羊</w:t>
                    </w:r>
                    <w:r>
                      <w:rPr>
                        <w:sz w:val="24"/>
                      </w:rPr>
                      <w:tab/>
                    </w:r>
                    <w:r>
                      <w:rPr>
                        <w:position w:val="1"/>
                        <w:sz w:val="24"/>
                      </w:rPr>
                      <w:t>育成羔羊</w:t>
                    </w:r>
                  </w:p>
                </w:txbxContent>
              </v:textbox>
            </v:shape>
            <v:shape id="_x0000_s1128" o:spid="_x0000_s1128" o:spt="202" type="#_x0000_t202" style="position:absolute;left:7428;top:3325;height:266;width:1040;" filled="f" stroked="f" coordsize="21600,21600">
              <v:path/>
              <v:fill on="f" focussize="0,0"/>
              <v:stroke on="f" joinstyle="miter"/>
              <v:imagedata o:title=""/>
              <o:lock v:ext="edit"/>
              <v:textbox inset="0mm,0mm,0mm,0mm">
                <w:txbxContent>
                  <w:p>
                    <w:pPr>
                      <w:spacing w:before="0" w:line="266" w:lineRule="exact"/>
                      <w:ind w:left="0" w:right="0" w:firstLine="0"/>
                      <w:jc w:val="left"/>
                      <w:rPr>
                        <w:b/>
                        <w:sz w:val="24"/>
                      </w:rPr>
                    </w:pPr>
                    <w:r>
                      <w:rPr>
                        <w:rFonts w:ascii="Times New Roman" w:eastAsia="Times New Roman"/>
                        <w:b/>
                        <w:sz w:val="24"/>
                      </w:rPr>
                      <w:t>10</w:t>
                    </w:r>
                    <w:r>
                      <w:rPr>
                        <w:b/>
                        <w:sz w:val="24"/>
                      </w:rPr>
                      <w:t>～</w:t>
                    </w:r>
                    <w:r>
                      <w:rPr>
                        <w:rFonts w:ascii="Times New Roman" w:eastAsia="Times New Roman"/>
                        <w:b/>
                        <w:sz w:val="24"/>
                      </w:rPr>
                      <w:t xml:space="preserve">12 </w:t>
                    </w:r>
                    <w:r>
                      <w:rPr>
                        <w:b/>
                        <w:sz w:val="24"/>
                      </w:rPr>
                      <w:t>周</w:t>
                    </w:r>
                  </w:p>
                </w:txbxContent>
              </v:textbox>
            </v:shape>
            <v:shape id="_x0000_s1129" o:spid="_x0000_s1129" o:spt="202" type="#_x0000_t202" style="position:absolute;left:6316;top:3594;height:240;width:50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出栏</w:t>
                    </w:r>
                  </w:p>
                </w:txbxContent>
              </v:textbox>
            </v:shape>
            <v:shape id="_x0000_s1130" o:spid="_x0000_s1130" o:spt="202" type="#_x0000_t202" style="position:absolute;left:8731;top:3414;height:552;width:1086;" filled="f" stroked="f" coordsize="21600,21600">
              <v:path/>
              <v:fill on="f" focussize="0,0"/>
              <v:stroke on="f" joinstyle="miter"/>
              <v:imagedata o:title=""/>
              <o:lock v:ext="edit"/>
              <v:textbox inset="0mm,0mm,0mm,0mm">
                <w:txbxContent>
                  <w:p>
                    <w:pPr>
                      <w:spacing w:before="0" w:line="274" w:lineRule="exact"/>
                      <w:ind w:left="0" w:right="0" w:firstLine="0"/>
                      <w:jc w:val="left"/>
                      <w:rPr>
                        <w:sz w:val="24"/>
                      </w:rPr>
                    </w:pPr>
                    <w:r>
                      <w:rPr>
                        <w:sz w:val="24"/>
                      </w:rPr>
                      <w:t>母羔羊、</w:t>
                    </w:r>
                  </w:p>
                  <w:p>
                    <w:pPr>
                      <w:spacing w:before="4" w:line="274" w:lineRule="exact"/>
                      <w:ind w:left="0" w:right="0" w:firstLine="0"/>
                      <w:jc w:val="left"/>
                      <w:rPr>
                        <w:sz w:val="24"/>
                      </w:rPr>
                    </w:pPr>
                    <w:r>
                      <w:rPr>
                        <w:sz w:val="24"/>
                      </w:rPr>
                      <w:t>育肥羔羊</w:t>
                    </w:r>
                  </w:p>
                </w:txbxContent>
              </v:textbox>
            </v:shape>
            <w10:wrap type="topAndBottom"/>
          </v:group>
        </w:pict>
      </w:r>
      <w:r>
        <w:rPr>
          <w:sz w:val="24"/>
        </w:rPr>
        <w:t>生产工艺流程</w:t>
      </w:r>
    </w:p>
    <w:p>
      <w:pPr>
        <w:pStyle w:val="18"/>
        <w:numPr>
          <w:ilvl w:val="0"/>
          <w:numId w:val="0"/>
        </w:numPr>
        <w:tabs>
          <w:tab w:val="left" w:pos="1621"/>
        </w:tabs>
        <w:spacing w:before="160" w:after="0" w:line="240" w:lineRule="auto"/>
        <w:ind w:left="1020" w:leftChars="0" w:right="0" w:rightChars="0" w:firstLine="2420" w:firstLineChars="1100"/>
        <w:jc w:val="left"/>
      </w:pPr>
      <w:r>
        <w:t>图</w:t>
      </w:r>
      <w:r>
        <w:rPr>
          <w:rFonts w:ascii="Times New Roman" w:eastAsia="Times New Roman"/>
        </w:rPr>
        <w:t>3.1-5</w:t>
      </w:r>
      <w:r>
        <w:rPr>
          <w:rFonts w:ascii="Times New Roman" w:eastAsia="Times New Roman"/>
        </w:rPr>
        <w:tab/>
      </w:r>
      <w:r>
        <w:t>繁育工艺流程图</w:t>
      </w:r>
    </w:p>
    <w:p>
      <w:pPr>
        <w:pStyle w:val="18"/>
        <w:numPr>
          <w:ilvl w:val="5"/>
          <w:numId w:val="21"/>
        </w:numPr>
        <w:tabs>
          <w:tab w:val="left" w:pos="1621"/>
        </w:tabs>
        <w:spacing w:before="143" w:after="0" w:line="240" w:lineRule="auto"/>
        <w:ind w:left="1621" w:right="0" w:hanging="601"/>
        <w:jc w:val="left"/>
        <w:rPr>
          <w:sz w:val="24"/>
        </w:rPr>
      </w:pPr>
      <w:r>
        <w:rPr>
          <w:sz w:val="24"/>
        </w:rPr>
        <w:t>主要生产工艺参数</w:t>
      </w:r>
    </w:p>
    <w:p>
      <w:pPr>
        <w:pStyle w:val="7"/>
        <w:spacing w:before="9"/>
        <w:ind w:left="0"/>
        <w:rPr>
          <w:sz w:val="18"/>
        </w:rPr>
      </w:pPr>
    </w:p>
    <w:p>
      <w:pPr>
        <w:pStyle w:val="7"/>
        <w:bidi w:val="0"/>
        <w:jc w:val="center"/>
      </w:pPr>
      <w:r>
        <w:t>表</w:t>
      </w:r>
      <w:r>
        <w:rPr>
          <w:rFonts w:ascii="Times New Roman" w:eastAsia="Times New Roman"/>
        </w:rPr>
        <w:t>3.1-7</w:t>
      </w:r>
      <w:r>
        <w:rPr>
          <w:rFonts w:ascii="Times New Roman" w:eastAsia="Times New Roman"/>
        </w:rPr>
        <w:tab/>
      </w:r>
      <w:r>
        <w:t>规模化肉羊养殖生产工艺参数指标表</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4"/>
        <w:gridCol w:w="1271"/>
        <w:gridCol w:w="1779"/>
        <w:gridCol w:w="879"/>
        <w:gridCol w:w="562"/>
        <w:gridCol w:w="1858"/>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30"/>
              <w:ind w:left="1030" w:right="1023"/>
              <w:rPr>
                <w:b/>
                <w:color w:val="0000FF"/>
                <w:sz w:val="21"/>
              </w:rPr>
            </w:pPr>
            <w:r>
              <w:rPr>
                <w:b/>
                <w:color w:val="0000FF"/>
                <w:sz w:val="21"/>
              </w:rPr>
              <w:t>项目</w:t>
            </w:r>
          </w:p>
        </w:tc>
        <w:tc>
          <w:tcPr>
            <w:tcW w:w="1779" w:type="dxa"/>
          </w:tcPr>
          <w:p>
            <w:pPr>
              <w:pStyle w:val="19"/>
              <w:spacing w:before="30"/>
              <w:ind w:left="237" w:right="229"/>
              <w:rPr>
                <w:b/>
                <w:color w:val="0000FF"/>
                <w:sz w:val="21"/>
              </w:rPr>
            </w:pPr>
            <w:r>
              <w:rPr>
                <w:b/>
                <w:color w:val="0000FF"/>
                <w:sz w:val="21"/>
              </w:rPr>
              <w:t>参数</w:t>
            </w:r>
          </w:p>
        </w:tc>
        <w:tc>
          <w:tcPr>
            <w:tcW w:w="3299" w:type="dxa"/>
            <w:gridSpan w:val="3"/>
          </w:tcPr>
          <w:p>
            <w:pPr>
              <w:pStyle w:val="19"/>
              <w:spacing w:before="30"/>
              <w:ind w:left="1312" w:right="1303"/>
              <w:rPr>
                <w:b/>
                <w:color w:val="0000FF"/>
                <w:sz w:val="21"/>
              </w:rPr>
            </w:pPr>
            <w:r>
              <w:rPr>
                <w:b/>
                <w:color w:val="0000FF"/>
                <w:sz w:val="21"/>
              </w:rPr>
              <w:t>项目</w:t>
            </w:r>
          </w:p>
        </w:tc>
        <w:tc>
          <w:tcPr>
            <w:tcW w:w="919" w:type="dxa"/>
          </w:tcPr>
          <w:p>
            <w:pPr>
              <w:pStyle w:val="19"/>
              <w:spacing w:before="30"/>
              <w:ind w:left="192" w:right="182"/>
              <w:rPr>
                <w:b/>
                <w:color w:val="0000FF"/>
                <w:sz w:val="21"/>
              </w:rPr>
            </w:pPr>
            <w:r>
              <w:rPr>
                <w:b/>
                <w:color w:val="0000FF"/>
                <w:sz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254" w:type="dxa"/>
            <w:vMerge w:val="restart"/>
          </w:tcPr>
          <w:p>
            <w:pPr>
              <w:pStyle w:val="19"/>
              <w:spacing w:before="7"/>
              <w:jc w:val="left"/>
              <w:rPr>
                <w:b/>
                <w:color w:val="0000FF"/>
                <w:sz w:val="15"/>
              </w:rPr>
            </w:pPr>
          </w:p>
          <w:p>
            <w:pPr>
              <w:pStyle w:val="19"/>
              <w:ind w:left="206"/>
              <w:jc w:val="left"/>
              <w:rPr>
                <w:color w:val="0000FF"/>
                <w:sz w:val="21"/>
              </w:rPr>
            </w:pPr>
            <w:r>
              <w:rPr>
                <w:color w:val="0000FF"/>
                <w:sz w:val="21"/>
              </w:rPr>
              <w:t>配种年龄</w:t>
            </w:r>
          </w:p>
        </w:tc>
        <w:tc>
          <w:tcPr>
            <w:tcW w:w="1271" w:type="dxa"/>
          </w:tcPr>
          <w:p>
            <w:pPr>
              <w:pStyle w:val="19"/>
              <w:spacing w:before="29"/>
              <w:ind w:right="-15"/>
              <w:jc w:val="right"/>
              <w:rPr>
                <w:color w:val="0000FF"/>
                <w:sz w:val="21"/>
              </w:rPr>
            </w:pPr>
            <w:r>
              <w:rPr>
                <w:color w:val="0000FF"/>
                <w:w w:val="95"/>
                <w:sz w:val="21"/>
              </w:rPr>
              <w:t>公羊（月龄）</w:t>
            </w:r>
          </w:p>
        </w:tc>
        <w:tc>
          <w:tcPr>
            <w:tcW w:w="1779" w:type="dxa"/>
          </w:tcPr>
          <w:p>
            <w:pPr>
              <w:pStyle w:val="19"/>
              <w:spacing w:before="43"/>
              <w:ind w:left="237" w:right="228"/>
              <w:rPr>
                <w:rFonts w:ascii="Times New Roman"/>
                <w:color w:val="0000FF"/>
                <w:sz w:val="21"/>
              </w:rPr>
            </w:pPr>
            <w:r>
              <w:rPr>
                <w:rFonts w:ascii="Times New Roman"/>
                <w:color w:val="0000FF"/>
                <w:sz w:val="21"/>
              </w:rPr>
              <w:t>12</w:t>
            </w:r>
          </w:p>
        </w:tc>
        <w:tc>
          <w:tcPr>
            <w:tcW w:w="3299" w:type="dxa"/>
            <w:gridSpan w:val="3"/>
          </w:tcPr>
          <w:p>
            <w:pPr>
              <w:pStyle w:val="19"/>
              <w:spacing w:before="29"/>
              <w:ind w:left="1312" w:right="1306"/>
              <w:rPr>
                <w:color w:val="0000FF"/>
                <w:sz w:val="21"/>
              </w:rPr>
            </w:pPr>
            <w:r>
              <w:rPr>
                <w:color w:val="0000FF"/>
                <w:sz w:val="21"/>
              </w:rPr>
              <w:t>哺乳期</w:t>
            </w:r>
          </w:p>
        </w:tc>
        <w:tc>
          <w:tcPr>
            <w:tcW w:w="919" w:type="dxa"/>
          </w:tcPr>
          <w:p>
            <w:pPr>
              <w:pStyle w:val="19"/>
              <w:spacing w:before="43"/>
              <w:ind w:left="192" w:right="186"/>
              <w:rPr>
                <w:rFonts w:ascii="Times New Roman"/>
                <w:color w:val="0000FF"/>
                <w:sz w:val="21"/>
              </w:rPr>
            </w:pPr>
            <w:r>
              <w:rPr>
                <w:rFonts w:ascii="Times New Roman"/>
                <w:color w:val="0000FF"/>
                <w:sz w:val="21"/>
              </w:rPr>
              <w:t>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254" w:type="dxa"/>
            <w:vMerge w:val="continue"/>
            <w:tcBorders>
              <w:top w:val="nil"/>
            </w:tcBorders>
          </w:tcPr>
          <w:p>
            <w:pPr>
              <w:rPr>
                <w:color w:val="0000FF"/>
                <w:sz w:val="2"/>
                <w:szCs w:val="2"/>
              </w:rPr>
            </w:pPr>
          </w:p>
        </w:tc>
        <w:tc>
          <w:tcPr>
            <w:tcW w:w="1271" w:type="dxa"/>
          </w:tcPr>
          <w:p>
            <w:pPr>
              <w:pStyle w:val="19"/>
              <w:spacing w:before="30"/>
              <w:ind w:right="-15"/>
              <w:jc w:val="right"/>
              <w:rPr>
                <w:color w:val="0000FF"/>
                <w:sz w:val="21"/>
              </w:rPr>
            </w:pPr>
            <w:r>
              <w:rPr>
                <w:color w:val="0000FF"/>
                <w:w w:val="95"/>
                <w:sz w:val="21"/>
              </w:rPr>
              <w:t>母羊（月龄）</w:t>
            </w:r>
          </w:p>
        </w:tc>
        <w:tc>
          <w:tcPr>
            <w:tcW w:w="1779" w:type="dxa"/>
          </w:tcPr>
          <w:p>
            <w:pPr>
              <w:pStyle w:val="19"/>
              <w:spacing w:before="44"/>
              <w:ind w:left="237" w:right="228"/>
              <w:rPr>
                <w:rFonts w:ascii="Times New Roman"/>
                <w:color w:val="0000FF"/>
                <w:sz w:val="21"/>
              </w:rPr>
            </w:pPr>
            <w:r>
              <w:rPr>
                <w:rFonts w:ascii="Times New Roman"/>
                <w:color w:val="0000FF"/>
                <w:sz w:val="21"/>
              </w:rPr>
              <w:t>6-8</w:t>
            </w:r>
          </w:p>
        </w:tc>
        <w:tc>
          <w:tcPr>
            <w:tcW w:w="3299" w:type="dxa"/>
            <w:gridSpan w:val="3"/>
          </w:tcPr>
          <w:p>
            <w:pPr>
              <w:pStyle w:val="19"/>
              <w:spacing w:before="30"/>
              <w:ind w:left="1312" w:right="1306"/>
              <w:rPr>
                <w:color w:val="0000FF"/>
                <w:sz w:val="21"/>
              </w:rPr>
            </w:pPr>
            <w:r>
              <w:rPr>
                <w:color w:val="0000FF"/>
                <w:sz w:val="21"/>
              </w:rPr>
              <w:t>保育期</w:t>
            </w:r>
          </w:p>
        </w:tc>
        <w:tc>
          <w:tcPr>
            <w:tcW w:w="919" w:type="dxa"/>
          </w:tcPr>
          <w:p>
            <w:pPr>
              <w:pStyle w:val="19"/>
              <w:spacing w:before="44"/>
              <w:ind w:left="192" w:right="186"/>
              <w:rPr>
                <w:rFonts w:ascii="Times New Roman"/>
                <w:color w:val="0000FF"/>
                <w:sz w:val="21"/>
              </w:rPr>
            </w:pPr>
            <w:r>
              <w:rPr>
                <w:rFonts w:ascii="Times New Roman"/>
                <w:color w:val="0000FF"/>
                <w:sz w:val="21"/>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30"/>
              <w:ind w:left="842"/>
              <w:jc w:val="left"/>
              <w:rPr>
                <w:color w:val="0000FF"/>
                <w:sz w:val="21"/>
              </w:rPr>
            </w:pPr>
            <w:r>
              <w:rPr>
                <w:color w:val="0000FF"/>
                <w:sz w:val="21"/>
              </w:rPr>
              <w:t>配种时间</w:t>
            </w:r>
          </w:p>
        </w:tc>
        <w:tc>
          <w:tcPr>
            <w:tcW w:w="1779" w:type="dxa"/>
          </w:tcPr>
          <w:p>
            <w:pPr>
              <w:pStyle w:val="19"/>
              <w:spacing w:before="30"/>
              <w:ind w:left="237" w:right="231"/>
              <w:rPr>
                <w:color w:val="0000FF"/>
                <w:sz w:val="21"/>
              </w:rPr>
            </w:pPr>
            <w:r>
              <w:rPr>
                <w:color w:val="0000FF"/>
                <w:sz w:val="21"/>
              </w:rPr>
              <w:t>一年四季均可</w:t>
            </w:r>
          </w:p>
        </w:tc>
        <w:tc>
          <w:tcPr>
            <w:tcW w:w="879" w:type="dxa"/>
            <w:vMerge w:val="restart"/>
          </w:tcPr>
          <w:p>
            <w:pPr>
              <w:pStyle w:val="19"/>
              <w:spacing w:before="8"/>
              <w:jc w:val="left"/>
              <w:rPr>
                <w:b/>
                <w:color w:val="0000FF"/>
                <w:sz w:val="16"/>
              </w:rPr>
            </w:pPr>
          </w:p>
          <w:p>
            <w:pPr>
              <w:pStyle w:val="19"/>
              <w:ind w:left="123"/>
              <w:jc w:val="left"/>
              <w:rPr>
                <w:color w:val="0000FF"/>
                <w:sz w:val="21"/>
              </w:rPr>
            </w:pPr>
            <w:r>
              <w:rPr>
                <w:color w:val="0000FF"/>
                <w:w w:val="95"/>
                <w:sz w:val="21"/>
              </w:rPr>
              <w:t>育肥期</w:t>
            </w:r>
          </w:p>
          <w:p>
            <w:pPr>
              <w:pStyle w:val="19"/>
              <w:spacing w:before="43"/>
              <w:ind w:left="123"/>
              <w:jc w:val="left"/>
              <w:rPr>
                <w:color w:val="0000FF"/>
                <w:sz w:val="21"/>
              </w:rPr>
            </w:pPr>
            <w:r>
              <w:rPr>
                <w:color w:val="0000FF"/>
                <w:w w:val="95"/>
                <w:sz w:val="21"/>
              </w:rPr>
              <w:t>（天）</w:t>
            </w:r>
          </w:p>
        </w:tc>
        <w:tc>
          <w:tcPr>
            <w:tcW w:w="562" w:type="dxa"/>
            <w:vMerge w:val="restart"/>
          </w:tcPr>
          <w:p>
            <w:pPr>
              <w:pStyle w:val="19"/>
              <w:spacing w:before="11"/>
              <w:jc w:val="left"/>
              <w:rPr>
                <w:b/>
                <w:color w:val="0000FF"/>
                <w:sz w:val="29"/>
              </w:rPr>
            </w:pPr>
          </w:p>
          <w:p>
            <w:pPr>
              <w:pStyle w:val="19"/>
              <w:ind w:left="175"/>
              <w:jc w:val="left"/>
              <w:rPr>
                <w:rFonts w:ascii="Times New Roman"/>
                <w:color w:val="0000FF"/>
                <w:sz w:val="21"/>
              </w:rPr>
            </w:pPr>
            <w:r>
              <w:rPr>
                <w:rFonts w:ascii="Times New Roman"/>
                <w:color w:val="0000FF"/>
                <w:sz w:val="21"/>
              </w:rPr>
              <w:t>99</w:t>
            </w:r>
          </w:p>
        </w:tc>
        <w:tc>
          <w:tcPr>
            <w:tcW w:w="1858" w:type="dxa"/>
          </w:tcPr>
          <w:p>
            <w:pPr>
              <w:pStyle w:val="19"/>
              <w:spacing w:before="30"/>
              <w:ind w:left="276" w:right="271"/>
              <w:rPr>
                <w:color w:val="0000FF"/>
                <w:sz w:val="21"/>
              </w:rPr>
            </w:pPr>
            <w:r>
              <w:rPr>
                <w:color w:val="0000FF"/>
                <w:sz w:val="21"/>
              </w:rPr>
              <w:t>适应期（天）</w:t>
            </w:r>
          </w:p>
        </w:tc>
        <w:tc>
          <w:tcPr>
            <w:tcW w:w="919" w:type="dxa"/>
          </w:tcPr>
          <w:p>
            <w:pPr>
              <w:pStyle w:val="19"/>
              <w:spacing w:before="44"/>
              <w:ind w:left="192" w:right="186"/>
              <w:rPr>
                <w:rFonts w:ascii="Times New Roman"/>
                <w:color w:val="0000FF"/>
                <w:sz w:val="21"/>
              </w:rPr>
            </w:pPr>
            <w:r>
              <w:rPr>
                <w:rFonts w:ascii="Times New Roman"/>
                <w:color w:val="0000FF"/>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29"/>
              <w:ind w:left="422"/>
              <w:jc w:val="left"/>
              <w:rPr>
                <w:color w:val="0000FF"/>
                <w:sz w:val="21"/>
              </w:rPr>
            </w:pPr>
            <w:r>
              <w:rPr>
                <w:color w:val="0000FF"/>
                <w:sz w:val="21"/>
              </w:rPr>
              <w:t>母羊发情期（天）</w:t>
            </w:r>
          </w:p>
        </w:tc>
        <w:tc>
          <w:tcPr>
            <w:tcW w:w="1779" w:type="dxa"/>
          </w:tcPr>
          <w:p>
            <w:pPr>
              <w:pStyle w:val="19"/>
              <w:spacing w:before="43"/>
              <w:ind w:left="237" w:right="228"/>
              <w:rPr>
                <w:rFonts w:ascii="Times New Roman"/>
                <w:color w:val="0000FF"/>
                <w:sz w:val="21"/>
              </w:rPr>
            </w:pPr>
            <w:r>
              <w:rPr>
                <w:rFonts w:ascii="Times New Roman"/>
                <w:color w:val="0000FF"/>
                <w:sz w:val="21"/>
              </w:rPr>
              <w:t>17</w:t>
            </w:r>
          </w:p>
        </w:tc>
        <w:tc>
          <w:tcPr>
            <w:tcW w:w="879" w:type="dxa"/>
            <w:vMerge w:val="continue"/>
            <w:tcBorders>
              <w:top w:val="nil"/>
            </w:tcBorders>
          </w:tcPr>
          <w:p>
            <w:pPr>
              <w:rPr>
                <w:color w:val="0000FF"/>
                <w:sz w:val="2"/>
                <w:szCs w:val="2"/>
              </w:rPr>
            </w:pPr>
          </w:p>
        </w:tc>
        <w:tc>
          <w:tcPr>
            <w:tcW w:w="562" w:type="dxa"/>
            <w:vMerge w:val="continue"/>
            <w:tcBorders>
              <w:top w:val="nil"/>
            </w:tcBorders>
          </w:tcPr>
          <w:p>
            <w:pPr>
              <w:rPr>
                <w:color w:val="0000FF"/>
                <w:sz w:val="2"/>
                <w:szCs w:val="2"/>
              </w:rPr>
            </w:pPr>
          </w:p>
        </w:tc>
        <w:tc>
          <w:tcPr>
            <w:tcW w:w="1858" w:type="dxa"/>
          </w:tcPr>
          <w:p>
            <w:pPr>
              <w:pStyle w:val="19"/>
              <w:spacing w:before="29"/>
              <w:ind w:left="276" w:right="271"/>
              <w:rPr>
                <w:color w:val="0000FF"/>
                <w:sz w:val="21"/>
              </w:rPr>
            </w:pPr>
            <w:r>
              <w:rPr>
                <w:color w:val="0000FF"/>
                <w:sz w:val="21"/>
              </w:rPr>
              <w:t>过渡期（天）</w:t>
            </w:r>
          </w:p>
        </w:tc>
        <w:tc>
          <w:tcPr>
            <w:tcW w:w="919" w:type="dxa"/>
          </w:tcPr>
          <w:p>
            <w:pPr>
              <w:pStyle w:val="19"/>
              <w:spacing w:before="43"/>
              <w:ind w:left="192" w:right="186"/>
              <w:rPr>
                <w:rFonts w:ascii="Times New Roman"/>
                <w:color w:val="0000FF"/>
                <w:sz w:val="21"/>
              </w:rPr>
            </w:pPr>
            <w:r>
              <w:rPr>
                <w:rFonts w:ascii="Times New Roman"/>
                <w:color w:val="0000FF"/>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30"/>
              <w:ind w:left="316"/>
              <w:jc w:val="left"/>
              <w:rPr>
                <w:color w:val="0000FF"/>
                <w:sz w:val="21"/>
              </w:rPr>
            </w:pPr>
            <w:r>
              <w:rPr>
                <w:color w:val="0000FF"/>
                <w:sz w:val="21"/>
              </w:rPr>
              <w:t>母羊产羔周期（月）</w:t>
            </w:r>
          </w:p>
        </w:tc>
        <w:tc>
          <w:tcPr>
            <w:tcW w:w="1779" w:type="dxa"/>
          </w:tcPr>
          <w:p>
            <w:pPr>
              <w:pStyle w:val="19"/>
              <w:spacing w:before="44"/>
              <w:ind w:left="9"/>
              <w:rPr>
                <w:rFonts w:ascii="Times New Roman"/>
                <w:color w:val="0000FF"/>
                <w:sz w:val="21"/>
              </w:rPr>
            </w:pPr>
            <w:r>
              <w:rPr>
                <w:rFonts w:ascii="Times New Roman"/>
                <w:color w:val="0000FF"/>
                <w:w w:val="99"/>
                <w:sz w:val="21"/>
              </w:rPr>
              <w:t>8</w:t>
            </w:r>
          </w:p>
        </w:tc>
        <w:tc>
          <w:tcPr>
            <w:tcW w:w="879" w:type="dxa"/>
            <w:vMerge w:val="continue"/>
            <w:tcBorders>
              <w:top w:val="nil"/>
            </w:tcBorders>
          </w:tcPr>
          <w:p>
            <w:pPr>
              <w:rPr>
                <w:color w:val="0000FF"/>
                <w:sz w:val="2"/>
                <w:szCs w:val="2"/>
              </w:rPr>
            </w:pPr>
          </w:p>
        </w:tc>
        <w:tc>
          <w:tcPr>
            <w:tcW w:w="562" w:type="dxa"/>
            <w:vMerge w:val="continue"/>
            <w:tcBorders>
              <w:top w:val="nil"/>
            </w:tcBorders>
          </w:tcPr>
          <w:p>
            <w:pPr>
              <w:rPr>
                <w:color w:val="0000FF"/>
                <w:sz w:val="2"/>
                <w:szCs w:val="2"/>
              </w:rPr>
            </w:pPr>
          </w:p>
        </w:tc>
        <w:tc>
          <w:tcPr>
            <w:tcW w:w="1858" w:type="dxa"/>
          </w:tcPr>
          <w:p>
            <w:pPr>
              <w:pStyle w:val="19"/>
              <w:spacing w:before="30"/>
              <w:ind w:left="276" w:right="271"/>
              <w:rPr>
                <w:color w:val="0000FF"/>
                <w:sz w:val="21"/>
              </w:rPr>
            </w:pPr>
            <w:r>
              <w:rPr>
                <w:color w:val="0000FF"/>
                <w:sz w:val="21"/>
              </w:rPr>
              <w:t>催肥期（天）</w:t>
            </w:r>
          </w:p>
        </w:tc>
        <w:tc>
          <w:tcPr>
            <w:tcW w:w="919" w:type="dxa"/>
          </w:tcPr>
          <w:p>
            <w:pPr>
              <w:pStyle w:val="19"/>
              <w:spacing w:before="44"/>
              <w:ind w:left="192" w:right="186"/>
              <w:rPr>
                <w:rFonts w:ascii="Times New Roman"/>
                <w:color w:val="0000FF"/>
                <w:sz w:val="21"/>
              </w:rPr>
            </w:pPr>
            <w:r>
              <w:rPr>
                <w:rFonts w:ascii="Times New Roman"/>
                <w:color w:val="0000FF"/>
                <w:sz w:val="21"/>
              </w:rPr>
              <w:t>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30"/>
              <w:ind w:left="630"/>
              <w:jc w:val="left"/>
              <w:rPr>
                <w:color w:val="0000FF"/>
                <w:sz w:val="21"/>
              </w:rPr>
            </w:pPr>
            <w:r>
              <w:rPr>
                <w:color w:val="0000FF"/>
                <w:sz w:val="21"/>
              </w:rPr>
              <w:t>妊娠期（天）</w:t>
            </w:r>
          </w:p>
        </w:tc>
        <w:tc>
          <w:tcPr>
            <w:tcW w:w="1779" w:type="dxa"/>
          </w:tcPr>
          <w:p>
            <w:pPr>
              <w:pStyle w:val="19"/>
              <w:spacing w:before="44"/>
              <w:ind w:left="237" w:right="228"/>
              <w:rPr>
                <w:rFonts w:ascii="Times New Roman"/>
                <w:color w:val="0000FF"/>
                <w:sz w:val="21"/>
              </w:rPr>
            </w:pPr>
            <w:r>
              <w:rPr>
                <w:rFonts w:ascii="Times New Roman"/>
                <w:color w:val="0000FF"/>
                <w:sz w:val="21"/>
              </w:rPr>
              <w:t>147-152</w:t>
            </w:r>
          </w:p>
        </w:tc>
        <w:tc>
          <w:tcPr>
            <w:tcW w:w="3299" w:type="dxa"/>
            <w:gridSpan w:val="3"/>
          </w:tcPr>
          <w:p>
            <w:pPr>
              <w:pStyle w:val="19"/>
              <w:spacing w:before="30"/>
              <w:ind w:left="704"/>
              <w:jc w:val="left"/>
              <w:rPr>
                <w:color w:val="0000FF"/>
                <w:sz w:val="21"/>
              </w:rPr>
            </w:pPr>
            <w:r>
              <w:rPr>
                <w:color w:val="0000FF"/>
                <w:sz w:val="21"/>
              </w:rPr>
              <w:t>羔羊初生重（公斤）</w:t>
            </w:r>
          </w:p>
        </w:tc>
        <w:tc>
          <w:tcPr>
            <w:tcW w:w="919" w:type="dxa"/>
          </w:tcPr>
          <w:p>
            <w:pPr>
              <w:pStyle w:val="19"/>
              <w:spacing w:before="44"/>
              <w:ind w:left="192" w:right="186"/>
              <w:rPr>
                <w:rFonts w:ascii="Times New Roman"/>
                <w:color w:val="0000FF"/>
                <w:sz w:val="21"/>
              </w:rPr>
            </w:pPr>
            <w:r>
              <w:rPr>
                <w:rFonts w:ascii="Times New Roman"/>
                <w:color w:val="0000FF"/>
                <w:sz w:val="21"/>
              </w:rPr>
              <w:t>2.5-3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29"/>
              <w:ind w:left="630"/>
              <w:jc w:val="left"/>
              <w:rPr>
                <w:color w:val="0000FF"/>
                <w:sz w:val="21"/>
              </w:rPr>
            </w:pPr>
            <w:r>
              <w:rPr>
                <w:color w:val="0000FF"/>
                <w:sz w:val="21"/>
              </w:rPr>
              <w:t>哺乳期（天）</w:t>
            </w:r>
          </w:p>
        </w:tc>
        <w:tc>
          <w:tcPr>
            <w:tcW w:w="1779" w:type="dxa"/>
          </w:tcPr>
          <w:p>
            <w:pPr>
              <w:pStyle w:val="19"/>
              <w:spacing w:before="43"/>
              <w:ind w:left="237" w:right="228"/>
              <w:rPr>
                <w:rFonts w:ascii="Times New Roman"/>
                <w:color w:val="0000FF"/>
                <w:sz w:val="21"/>
              </w:rPr>
            </w:pPr>
            <w:r>
              <w:rPr>
                <w:rFonts w:ascii="Times New Roman"/>
                <w:color w:val="0000FF"/>
                <w:sz w:val="21"/>
              </w:rPr>
              <w:t>56</w:t>
            </w:r>
          </w:p>
        </w:tc>
        <w:tc>
          <w:tcPr>
            <w:tcW w:w="3299" w:type="dxa"/>
            <w:gridSpan w:val="3"/>
          </w:tcPr>
          <w:p>
            <w:pPr>
              <w:pStyle w:val="19"/>
              <w:spacing w:before="29"/>
              <w:ind w:left="704"/>
              <w:jc w:val="left"/>
              <w:rPr>
                <w:color w:val="0000FF"/>
                <w:sz w:val="21"/>
              </w:rPr>
            </w:pPr>
            <w:r>
              <w:rPr>
                <w:color w:val="0000FF"/>
                <w:sz w:val="21"/>
              </w:rPr>
              <w:t>羔羊断奶重（公斤）</w:t>
            </w:r>
          </w:p>
        </w:tc>
        <w:tc>
          <w:tcPr>
            <w:tcW w:w="919" w:type="dxa"/>
          </w:tcPr>
          <w:p>
            <w:pPr>
              <w:pStyle w:val="19"/>
              <w:spacing w:before="43"/>
              <w:ind w:left="192" w:right="186"/>
              <w:rPr>
                <w:rFonts w:ascii="Times New Roman"/>
                <w:color w:val="0000FF"/>
                <w:sz w:val="21"/>
              </w:rPr>
            </w:pPr>
            <w:r>
              <w:rPr>
                <w:rFonts w:ascii="Times New Roman"/>
                <w:color w:val="0000FF"/>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30"/>
              <w:ind w:left="630"/>
              <w:jc w:val="left"/>
              <w:rPr>
                <w:color w:val="0000FF"/>
                <w:sz w:val="21"/>
              </w:rPr>
            </w:pPr>
            <w:r>
              <w:rPr>
                <w:color w:val="0000FF"/>
                <w:sz w:val="21"/>
              </w:rPr>
              <w:t>保育期（天）</w:t>
            </w:r>
          </w:p>
        </w:tc>
        <w:tc>
          <w:tcPr>
            <w:tcW w:w="1779" w:type="dxa"/>
          </w:tcPr>
          <w:p>
            <w:pPr>
              <w:pStyle w:val="19"/>
              <w:spacing w:before="44"/>
              <w:ind w:left="237" w:right="228"/>
              <w:rPr>
                <w:rFonts w:ascii="Times New Roman"/>
                <w:color w:val="0000FF"/>
                <w:sz w:val="21"/>
              </w:rPr>
            </w:pPr>
            <w:r>
              <w:rPr>
                <w:rFonts w:ascii="Times New Roman"/>
                <w:color w:val="0000FF"/>
                <w:sz w:val="21"/>
              </w:rPr>
              <w:t>60</w:t>
            </w:r>
          </w:p>
        </w:tc>
        <w:tc>
          <w:tcPr>
            <w:tcW w:w="3299" w:type="dxa"/>
            <w:gridSpan w:val="3"/>
          </w:tcPr>
          <w:p>
            <w:pPr>
              <w:pStyle w:val="19"/>
              <w:spacing w:before="30"/>
              <w:ind w:left="704"/>
              <w:jc w:val="left"/>
              <w:rPr>
                <w:color w:val="0000FF"/>
                <w:sz w:val="21"/>
              </w:rPr>
            </w:pPr>
            <w:r>
              <w:rPr>
                <w:color w:val="0000FF"/>
                <w:sz w:val="21"/>
              </w:rPr>
              <w:t>肉羊出栏重（公斤）</w:t>
            </w:r>
          </w:p>
        </w:tc>
        <w:tc>
          <w:tcPr>
            <w:tcW w:w="919" w:type="dxa"/>
          </w:tcPr>
          <w:p>
            <w:pPr>
              <w:pStyle w:val="19"/>
              <w:spacing w:before="44"/>
              <w:ind w:left="192" w:right="186"/>
              <w:rPr>
                <w:rFonts w:ascii="Times New Roman"/>
                <w:color w:val="0000FF"/>
                <w:sz w:val="21"/>
              </w:rPr>
            </w:pPr>
            <w:r>
              <w:rPr>
                <w:rFonts w:ascii="Times New Roman"/>
                <w:color w:val="0000FF"/>
                <w:sz w:val="21"/>
              </w:rPr>
              <w:t>30-40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30"/>
              <w:ind w:left="630"/>
              <w:jc w:val="left"/>
              <w:rPr>
                <w:color w:val="0000FF"/>
                <w:sz w:val="21"/>
              </w:rPr>
            </w:pPr>
            <w:r>
              <w:rPr>
                <w:color w:val="0000FF"/>
                <w:sz w:val="21"/>
              </w:rPr>
              <w:t>育肥期（天）</w:t>
            </w:r>
          </w:p>
        </w:tc>
        <w:tc>
          <w:tcPr>
            <w:tcW w:w="1779" w:type="dxa"/>
          </w:tcPr>
          <w:p>
            <w:pPr>
              <w:pStyle w:val="19"/>
              <w:spacing w:before="44"/>
              <w:ind w:left="237" w:right="228"/>
              <w:rPr>
                <w:rFonts w:ascii="Times New Roman"/>
                <w:color w:val="0000FF"/>
                <w:sz w:val="21"/>
              </w:rPr>
            </w:pPr>
            <w:r>
              <w:rPr>
                <w:rFonts w:ascii="Times New Roman"/>
                <w:color w:val="0000FF"/>
                <w:sz w:val="21"/>
              </w:rPr>
              <w:t>60</w:t>
            </w:r>
          </w:p>
        </w:tc>
        <w:tc>
          <w:tcPr>
            <w:tcW w:w="3299" w:type="dxa"/>
            <w:gridSpan w:val="3"/>
          </w:tcPr>
          <w:p>
            <w:pPr>
              <w:pStyle w:val="19"/>
              <w:spacing w:before="30"/>
              <w:ind w:left="387"/>
              <w:jc w:val="left"/>
              <w:rPr>
                <w:color w:val="0000FF"/>
                <w:sz w:val="21"/>
              </w:rPr>
            </w:pPr>
            <w:r>
              <w:rPr>
                <w:color w:val="0000FF"/>
                <w:sz w:val="21"/>
              </w:rPr>
              <w:t>公母比例（部分人工授精）</w:t>
            </w:r>
          </w:p>
        </w:tc>
        <w:tc>
          <w:tcPr>
            <w:tcW w:w="919" w:type="dxa"/>
          </w:tcPr>
          <w:p>
            <w:pPr>
              <w:pStyle w:val="19"/>
              <w:spacing w:before="44"/>
              <w:ind w:left="192" w:right="181"/>
              <w:rPr>
                <w:rFonts w:ascii="Times New Roman"/>
                <w:color w:val="0000FF"/>
                <w:sz w:val="21"/>
              </w:rPr>
            </w:pPr>
            <w:r>
              <w:rPr>
                <w:rFonts w:ascii="Times New Roman"/>
                <w:color w:val="0000FF"/>
                <w:sz w:val="21"/>
              </w:rPr>
              <w:t>1:100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29"/>
              <w:ind w:left="422"/>
              <w:jc w:val="left"/>
              <w:rPr>
                <w:color w:val="0000FF"/>
                <w:sz w:val="21"/>
              </w:rPr>
            </w:pPr>
            <w:r>
              <w:rPr>
                <w:color w:val="0000FF"/>
                <w:sz w:val="21"/>
              </w:rPr>
              <w:t>断奶至受胎（天）</w:t>
            </w:r>
          </w:p>
        </w:tc>
        <w:tc>
          <w:tcPr>
            <w:tcW w:w="1779" w:type="dxa"/>
          </w:tcPr>
          <w:p>
            <w:pPr>
              <w:pStyle w:val="19"/>
              <w:spacing w:before="43"/>
              <w:ind w:left="237" w:right="228"/>
              <w:rPr>
                <w:rFonts w:ascii="Times New Roman"/>
                <w:color w:val="0000FF"/>
                <w:sz w:val="21"/>
              </w:rPr>
            </w:pPr>
            <w:r>
              <w:rPr>
                <w:rFonts w:ascii="Times New Roman"/>
                <w:color w:val="0000FF"/>
                <w:sz w:val="21"/>
              </w:rPr>
              <w:t>17-34</w:t>
            </w:r>
          </w:p>
        </w:tc>
        <w:tc>
          <w:tcPr>
            <w:tcW w:w="3299" w:type="dxa"/>
            <w:gridSpan w:val="3"/>
          </w:tcPr>
          <w:p>
            <w:pPr>
              <w:pStyle w:val="19"/>
              <w:spacing w:before="29"/>
              <w:ind w:left="704"/>
              <w:jc w:val="left"/>
              <w:rPr>
                <w:color w:val="0000FF"/>
                <w:sz w:val="21"/>
              </w:rPr>
            </w:pPr>
            <w:r>
              <w:rPr>
                <w:color w:val="0000FF"/>
                <w:sz w:val="21"/>
              </w:rPr>
              <w:t>母羊年更新率（﹪）</w:t>
            </w:r>
          </w:p>
        </w:tc>
        <w:tc>
          <w:tcPr>
            <w:tcW w:w="919" w:type="dxa"/>
          </w:tcPr>
          <w:p>
            <w:pPr>
              <w:pStyle w:val="19"/>
              <w:spacing w:before="43"/>
              <w:ind w:left="192" w:right="183"/>
              <w:rPr>
                <w:rFonts w:ascii="Times New Roman"/>
                <w:color w:val="0000FF"/>
                <w:sz w:val="21"/>
              </w:rPr>
            </w:pPr>
            <w:r>
              <w:rPr>
                <w:rFonts w:ascii="Times New Roman"/>
                <w:color w:val="0000FF"/>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30"/>
              <w:ind w:left="842"/>
              <w:jc w:val="left"/>
              <w:rPr>
                <w:color w:val="0000FF"/>
                <w:sz w:val="21"/>
              </w:rPr>
            </w:pPr>
            <w:r>
              <w:rPr>
                <w:color w:val="0000FF"/>
                <w:sz w:val="21"/>
              </w:rPr>
              <w:t>年产胎次</w:t>
            </w:r>
          </w:p>
        </w:tc>
        <w:tc>
          <w:tcPr>
            <w:tcW w:w="1779" w:type="dxa"/>
          </w:tcPr>
          <w:p>
            <w:pPr>
              <w:pStyle w:val="19"/>
              <w:spacing w:before="44"/>
              <w:ind w:left="237" w:right="228"/>
              <w:rPr>
                <w:rFonts w:ascii="Times New Roman"/>
                <w:color w:val="0000FF"/>
                <w:sz w:val="21"/>
              </w:rPr>
            </w:pPr>
            <w:r>
              <w:rPr>
                <w:rFonts w:ascii="Times New Roman"/>
                <w:color w:val="0000FF"/>
                <w:sz w:val="21"/>
              </w:rPr>
              <w:t>1.5</w:t>
            </w:r>
          </w:p>
        </w:tc>
        <w:tc>
          <w:tcPr>
            <w:tcW w:w="3299" w:type="dxa"/>
            <w:gridSpan w:val="3"/>
          </w:tcPr>
          <w:p>
            <w:pPr>
              <w:pStyle w:val="19"/>
              <w:spacing w:before="30"/>
              <w:ind w:left="807"/>
              <w:jc w:val="left"/>
              <w:rPr>
                <w:color w:val="0000FF"/>
                <w:sz w:val="21"/>
              </w:rPr>
            </w:pPr>
            <w:r>
              <w:rPr>
                <w:color w:val="0000FF"/>
                <w:sz w:val="21"/>
              </w:rPr>
              <w:t>情期受胎率（﹪）</w:t>
            </w:r>
          </w:p>
        </w:tc>
        <w:tc>
          <w:tcPr>
            <w:tcW w:w="919" w:type="dxa"/>
          </w:tcPr>
          <w:p>
            <w:pPr>
              <w:pStyle w:val="19"/>
              <w:spacing w:before="44"/>
              <w:ind w:left="192" w:right="186"/>
              <w:rPr>
                <w:rFonts w:ascii="Times New Roman"/>
                <w:color w:val="0000FF"/>
                <w:sz w:val="21"/>
              </w:rPr>
            </w:pPr>
            <w:r>
              <w:rPr>
                <w:rFonts w:ascii="Times New Roman"/>
                <w:color w:val="0000FF"/>
                <w:sz w:val="21"/>
              </w:rPr>
              <w:t>90-95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2525" w:type="dxa"/>
            <w:gridSpan w:val="2"/>
          </w:tcPr>
          <w:p>
            <w:pPr>
              <w:pStyle w:val="19"/>
              <w:spacing w:before="30"/>
              <w:ind w:left="650"/>
              <w:jc w:val="left"/>
              <w:rPr>
                <w:color w:val="0000FF"/>
                <w:sz w:val="21"/>
              </w:rPr>
            </w:pPr>
            <w:r>
              <w:rPr>
                <w:color w:val="0000FF"/>
                <w:sz w:val="21"/>
              </w:rPr>
              <w:t>双羔率（</w:t>
            </w:r>
            <w:r>
              <w:rPr>
                <w:rFonts w:ascii="Times New Roman" w:eastAsia="Times New Roman"/>
                <w:color w:val="0000FF"/>
                <w:sz w:val="21"/>
              </w:rPr>
              <w:t>%</w:t>
            </w:r>
            <w:r>
              <w:rPr>
                <w:color w:val="0000FF"/>
                <w:sz w:val="21"/>
              </w:rPr>
              <w:t>）</w:t>
            </w:r>
          </w:p>
        </w:tc>
        <w:tc>
          <w:tcPr>
            <w:tcW w:w="1779" w:type="dxa"/>
          </w:tcPr>
          <w:p>
            <w:pPr>
              <w:pStyle w:val="19"/>
              <w:spacing w:before="44"/>
              <w:ind w:left="237" w:right="228"/>
              <w:rPr>
                <w:rFonts w:ascii="Times New Roman"/>
                <w:color w:val="0000FF"/>
                <w:sz w:val="21"/>
              </w:rPr>
            </w:pPr>
            <w:r>
              <w:rPr>
                <w:rFonts w:ascii="Times New Roman"/>
                <w:color w:val="0000FF"/>
                <w:sz w:val="21"/>
              </w:rPr>
              <w:t>260</w:t>
            </w:r>
          </w:p>
        </w:tc>
        <w:tc>
          <w:tcPr>
            <w:tcW w:w="1441" w:type="dxa"/>
            <w:gridSpan w:val="2"/>
            <w:vMerge w:val="restart"/>
          </w:tcPr>
          <w:p>
            <w:pPr>
              <w:pStyle w:val="19"/>
              <w:spacing w:before="4" w:line="310" w:lineRule="atLeast"/>
              <w:ind w:left="510" w:right="184" w:hanging="315"/>
              <w:jc w:val="left"/>
              <w:rPr>
                <w:color w:val="0000FF"/>
                <w:sz w:val="21"/>
              </w:rPr>
            </w:pPr>
            <w:r>
              <w:rPr>
                <w:color w:val="0000FF"/>
                <w:sz w:val="21"/>
              </w:rPr>
              <w:t>成年羊利用年限</w:t>
            </w:r>
          </w:p>
        </w:tc>
        <w:tc>
          <w:tcPr>
            <w:tcW w:w="1858" w:type="dxa"/>
          </w:tcPr>
          <w:p>
            <w:pPr>
              <w:pStyle w:val="19"/>
              <w:spacing w:before="30"/>
              <w:ind w:left="276" w:right="271"/>
              <w:rPr>
                <w:color w:val="0000FF"/>
                <w:sz w:val="21"/>
              </w:rPr>
            </w:pPr>
            <w:r>
              <w:rPr>
                <w:color w:val="0000FF"/>
                <w:sz w:val="21"/>
              </w:rPr>
              <w:t>公羊</w:t>
            </w:r>
          </w:p>
        </w:tc>
        <w:tc>
          <w:tcPr>
            <w:tcW w:w="919" w:type="dxa"/>
          </w:tcPr>
          <w:p>
            <w:pPr>
              <w:pStyle w:val="19"/>
              <w:spacing w:before="44"/>
              <w:ind w:left="6"/>
              <w:rPr>
                <w:rFonts w:ascii="Times New Roman"/>
                <w:color w:val="0000FF"/>
                <w:sz w:val="21"/>
              </w:rPr>
            </w:pPr>
            <w:r>
              <w:rPr>
                <w:rFonts w:ascii="Times New Roman"/>
                <w:color w:val="0000FF"/>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29"/>
              <w:ind w:left="527"/>
              <w:jc w:val="left"/>
              <w:rPr>
                <w:color w:val="0000FF"/>
                <w:sz w:val="21"/>
              </w:rPr>
            </w:pPr>
            <w:r>
              <w:rPr>
                <w:color w:val="0000FF"/>
                <w:sz w:val="21"/>
              </w:rPr>
              <w:t>年均产羔（只）</w:t>
            </w:r>
          </w:p>
        </w:tc>
        <w:tc>
          <w:tcPr>
            <w:tcW w:w="1779" w:type="dxa"/>
          </w:tcPr>
          <w:p>
            <w:pPr>
              <w:pStyle w:val="19"/>
              <w:spacing w:before="43"/>
              <w:ind w:left="237" w:right="228"/>
              <w:rPr>
                <w:rFonts w:ascii="Times New Roman"/>
                <w:color w:val="0000FF"/>
                <w:sz w:val="21"/>
              </w:rPr>
            </w:pPr>
            <w:r>
              <w:rPr>
                <w:rFonts w:ascii="Times New Roman"/>
                <w:color w:val="0000FF"/>
                <w:sz w:val="21"/>
              </w:rPr>
              <w:t>1.6</w:t>
            </w:r>
          </w:p>
        </w:tc>
        <w:tc>
          <w:tcPr>
            <w:tcW w:w="1441" w:type="dxa"/>
            <w:gridSpan w:val="2"/>
            <w:vMerge w:val="continue"/>
            <w:tcBorders>
              <w:top w:val="nil"/>
            </w:tcBorders>
          </w:tcPr>
          <w:p>
            <w:pPr>
              <w:rPr>
                <w:color w:val="0000FF"/>
                <w:sz w:val="2"/>
                <w:szCs w:val="2"/>
              </w:rPr>
            </w:pPr>
          </w:p>
        </w:tc>
        <w:tc>
          <w:tcPr>
            <w:tcW w:w="1858" w:type="dxa"/>
          </w:tcPr>
          <w:p>
            <w:pPr>
              <w:pStyle w:val="19"/>
              <w:spacing w:before="29"/>
              <w:ind w:left="276" w:right="271"/>
              <w:rPr>
                <w:color w:val="0000FF"/>
                <w:sz w:val="21"/>
              </w:rPr>
            </w:pPr>
            <w:r>
              <w:rPr>
                <w:color w:val="0000FF"/>
                <w:sz w:val="21"/>
              </w:rPr>
              <w:t>母羊</w:t>
            </w:r>
          </w:p>
        </w:tc>
        <w:tc>
          <w:tcPr>
            <w:tcW w:w="919" w:type="dxa"/>
          </w:tcPr>
          <w:p>
            <w:pPr>
              <w:pStyle w:val="19"/>
              <w:spacing w:before="43"/>
              <w:ind w:left="6"/>
              <w:rPr>
                <w:rFonts w:ascii="Times New Roman"/>
                <w:color w:val="0000FF"/>
                <w:sz w:val="21"/>
              </w:rPr>
            </w:pPr>
            <w:r>
              <w:rPr>
                <w:rFonts w:ascii="Times New Roman"/>
                <w:color w:val="0000FF"/>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525" w:type="dxa"/>
            <w:gridSpan w:val="2"/>
          </w:tcPr>
          <w:p>
            <w:pPr>
              <w:pStyle w:val="19"/>
              <w:spacing w:before="30"/>
              <w:ind w:left="630"/>
              <w:jc w:val="left"/>
              <w:rPr>
                <w:color w:val="0000FF"/>
                <w:sz w:val="21"/>
              </w:rPr>
            </w:pPr>
            <w:r>
              <w:rPr>
                <w:color w:val="0000FF"/>
                <w:sz w:val="21"/>
              </w:rPr>
              <w:t>成活率（﹪）</w:t>
            </w:r>
          </w:p>
        </w:tc>
        <w:tc>
          <w:tcPr>
            <w:tcW w:w="1779" w:type="dxa"/>
          </w:tcPr>
          <w:p>
            <w:pPr>
              <w:pStyle w:val="19"/>
              <w:spacing w:before="44"/>
              <w:ind w:left="237" w:right="228"/>
              <w:rPr>
                <w:rFonts w:ascii="Times New Roman"/>
                <w:color w:val="0000FF"/>
                <w:sz w:val="21"/>
              </w:rPr>
            </w:pPr>
            <w:r>
              <w:rPr>
                <w:rFonts w:ascii="Times New Roman"/>
                <w:color w:val="0000FF"/>
                <w:sz w:val="21"/>
              </w:rPr>
              <w:t>0.95</w:t>
            </w:r>
          </w:p>
        </w:tc>
        <w:tc>
          <w:tcPr>
            <w:tcW w:w="1441" w:type="dxa"/>
            <w:gridSpan w:val="2"/>
          </w:tcPr>
          <w:p>
            <w:pPr>
              <w:pStyle w:val="19"/>
              <w:jc w:val="left"/>
              <w:rPr>
                <w:rFonts w:ascii="Times New Roman"/>
                <w:color w:val="0000FF"/>
                <w:sz w:val="22"/>
              </w:rPr>
            </w:pPr>
          </w:p>
        </w:tc>
        <w:tc>
          <w:tcPr>
            <w:tcW w:w="1858" w:type="dxa"/>
          </w:tcPr>
          <w:p>
            <w:pPr>
              <w:pStyle w:val="19"/>
              <w:jc w:val="left"/>
              <w:rPr>
                <w:rFonts w:ascii="Times New Roman"/>
                <w:color w:val="0000FF"/>
                <w:sz w:val="22"/>
              </w:rPr>
            </w:pPr>
          </w:p>
        </w:tc>
        <w:tc>
          <w:tcPr>
            <w:tcW w:w="919" w:type="dxa"/>
          </w:tcPr>
          <w:p>
            <w:pPr>
              <w:pStyle w:val="19"/>
              <w:jc w:val="left"/>
              <w:rPr>
                <w:rFonts w:ascii="Times New Roman"/>
                <w:color w:val="0000FF"/>
                <w:sz w:val="22"/>
              </w:rPr>
            </w:pPr>
          </w:p>
        </w:tc>
      </w:tr>
    </w:tbl>
    <w:p>
      <w:pPr>
        <w:pStyle w:val="7"/>
        <w:spacing w:before="5"/>
        <w:ind w:left="0"/>
        <w:rPr>
          <w:b/>
          <w:sz w:val="18"/>
        </w:rPr>
      </w:pPr>
    </w:p>
    <w:p>
      <w:pPr>
        <w:pStyle w:val="18"/>
        <w:numPr>
          <w:ilvl w:val="5"/>
          <w:numId w:val="21"/>
        </w:numPr>
        <w:tabs>
          <w:tab w:val="left" w:pos="1621"/>
        </w:tabs>
        <w:spacing w:before="0" w:after="0" w:line="240" w:lineRule="auto"/>
        <w:ind w:left="1621" w:right="0" w:hanging="601"/>
        <w:jc w:val="left"/>
        <w:rPr>
          <w:sz w:val="24"/>
        </w:rPr>
      </w:pPr>
      <w:r>
        <w:rPr>
          <w:sz w:val="24"/>
        </w:rPr>
        <w:t>良种繁育技术措施、繁育方式</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1.繁殖母羊：母羊应按等级、年龄组群，常年给予良好的饲养管理，使之保持良好的状况。</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2.配种期：配种前 1-1.5 个月尤应加强补饲，实行短期优饲，保证满膘配种，每天每只补饲混合精料 0.3kg 以上。</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3.怀孕期：管理上重点突出保胎工作，饲养上保持较高的营养水平。怀孕期母羊增重标准：单羔母羊至少增重 15-18kg，双羔母羊至少增重 18-22kg。母羊怀孕后期的 45 天，日增重平均在 0.3kg 以上。实行全舍饲的怀孕母羊，每天定时赶出运动 2-3h。</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4.产羔期：产前半个月做好接羔准备，搞好产房的消毒隆及产前的室内升温工作，产房温度保持 5-15℃，母仔栏温度不低于 2-5 oC。临产母羊要进入产房，剪去乳房羊毛，做好助产、消毒和哺乳工作。母羊分娩后，逐渐增加精料喂量。乳汁不足的母羊，可适当增喂多汁饲料或豆浆。多胎羔羊可找保姆羊代养。</w:t>
      </w:r>
    </w:p>
    <w:p>
      <w:pPr>
        <w:pStyle w:val="7"/>
        <w:keepNext w:val="0"/>
        <w:keepLines w:val="0"/>
        <w:pageBreakBefore w:val="0"/>
        <w:widowControl w:val="0"/>
        <w:kinsoku/>
        <w:wordWrap/>
        <w:overflowPunct/>
        <w:topLinePunct w:val="0"/>
        <w:autoSpaceDE w:val="0"/>
        <w:autoSpaceDN w:val="0"/>
        <w:bidi w:val="0"/>
        <w:adjustRightInd/>
        <w:snapToGrid/>
        <w:spacing w:before="161" w:line="240" w:lineRule="auto"/>
        <w:ind w:left="539" w:right="578" w:firstLine="482"/>
        <w:jc w:val="both"/>
        <w:textAlignment w:val="auto"/>
        <w:rPr>
          <w:rFonts w:hint="eastAsia"/>
          <w:color w:val="0000FF"/>
          <w:lang w:val="en-US" w:eastAsia="zh-CN"/>
        </w:rPr>
      </w:pPr>
      <w:r>
        <w:rPr>
          <w:rFonts w:hint="eastAsia"/>
          <w:color w:val="0000FF"/>
          <w:lang w:val="en-US" w:eastAsia="zh-CN"/>
        </w:rPr>
        <w:t>5.羔羊培育：要坚持做好“六早” 工作。即早哺乳、早补饲、早断尾、早去势、早分群、早断奶。</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6.育成羊：断奶至第 1 次配种为羊的育成阶段，是羊只生长发育的关键时期，培育的好坏关系到它的生产性能。要强化饲养管理，要按标准饲喂。经常检查，逐月称重，及时调整日粮，保证正常生长发育，稳步增膘，一岁半配种时体重不低于 45kg。创造条件养好母羔，体重达到 38kg 以上的当年母羔可参加当年配种。</w:t>
      </w:r>
    </w:p>
    <w:p>
      <w:pPr>
        <w:pStyle w:val="7"/>
        <w:spacing w:before="161" w:line="364" w:lineRule="auto"/>
        <w:ind w:right="577" w:firstLine="480"/>
        <w:jc w:val="both"/>
        <w:rPr>
          <w:rFonts w:hint="eastAsia"/>
          <w:color w:val="0000FF"/>
          <w:lang w:val="en-US" w:eastAsia="zh-CN"/>
        </w:rPr>
      </w:pPr>
      <w:r>
        <w:rPr>
          <w:rFonts w:hint="eastAsia"/>
          <w:color w:val="0000FF"/>
          <w:lang w:val="en-US" w:eastAsia="zh-CN"/>
        </w:rPr>
        <w:t>7.种公羊：单独组群，小群饲养，保持良好膘度和健壮的体魄。指派责任心强、技术素质好的饲养员专门管理。圈舍及放牧地应远离其它羊群。</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1.母羊受配率 100%；</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2.母羊受胎率 95%以上；</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3.产仔成活率 98%；</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4.经产母羊产羔率≧115%；</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5.初生羔公羔≧4.3kg，母羔≧4.0kg；</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6.胴体重：平均 16.5kg；</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7.年产毛量≧1kg；</w:t>
      </w:r>
    </w:p>
    <w:p>
      <w:pPr>
        <w:pStyle w:val="7"/>
        <w:keepNext w:val="0"/>
        <w:keepLines w:val="0"/>
        <w:pageBreakBefore w:val="0"/>
        <w:widowControl w:val="0"/>
        <w:kinsoku/>
        <w:wordWrap/>
        <w:overflowPunct/>
        <w:topLinePunct w:val="0"/>
        <w:autoSpaceDE w:val="0"/>
        <w:autoSpaceDN w:val="0"/>
        <w:bidi w:val="0"/>
        <w:adjustRightInd/>
        <w:snapToGrid/>
        <w:spacing w:before="161" w:line="240" w:lineRule="exact"/>
        <w:ind w:left="539" w:right="578" w:firstLine="482"/>
        <w:jc w:val="both"/>
        <w:textAlignment w:val="auto"/>
        <w:rPr>
          <w:rFonts w:hint="eastAsia"/>
          <w:color w:val="0000FF"/>
          <w:lang w:val="en-US" w:eastAsia="zh-CN"/>
        </w:rPr>
      </w:pPr>
      <w:r>
        <w:rPr>
          <w:rFonts w:hint="eastAsia"/>
          <w:color w:val="0000FF"/>
          <w:lang w:val="en-US" w:eastAsia="zh-CN"/>
        </w:rPr>
        <w:t>8.一级成年公羊体重≧83kg，母羊体重≧60kg。</w:t>
      </w:r>
    </w:p>
    <w:p>
      <w:pPr>
        <w:pStyle w:val="18"/>
        <w:numPr>
          <w:ilvl w:val="4"/>
          <w:numId w:val="21"/>
        </w:numPr>
        <w:tabs>
          <w:tab w:val="left" w:pos="1500"/>
        </w:tabs>
        <w:spacing w:before="2" w:after="0" w:line="240" w:lineRule="auto"/>
        <w:ind w:left="1500" w:right="0" w:hanging="960"/>
        <w:jc w:val="left"/>
        <w:rPr>
          <w:sz w:val="24"/>
        </w:rPr>
      </w:pPr>
      <w:r>
        <w:rPr>
          <w:sz w:val="24"/>
        </w:rPr>
        <w:t>育肥工艺技术路线</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567"/>
        <w:textAlignment w:val="auto"/>
        <w:rPr>
          <w:rFonts w:ascii="Times New Roman" w:eastAsia="Times New Roman"/>
          <w:color w:val="0000FF"/>
        </w:rPr>
      </w:pPr>
      <w:r>
        <w:rPr>
          <w:color w:val="0000FF"/>
        </w:rPr>
        <w:t>本项目产品以活畜为主，主要供应给活畜市场，标准肉羊每只活重约</w:t>
      </w:r>
      <w:r>
        <w:rPr>
          <w:rFonts w:ascii="Times New Roman" w:eastAsia="Times New Roman"/>
          <w:color w:val="0000FF"/>
        </w:rPr>
        <w:t>40-50</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1049" w:right="0" w:hanging="482"/>
        <w:jc w:val="left"/>
        <w:textAlignment w:val="auto"/>
        <w:rPr>
          <w:rFonts w:ascii="Times New Roman" w:eastAsia="Times New Roman"/>
          <w:i w:val="0"/>
          <w:iCs w:val="0"/>
          <w:color w:val="0000FF"/>
        </w:rPr>
      </w:pPr>
      <w:r>
        <w:rPr>
          <w:color w:val="0000FF"/>
        </w:rPr>
        <w:t>公斤。育肥时间为羊</w:t>
      </w:r>
      <w:r>
        <w:rPr>
          <w:rFonts w:ascii="Times New Roman" w:eastAsia="Times New Roman"/>
          <w:color w:val="0000FF"/>
        </w:rPr>
        <w:t>3-4</w:t>
      </w:r>
      <w:r>
        <w:rPr>
          <w:color w:val="0000FF"/>
        </w:rPr>
        <w:t>个月。羊育肥工艺流程如下图所示图</w:t>
      </w:r>
      <w:r>
        <w:rPr>
          <w:rFonts w:ascii="Times New Roman" w:eastAsia="Times New Roman"/>
          <w:i w:val="0"/>
          <w:iCs w:val="0"/>
          <w:color w:val="0000FF"/>
        </w:rPr>
        <w:t>3.1-6</w:t>
      </w:r>
      <w:r>
        <w:rPr>
          <w:rFonts w:ascii="Times New Roman" w:eastAsia="Times New Roman"/>
          <w:i w:val="0"/>
          <w:iCs w:val="0"/>
          <w:color w:val="0000FF"/>
        </w:rPr>
        <w:tab/>
      </w:r>
    </w:p>
    <w:p>
      <w:pPr>
        <w:pStyle w:val="7"/>
        <w:keepNext w:val="0"/>
        <w:keepLines w:val="0"/>
        <w:pageBreakBefore w:val="0"/>
        <w:widowControl w:val="0"/>
        <w:kinsoku/>
        <w:wordWrap/>
        <w:overflowPunct/>
        <w:topLinePunct w:val="0"/>
        <w:autoSpaceDE w:val="0"/>
        <w:autoSpaceDN w:val="0"/>
        <w:bidi w:val="0"/>
        <w:adjustRightInd/>
        <w:snapToGrid/>
        <w:spacing w:before="161" w:line="360" w:lineRule="auto"/>
        <w:ind w:left="567" w:right="5237" w:hanging="480"/>
        <w:jc w:val="center"/>
        <w:textAlignment w:val="auto"/>
        <w:rPr>
          <w:rFonts w:ascii="Times New Roman" w:eastAsia="Times New Roman"/>
          <w:i w:val="0"/>
          <w:iCs w:val="0"/>
          <w:color w:val="0000FF"/>
        </w:rPr>
      </w:pPr>
    </w:p>
    <w:p>
      <w:pPr>
        <w:pStyle w:val="7"/>
        <w:spacing w:before="208" w:line="360" w:lineRule="auto"/>
        <w:ind w:right="577" w:firstLine="480"/>
        <w:rPr>
          <w:color w:val="0000FF"/>
        </w:rPr>
      </w:pPr>
      <w:r>
        <w:rPr>
          <w:color w:val="0000FF"/>
        </w:rPr>
        <w:pict>
          <v:group id="_x0000_s1131" o:spid="_x0000_s1131" o:spt="203" style="position:absolute;left:0pt;margin-left:74.95pt;margin-top:25.25pt;height:124.8pt;width:407.35pt;mso-position-horizontal-relative:page;mso-wrap-distance-bottom:0pt;mso-wrap-distance-top:0pt;z-index:-251589632;mso-width-relative:page;mso-height-relative:page;" coordorigin="2019,1195" coordsize="8147,2496">
            <o:lock v:ext="edit"/>
            <v:shape id="_x0000_s1132" o:spid="_x0000_s1132" o:spt="75" type="#_x0000_t75" style="position:absolute;left:2019;top:1194;height:2496;width:8147;" filled="f" stroked="f" coordsize="21600,21600">
              <v:path/>
              <v:fill on="f" focussize="0,0"/>
              <v:stroke on="f"/>
              <v:imagedata r:id="rId40" o:title=""/>
              <o:lock v:ext="edit" aspectratio="t"/>
            </v:shape>
            <v:shape id="_x0000_s1133" o:spid="_x0000_s1133" o:spt="202" type="#_x0000_t202" style="position:absolute;left:4176;top:1384;height:266;width:2300;" filled="f" stroked="f" coordsize="21600,21600">
              <v:path/>
              <v:fill on="f" focussize="0,0"/>
              <v:stroke on="f" joinstyle="miter"/>
              <v:imagedata o:title=""/>
              <o:lock v:ext="edit"/>
              <v:textbox inset="0mm,0mm,0mm,0mm">
                <w:txbxContent>
                  <w:p>
                    <w:pPr>
                      <w:spacing w:before="0" w:line="266" w:lineRule="exact"/>
                      <w:ind w:left="0" w:right="0" w:firstLine="0"/>
                      <w:jc w:val="left"/>
                      <w:rPr>
                        <w:sz w:val="24"/>
                      </w:rPr>
                    </w:pPr>
                    <w:r>
                      <w:rPr>
                        <w:spacing w:val="-8"/>
                        <w:sz w:val="24"/>
                      </w:rPr>
                      <w:t xml:space="preserve">进入隔离适应期 </w:t>
                    </w:r>
                    <w:r>
                      <w:rPr>
                        <w:rFonts w:ascii="Times New Roman" w:eastAsia="Times New Roman"/>
                        <w:sz w:val="24"/>
                      </w:rPr>
                      <w:t xml:space="preserve">15 </w:t>
                    </w:r>
                    <w:r>
                      <w:rPr>
                        <w:sz w:val="24"/>
                      </w:rPr>
                      <w:t>天</w:t>
                    </w:r>
                  </w:p>
                </w:txbxContent>
              </v:textbox>
            </v:shape>
            <v:shape id="_x0000_s1134" o:spid="_x0000_s1134" o:spt="202" type="#_x0000_t202" style="position:absolute;left:2174;top:2105;height:240;width:98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待育羔羊</w:t>
                    </w:r>
                  </w:p>
                </w:txbxContent>
              </v:textbox>
            </v:shape>
            <v:shape id="_x0000_s1135" o:spid="_x0000_s1135" o:spt="202" type="#_x0000_t202" style="position:absolute;left:3892;top:2090;height:240;width:50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检疫</w:t>
                    </w:r>
                  </w:p>
                </w:txbxContent>
              </v:textbox>
            </v:shape>
            <v:shape id="_x0000_s1136" o:spid="_x0000_s1136" o:spt="202" type="#_x0000_t202" style="position:absolute;left:5114;top:2095;height:240;width:50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驱虫</w:t>
                    </w:r>
                  </w:p>
                </w:txbxContent>
              </v:textbox>
            </v:shape>
            <v:shape id="_x0000_s1137" o:spid="_x0000_s1137" o:spt="202" type="#_x0000_t202" style="position:absolute;left:6316;top:2083;height:240;width:50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编号</w:t>
                    </w:r>
                  </w:p>
                </w:txbxContent>
              </v:textbox>
            </v:shape>
            <v:shape id="_x0000_s1138" o:spid="_x0000_s1138" o:spt="202" type="#_x0000_t202" style="position:absolute;left:7612;top:2083;height:266;width:2418;" filled="f" stroked="f" coordsize="21600,21600">
              <v:path/>
              <v:fill on="f" focussize="0,0"/>
              <v:stroke on="f" joinstyle="miter"/>
              <v:imagedata o:title=""/>
              <o:lock v:ext="edit"/>
              <v:textbox inset="0mm,0mm,0mm,0mm">
                <w:txbxContent>
                  <w:p>
                    <w:pPr>
                      <w:spacing w:before="0" w:line="266" w:lineRule="exact"/>
                      <w:ind w:left="0" w:right="0" w:firstLine="0"/>
                      <w:jc w:val="left"/>
                      <w:rPr>
                        <w:sz w:val="24"/>
                      </w:rPr>
                    </w:pPr>
                    <w:r>
                      <w:rPr>
                        <w:spacing w:val="-3"/>
                        <w:sz w:val="24"/>
                      </w:rPr>
                      <w:t>进入育肥期：</w:t>
                    </w:r>
                    <w:r>
                      <w:rPr>
                        <w:rFonts w:ascii="Times New Roman" w:eastAsia="Times New Roman"/>
                        <w:spacing w:val="-16"/>
                        <w:sz w:val="24"/>
                      </w:rPr>
                      <w:t>3</w:t>
                    </w:r>
                    <w:r>
                      <w:rPr>
                        <w:spacing w:val="-16"/>
                        <w:sz w:val="24"/>
                      </w:rPr>
                      <w:t>～</w:t>
                    </w:r>
                    <w:r>
                      <w:rPr>
                        <w:rFonts w:ascii="Times New Roman" w:eastAsia="Times New Roman"/>
                        <w:spacing w:val="-16"/>
                        <w:sz w:val="24"/>
                      </w:rPr>
                      <w:t xml:space="preserve">4 </w:t>
                    </w:r>
                    <w:r>
                      <w:rPr>
                        <w:sz w:val="24"/>
                      </w:rPr>
                      <w:t>个月</w:t>
                    </w:r>
                  </w:p>
                </w:txbxContent>
              </v:textbox>
            </v:shape>
            <v:shape id="_x0000_s1139" o:spid="_x0000_s1139" o:spt="202" type="#_x0000_t202" style="position:absolute;left:3225;top:3285;height:240;width:1086;"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出栏销售</w:t>
                    </w:r>
                  </w:p>
                </w:txbxContent>
              </v:textbox>
            </v:shape>
            <v:shape id="_x0000_s1140" o:spid="_x0000_s1140" o:spt="202" type="#_x0000_t202" style="position:absolute;left:5040;top:3273;height:266;width:2480;" filled="f" stroked="f" coordsize="21600,21600">
              <v:path/>
              <v:fill on="f" focussize="0,0"/>
              <v:stroke on="f" joinstyle="miter"/>
              <v:imagedata o:title=""/>
              <o:lock v:ext="edit"/>
              <v:textbox inset="0mm,0mm,0mm,0mm">
                <w:txbxContent>
                  <w:p>
                    <w:pPr>
                      <w:spacing w:before="0" w:line="266" w:lineRule="exact"/>
                      <w:ind w:left="0" w:right="0" w:firstLine="0"/>
                      <w:jc w:val="left"/>
                      <w:rPr>
                        <w:rFonts w:ascii="Times New Roman" w:eastAsia="Times New Roman"/>
                        <w:sz w:val="24"/>
                      </w:rPr>
                    </w:pPr>
                    <w:r>
                      <w:rPr>
                        <w:spacing w:val="-9"/>
                        <w:sz w:val="24"/>
                      </w:rPr>
                      <w:t xml:space="preserve">结束育肥体重 </w:t>
                    </w:r>
                    <w:r>
                      <w:rPr>
                        <w:rFonts w:ascii="Times New Roman" w:eastAsia="Times New Roman"/>
                        <w:sz w:val="24"/>
                      </w:rPr>
                      <w:t>40</w:t>
                    </w:r>
                    <w:r>
                      <w:rPr>
                        <w:sz w:val="24"/>
                      </w:rPr>
                      <w:t>～</w:t>
                    </w:r>
                    <w:r>
                      <w:rPr>
                        <w:rFonts w:ascii="Times New Roman" w:eastAsia="Times New Roman"/>
                        <w:sz w:val="24"/>
                      </w:rPr>
                      <w:t>50kg</w:t>
                    </w:r>
                  </w:p>
                </w:txbxContent>
              </v:textbox>
            </v:shape>
            <v:shape id="_x0000_s1141" o:spid="_x0000_s1141" o:spt="202" type="#_x0000_t202" style="position:absolute;left:8407;top:3278;height:240;width:74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育肥羊</w:t>
                    </w:r>
                  </w:p>
                </w:txbxContent>
              </v:textbox>
            </v:shape>
            <w10:wrap type="topAndBottom"/>
          </v:group>
        </w:pict>
      </w:r>
    </w:p>
    <w:p>
      <w:pPr>
        <w:pStyle w:val="7"/>
        <w:spacing w:before="208" w:line="360" w:lineRule="auto"/>
        <w:ind w:right="577" w:firstLine="480"/>
        <w:rPr>
          <w:i w:val="0"/>
          <w:iCs w:val="0"/>
          <w:color w:val="0000FF"/>
        </w:rPr>
      </w:pPr>
      <w:r>
        <w:rPr>
          <w:rFonts w:hint="eastAsia"/>
          <w:i w:val="0"/>
          <w:iCs w:val="0"/>
          <w:color w:val="0000FF"/>
          <w:lang w:val="en-US" w:eastAsia="zh-CN"/>
        </w:rPr>
        <w:t xml:space="preserve">                 </w:t>
      </w:r>
      <w:r>
        <w:rPr>
          <w:i w:val="0"/>
          <w:iCs w:val="0"/>
          <w:color w:val="0000FF"/>
        </w:rPr>
        <w:t>育肥工艺流程图</w:t>
      </w:r>
    </w:p>
    <w:p>
      <w:pPr>
        <w:pStyle w:val="7"/>
        <w:keepNext w:val="0"/>
        <w:keepLines w:val="0"/>
        <w:pageBreakBefore w:val="0"/>
        <w:widowControl w:val="0"/>
        <w:kinsoku/>
        <w:wordWrap/>
        <w:overflowPunct/>
        <w:topLinePunct w:val="0"/>
        <w:autoSpaceDE w:val="0"/>
        <w:autoSpaceDN w:val="0"/>
        <w:bidi w:val="0"/>
        <w:adjustRightInd/>
        <w:snapToGrid/>
        <w:spacing w:before="208" w:line="360" w:lineRule="auto"/>
        <w:ind w:left="220" w:leftChars="100" w:right="567" w:firstLine="480"/>
        <w:jc w:val="both"/>
        <w:textAlignment w:val="auto"/>
        <w:rPr>
          <w:color w:val="0000FF"/>
        </w:rPr>
      </w:pPr>
      <w:r>
        <w:rPr>
          <w:color w:val="0000FF"/>
        </w:rPr>
        <w:t>本项目主要采用处理后的秸秆</w:t>
      </w:r>
      <w:r>
        <w:rPr>
          <w:rFonts w:ascii="Times New Roman" w:eastAsia="Times New Roman"/>
          <w:color w:val="0000FF"/>
        </w:rPr>
        <w:t>+</w:t>
      </w:r>
      <w:r>
        <w:rPr>
          <w:color w:val="0000FF"/>
        </w:rPr>
        <w:t>精料育肥、青贮料</w:t>
      </w:r>
      <w:r>
        <w:rPr>
          <w:rFonts w:ascii="Times New Roman" w:eastAsia="Times New Roman"/>
          <w:color w:val="0000FF"/>
        </w:rPr>
        <w:t>+</w:t>
      </w:r>
      <w:r>
        <w:rPr>
          <w:color w:val="0000FF"/>
        </w:rPr>
        <w:t>精料育肥，整出整入育肥模式。</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67"/>
        <w:jc w:val="both"/>
        <w:textAlignment w:val="auto"/>
        <w:rPr>
          <w:color w:val="0000FF"/>
        </w:rPr>
      </w:pPr>
      <w:r>
        <w:rPr>
          <w:color w:val="0000FF"/>
        </w:rPr>
        <w:t>育肥期可分为适应期、过渡期、催肥期三个阶段。</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67" w:firstLine="480" w:firstLineChars="200"/>
        <w:jc w:val="both"/>
        <w:textAlignment w:val="auto"/>
        <w:rPr>
          <w:color w:val="0000FF"/>
        </w:rPr>
      </w:pPr>
      <w:r>
        <w:rPr>
          <w:color w:val="0000FF"/>
        </w:rPr>
        <w:t>适应期一般约</w:t>
      </w:r>
      <w:r>
        <w:rPr>
          <w:rFonts w:ascii="Times New Roman" w:eastAsia="Times New Roman"/>
          <w:color w:val="0000FF"/>
        </w:rPr>
        <w:t>10</w:t>
      </w:r>
      <w:r>
        <w:rPr>
          <w:color w:val="0000FF"/>
        </w:rPr>
        <w:t>天左右，主要是羊熟悉环境、恢复体力。要求日粮以品质优良的粗饲料为主，可不喂或少喂精料。</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67" w:firstLine="480"/>
        <w:jc w:val="both"/>
        <w:textAlignment w:val="auto"/>
        <w:rPr>
          <w:color w:val="0000FF"/>
        </w:rPr>
      </w:pPr>
      <w:r>
        <w:rPr>
          <w:color w:val="0000FF"/>
        </w:rPr>
        <w:t>过渡期约</w:t>
      </w:r>
      <w:r>
        <w:rPr>
          <w:rFonts w:ascii="Times New Roman" w:eastAsia="Times New Roman"/>
          <w:color w:val="0000FF"/>
        </w:rPr>
        <w:t>25</w:t>
      </w:r>
      <w:r>
        <w:rPr>
          <w:color w:val="0000FF"/>
        </w:rPr>
        <w:t>天左右，以适应粗粮型日粮为主，防止臌胀、拉稀、酸中毒等疾病的出现，要求日粮中逐步增加精料比例。</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67" w:firstLine="480"/>
        <w:jc w:val="both"/>
        <w:textAlignment w:val="auto"/>
        <w:rPr>
          <w:color w:val="0000FF"/>
        </w:rPr>
      </w:pPr>
      <w:r>
        <w:rPr>
          <w:color w:val="0000FF"/>
          <w:spacing w:val="-12"/>
        </w:rPr>
        <w:t>催肥期约</w:t>
      </w:r>
      <w:r>
        <w:rPr>
          <w:rFonts w:ascii="Times New Roman" w:eastAsia="Times New Roman"/>
          <w:color w:val="0000FF"/>
        </w:rPr>
        <w:t>60-100</w:t>
      </w:r>
      <w:r>
        <w:rPr>
          <w:color w:val="0000FF"/>
          <w:spacing w:val="-11"/>
        </w:rPr>
        <w:t>天，通过提高精料比例，一般可达到</w:t>
      </w:r>
      <w:r>
        <w:rPr>
          <w:rFonts w:ascii="Times New Roman" w:eastAsia="Times New Roman"/>
          <w:color w:val="0000FF"/>
          <w:spacing w:val="-6"/>
        </w:rPr>
        <w:t>25%</w:t>
      </w:r>
      <w:r>
        <w:rPr>
          <w:color w:val="0000FF"/>
          <w:spacing w:val="-4"/>
        </w:rPr>
        <w:t>，进行强度育肥，</w:t>
      </w:r>
      <w:r>
        <w:rPr>
          <w:color w:val="0000FF"/>
          <w:spacing w:val="-7"/>
        </w:rPr>
        <w:t>饲料的饲喂次数由</w:t>
      </w:r>
      <w:r>
        <w:rPr>
          <w:rFonts w:ascii="Times New Roman" w:eastAsia="Times New Roman"/>
          <w:color w:val="0000FF"/>
        </w:rPr>
        <w:t>2</w:t>
      </w:r>
      <w:r>
        <w:rPr>
          <w:color w:val="0000FF"/>
          <w:spacing w:val="-15"/>
        </w:rPr>
        <w:t>次改为</w:t>
      </w:r>
      <w:r>
        <w:rPr>
          <w:rFonts w:ascii="Times New Roman" w:eastAsia="Times New Roman"/>
          <w:color w:val="0000FF"/>
        </w:rPr>
        <w:t>3</w:t>
      </w:r>
      <w:r>
        <w:rPr>
          <w:color w:val="0000FF"/>
          <w:spacing w:val="-12"/>
        </w:rPr>
        <w:t>次，尽量让羊多吃，使日增重羊达到</w:t>
      </w:r>
      <w:r>
        <w:rPr>
          <w:rFonts w:ascii="Times New Roman" w:eastAsia="Times New Roman"/>
          <w:color w:val="0000FF"/>
        </w:rPr>
        <w:t>330-440</w:t>
      </w:r>
      <w:r>
        <w:rPr>
          <w:color w:val="0000FF"/>
        </w:rPr>
        <w:t>克以上。</w:t>
      </w:r>
    </w:p>
    <w:p>
      <w:pPr>
        <w:pStyle w:val="18"/>
        <w:keepNext w:val="0"/>
        <w:keepLines w:val="0"/>
        <w:pageBreakBefore w:val="0"/>
        <w:widowControl w:val="0"/>
        <w:numPr>
          <w:ilvl w:val="4"/>
          <w:numId w:val="21"/>
        </w:numPr>
        <w:tabs>
          <w:tab w:val="left" w:pos="1500"/>
        </w:tabs>
        <w:kinsoku/>
        <w:wordWrap/>
        <w:overflowPunct/>
        <w:topLinePunct w:val="0"/>
        <w:autoSpaceDE w:val="0"/>
        <w:autoSpaceDN w:val="0"/>
        <w:bidi w:val="0"/>
        <w:adjustRightInd/>
        <w:snapToGrid/>
        <w:spacing w:before="0" w:after="0" w:line="360" w:lineRule="auto"/>
        <w:ind w:left="1180" w:leftChars="100" w:right="0" w:hanging="960"/>
        <w:jc w:val="both"/>
        <w:textAlignment w:val="auto"/>
        <w:rPr>
          <w:color w:val="0000FF"/>
          <w:sz w:val="24"/>
        </w:rPr>
      </w:pPr>
      <w:r>
        <w:rPr>
          <w:color w:val="0000FF"/>
          <w:sz w:val="24"/>
        </w:rPr>
        <w:t>饲养技术规程</w:t>
      </w:r>
    </w:p>
    <w:p>
      <w:pPr>
        <w:pStyle w:val="18"/>
        <w:keepNext w:val="0"/>
        <w:keepLines w:val="0"/>
        <w:pageBreakBefore w:val="0"/>
        <w:widowControl w:val="0"/>
        <w:numPr>
          <w:ilvl w:val="0"/>
          <w:numId w:val="22"/>
        </w:numPr>
        <w:tabs>
          <w:tab w:val="left" w:pos="1621"/>
        </w:tabs>
        <w:kinsoku/>
        <w:wordWrap/>
        <w:overflowPunct/>
        <w:topLinePunct w:val="0"/>
        <w:autoSpaceDE w:val="0"/>
        <w:autoSpaceDN w:val="0"/>
        <w:bidi w:val="0"/>
        <w:adjustRightInd/>
        <w:snapToGrid/>
        <w:spacing w:before="150" w:after="0" w:line="360" w:lineRule="auto"/>
        <w:ind w:left="821" w:leftChars="100" w:right="0" w:hanging="601"/>
        <w:jc w:val="left"/>
        <w:textAlignment w:val="auto"/>
        <w:rPr>
          <w:color w:val="0000FF"/>
          <w:sz w:val="24"/>
        </w:rPr>
      </w:pPr>
      <w:r>
        <w:rPr>
          <w:color w:val="0000FF"/>
          <w:sz w:val="24"/>
        </w:rPr>
        <w:t>羔羊舍、羔羊饲养技术规程</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right="577" w:firstLine="480"/>
        <w:jc w:val="both"/>
        <w:textAlignment w:val="auto"/>
        <w:rPr>
          <w:color w:val="0000FF"/>
        </w:rPr>
      </w:pPr>
      <w:r>
        <w:rPr>
          <w:color w:val="0000FF"/>
          <w:spacing w:val="-8"/>
        </w:rPr>
        <w:t>羔羊是指出生到</w:t>
      </w:r>
      <w:r>
        <w:rPr>
          <w:rFonts w:ascii="Times New Roman" w:eastAsia="Times New Roman"/>
          <w:color w:val="0000FF"/>
        </w:rPr>
        <w:t>100</w:t>
      </w:r>
      <w:r>
        <w:rPr>
          <w:color w:val="0000FF"/>
          <w:spacing w:val="-11"/>
        </w:rPr>
        <w:t>日龄羊，在管理上要从环境、饲喂和羊只管理入手，保</w:t>
      </w:r>
      <w:r>
        <w:rPr>
          <w:color w:val="0000FF"/>
        </w:rPr>
        <w:t>障羔羊健康生长。</w:t>
      </w:r>
    </w:p>
    <w:p>
      <w:pPr>
        <w:pStyle w:val="7"/>
        <w:keepNext w:val="0"/>
        <w:keepLines w:val="0"/>
        <w:pageBreakBefore w:val="0"/>
        <w:widowControl w:val="0"/>
        <w:kinsoku/>
        <w:wordWrap/>
        <w:overflowPunct/>
        <w:topLinePunct w:val="0"/>
        <w:autoSpaceDE w:val="0"/>
        <w:autoSpaceDN w:val="0"/>
        <w:bidi w:val="0"/>
        <w:adjustRightInd/>
        <w:snapToGrid/>
        <w:spacing w:before="3" w:line="360" w:lineRule="auto"/>
        <w:ind w:left="220" w:leftChars="100" w:right="577" w:firstLine="480"/>
        <w:jc w:val="both"/>
        <w:textAlignment w:val="auto"/>
        <w:rPr>
          <w:color w:val="0000FF"/>
        </w:rPr>
      </w:pPr>
      <w:r>
        <w:rPr>
          <w:color w:val="0000FF"/>
          <w:spacing w:val="-6"/>
        </w:rPr>
        <w:t>产羔前应对产房和圈舍进行彻底清扫与消毒。产羔后，要定时清扫污物并保</w:t>
      </w:r>
      <w:r>
        <w:rPr>
          <w:color w:val="0000FF"/>
          <w:spacing w:val="-1"/>
        </w:rPr>
        <w:t>持舍内空气流通，保持定期消毒。产房和新生羔羊的圈舍温度应保持在</w:t>
      </w:r>
      <w:r>
        <w:rPr>
          <w:rFonts w:ascii="Times New Roman" w:hAnsi="Times New Roman" w:eastAsia="Times New Roman"/>
          <w:color w:val="0000FF"/>
        </w:rPr>
        <w:t>10</w:t>
      </w:r>
      <w:r>
        <w:rPr>
          <w:color w:val="0000FF"/>
        </w:rPr>
        <w:t>℃以上，并保持圈舍温度的的相对稳定性，并保持地面干燥。</w:t>
      </w:r>
    </w:p>
    <w:p>
      <w:pPr>
        <w:pStyle w:val="7"/>
        <w:keepNext w:val="0"/>
        <w:keepLines w:val="0"/>
        <w:pageBreakBefore w:val="0"/>
        <w:widowControl w:val="0"/>
        <w:kinsoku/>
        <w:wordWrap/>
        <w:overflowPunct/>
        <w:topLinePunct w:val="0"/>
        <w:autoSpaceDE w:val="0"/>
        <w:autoSpaceDN w:val="0"/>
        <w:bidi w:val="0"/>
        <w:adjustRightInd/>
        <w:snapToGrid/>
        <w:spacing w:before="5" w:line="360" w:lineRule="auto"/>
        <w:ind w:left="220" w:leftChars="100" w:right="577" w:firstLine="480"/>
        <w:jc w:val="both"/>
        <w:textAlignment w:val="auto"/>
        <w:rPr>
          <w:color w:val="0000FF"/>
        </w:rPr>
      </w:pPr>
      <w:r>
        <w:rPr>
          <w:rFonts w:ascii="Times New Roman" w:hAnsi="Times New Roman" w:eastAsia="Times New Roman"/>
          <w:color w:val="0000FF"/>
        </w:rPr>
        <w:t>1-3</w:t>
      </w:r>
      <w:r>
        <w:rPr>
          <w:color w:val="0000FF"/>
          <w:spacing w:val="-1"/>
        </w:rPr>
        <w:t>日龄：尽早让羔羊吃上初乳。对初生弱羔、双羔、初产母羊或母性不强</w:t>
      </w:r>
      <w:r>
        <w:rPr>
          <w:color w:val="0000FF"/>
          <w:spacing w:val="-8"/>
        </w:rPr>
        <w:t>的母羊所产的羔羊，需要人工辅助羔羊吃乳。注意圈内保暖防寒，室温不得低于</w:t>
      </w:r>
      <w:r>
        <w:rPr>
          <w:rFonts w:ascii="Times New Roman" w:hAnsi="Times New Roman" w:eastAsia="Times New Roman"/>
          <w:color w:val="0000FF"/>
        </w:rPr>
        <w:t>5</w:t>
      </w:r>
      <w:r>
        <w:rPr>
          <w:color w:val="0000FF"/>
        </w:rPr>
        <w:t>℃。舍内应保持通风、干燥、明亮、安静、清洁。</w:t>
      </w:r>
    </w:p>
    <w:p>
      <w:pPr>
        <w:pStyle w:val="7"/>
        <w:keepNext w:val="0"/>
        <w:keepLines w:val="0"/>
        <w:pageBreakBefore w:val="0"/>
        <w:widowControl w:val="0"/>
        <w:kinsoku/>
        <w:wordWrap/>
        <w:overflowPunct/>
        <w:topLinePunct w:val="0"/>
        <w:autoSpaceDE w:val="0"/>
        <w:autoSpaceDN w:val="0"/>
        <w:bidi w:val="0"/>
        <w:adjustRightInd/>
        <w:snapToGrid/>
        <w:spacing w:before="6" w:line="360" w:lineRule="auto"/>
        <w:ind w:left="220" w:leftChars="100" w:right="577" w:firstLine="480"/>
        <w:jc w:val="both"/>
        <w:textAlignment w:val="auto"/>
        <w:rPr>
          <w:color w:val="0000FF"/>
        </w:rPr>
      </w:pPr>
      <w:r>
        <w:rPr>
          <w:rFonts w:ascii="Times New Roman" w:hAnsi="Times New Roman" w:eastAsia="Times New Roman"/>
          <w:color w:val="0000FF"/>
        </w:rPr>
        <w:t>4-7</w:t>
      </w:r>
      <w:r>
        <w:rPr>
          <w:color w:val="0000FF"/>
          <w:spacing w:val="-1"/>
        </w:rPr>
        <w:t>日龄：保证吃奶时间均匀，以提高羔羊成活率。要注意棚圈卫生，加强</w:t>
      </w:r>
      <w:r>
        <w:rPr>
          <w:color w:val="0000FF"/>
          <w:spacing w:val="-6"/>
        </w:rPr>
        <w:t>防疫，预防“三炎一痢”</w:t>
      </w:r>
      <w:r>
        <w:rPr>
          <w:color w:val="0000FF"/>
          <w:spacing w:val="-13"/>
        </w:rPr>
        <w:t>（</w:t>
      </w:r>
      <w:r>
        <w:rPr>
          <w:color w:val="0000FF"/>
          <w:spacing w:val="-5"/>
        </w:rPr>
        <w:t>肺炎、肠胃炎、脐带炎和羔羊痢</w:t>
      </w:r>
      <w:r>
        <w:rPr>
          <w:color w:val="0000FF"/>
          <w:spacing w:val="-13"/>
        </w:rPr>
        <w:t>）</w:t>
      </w:r>
      <w:r>
        <w:rPr>
          <w:color w:val="0000FF"/>
          <w:spacing w:val="-6"/>
        </w:rPr>
        <w:t>，兽药使用和防疫</w:t>
      </w:r>
      <w:r>
        <w:rPr>
          <w:color w:val="0000FF"/>
          <w:spacing w:val="-21"/>
        </w:rPr>
        <w:t>按照</w:t>
      </w:r>
      <w:r>
        <w:rPr>
          <w:rFonts w:ascii="Times New Roman" w:hAnsi="Times New Roman" w:eastAsia="Times New Roman"/>
          <w:color w:val="0000FF"/>
        </w:rPr>
        <w:t>NY5030</w:t>
      </w:r>
      <w:r>
        <w:rPr>
          <w:color w:val="0000FF"/>
        </w:rPr>
        <w:t>、</w:t>
      </w:r>
      <w:r>
        <w:rPr>
          <w:rFonts w:ascii="Times New Roman" w:hAnsi="Times New Roman" w:eastAsia="Times New Roman"/>
          <w:color w:val="0000FF"/>
        </w:rPr>
        <w:t>NY5149</w:t>
      </w:r>
      <w:r>
        <w:rPr>
          <w:color w:val="0000FF"/>
        </w:rPr>
        <w:t>规定执行。</w:t>
      </w:r>
    </w:p>
    <w:p>
      <w:pPr>
        <w:pStyle w:val="7"/>
        <w:keepNext w:val="0"/>
        <w:keepLines w:val="0"/>
        <w:pageBreakBefore w:val="0"/>
        <w:widowControl w:val="0"/>
        <w:kinsoku/>
        <w:wordWrap/>
        <w:overflowPunct/>
        <w:topLinePunct w:val="0"/>
        <w:autoSpaceDE w:val="0"/>
        <w:autoSpaceDN w:val="0"/>
        <w:bidi w:val="0"/>
        <w:adjustRightInd/>
        <w:snapToGrid/>
        <w:spacing w:before="5" w:line="360" w:lineRule="auto"/>
        <w:ind w:left="220" w:leftChars="100" w:right="577" w:firstLine="480"/>
        <w:jc w:val="both"/>
        <w:textAlignment w:val="auto"/>
        <w:rPr>
          <w:color w:val="0000FF"/>
        </w:rPr>
      </w:pPr>
      <w:r>
        <w:rPr>
          <w:rFonts w:ascii="Times New Roman" w:eastAsia="Times New Roman"/>
          <w:color w:val="0000FF"/>
        </w:rPr>
        <w:t>8-20</w:t>
      </w:r>
      <w:r>
        <w:rPr>
          <w:color w:val="0000FF"/>
          <w:spacing w:val="-10"/>
        </w:rPr>
        <w:t>日龄：羔羊</w:t>
      </w:r>
      <w:r>
        <w:rPr>
          <w:rFonts w:ascii="Times New Roman" w:eastAsia="Times New Roman"/>
          <w:color w:val="0000FF"/>
        </w:rPr>
        <w:t>10</w:t>
      </w:r>
      <w:r>
        <w:rPr>
          <w:color w:val="0000FF"/>
          <w:spacing w:val="-1"/>
        </w:rPr>
        <w:t>日龄开始训练吃草料，在圈内安装羔羊补饲栏，让羔羊</w:t>
      </w:r>
      <w:r>
        <w:rPr>
          <w:color w:val="0000FF"/>
          <w:spacing w:val="-3"/>
        </w:rPr>
        <w:t>自由采食，饮用清洁水。每只每日可补喂精料</w:t>
      </w:r>
      <w:r>
        <w:rPr>
          <w:rFonts w:ascii="Times New Roman" w:eastAsia="Times New Roman"/>
          <w:color w:val="0000FF"/>
        </w:rPr>
        <w:t>50-100g</w:t>
      </w:r>
      <w:r>
        <w:rPr>
          <w:color w:val="0000FF"/>
          <w:spacing w:val="-2"/>
        </w:rPr>
        <w:t>。晚上羔羊同母羊一起饲</w:t>
      </w:r>
      <w:r>
        <w:rPr>
          <w:color w:val="0000FF"/>
        </w:rPr>
        <w:t>养。白天羔羊留在羊舍里。</w:t>
      </w:r>
    </w:p>
    <w:p>
      <w:pPr>
        <w:pStyle w:val="7"/>
        <w:keepNext w:val="0"/>
        <w:keepLines w:val="0"/>
        <w:pageBreakBefore w:val="0"/>
        <w:widowControl w:val="0"/>
        <w:kinsoku/>
        <w:wordWrap/>
        <w:overflowPunct/>
        <w:topLinePunct w:val="0"/>
        <w:autoSpaceDE w:val="0"/>
        <w:autoSpaceDN w:val="0"/>
        <w:bidi w:val="0"/>
        <w:adjustRightInd/>
        <w:snapToGrid/>
        <w:spacing w:before="6" w:line="360" w:lineRule="auto"/>
        <w:ind w:left="220" w:leftChars="100" w:right="575" w:firstLine="480"/>
        <w:jc w:val="both"/>
        <w:textAlignment w:val="auto"/>
        <w:rPr>
          <w:color w:val="0000FF"/>
          <w:sz w:val="9"/>
        </w:rPr>
      </w:pPr>
      <w:r>
        <w:rPr>
          <w:rFonts w:ascii="Times New Roman" w:hAnsi="Times New Roman" w:eastAsia="Times New Roman"/>
          <w:color w:val="0000FF"/>
        </w:rPr>
        <w:t>21-30</w:t>
      </w:r>
      <w:r>
        <w:rPr>
          <w:color w:val="0000FF"/>
          <w:spacing w:val="-3"/>
        </w:rPr>
        <w:t>日龄：</w:t>
      </w:r>
      <w:r>
        <w:rPr>
          <w:rFonts w:ascii="Times New Roman" w:hAnsi="Times New Roman" w:eastAsia="Times New Roman"/>
          <w:color w:val="0000FF"/>
          <w:spacing w:val="-8"/>
        </w:rPr>
        <w:t>21</w:t>
      </w:r>
      <w:r>
        <w:rPr>
          <w:color w:val="0000FF"/>
          <w:spacing w:val="-9"/>
        </w:rPr>
        <w:t>日龄后，羔羊每只每日可补喂精料</w:t>
      </w:r>
      <w:r>
        <w:rPr>
          <w:rFonts w:ascii="Times New Roman" w:hAnsi="Times New Roman" w:eastAsia="Times New Roman"/>
          <w:color w:val="0000FF"/>
        </w:rPr>
        <w:t>100-150g</w:t>
      </w:r>
      <w:r>
        <w:rPr>
          <w:color w:val="0000FF"/>
          <w:spacing w:val="-7"/>
        </w:rPr>
        <w:t>。羔羊可在室外</w:t>
      </w:r>
      <w:r>
        <w:rPr>
          <w:color w:val="0000FF"/>
          <w:spacing w:val="-11"/>
        </w:rPr>
        <w:t>自由活动，晒太阳，也可以放入塑料大棚暖圈内运动，也可随母羊一起在运动场活动。在这个时期，特别是要确保双羔和弱羔能吃到奶。缺奶羔和多胎羔羊，应</w:t>
      </w:r>
      <w:r>
        <w:rPr>
          <w:color w:val="0000FF"/>
          <w:spacing w:val="-26"/>
        </w:rPr>
        <w:t>找保姆羊或使用人工哺乳。人工哺乳务必做到清洁卫生、定时、定量、定温</w:t>
      </w:r>
      <w:r>
        <w:rPr>
          <w:color w:val="0000FF"/>
          <w:spacing w:val="-4"/>
        </w:rPr>
        <w:t>（</w:t>
      </w:r>
      <w:r>
        <w:rPr>
          <w:rFonts w:ascii="Times New Roman" w:hAnsi="Times New Roman" w:eastAsia="Times New Roman"/>
          <w:color w:val="0000FF"/>
          <w:spacing w:val="-4"/>
        </w:rPr>
        <w:t>35</w:t>
      </w:r>
      <w:r>
        <w:rPr>
          <w:color w:val="0000FF"/>
          <w:spacing w:val="-4"/>
        </w:rPr>
        <w:t>℃～</w:t>
      </w:r>
      <w:r>
        <w:rPr>
          <w:rFonts w:ascii="Times New Roman" w:hAnsi="Times New Roman" w:eastAsia="Times New Roman"/>
          <w:color w:val="0000FF"/>
          <w:spacing w:val="-5"/>
        </w:rPr>
        <w:t>39</w:t>
      </w:r>
      <w:r>
        <w:rPr>
          <w:color w:val="0000FF"/>
          <w:spacing w:val="-5"/>
        </w:rPr>
        <w:t>℃）</w:t>
      </w:r>
      <w:r>
        <w:rPr>
          <w:color w:val="0000FF"/>
          <w:spacing w:val="-10"/>
        </w:rPr>
        <w:t>。哺乳工具可用奶瓶，也可设饮奶槽。哺乳用具用后清洁，定期消毒，保</w:t>
      </w:r>
      <w:r>
        <w:rPr>
          <w:color w:val="0000FF"/>
        </w:rPr>
        <w:t>持清洁。</w:t>
      </w:r>
      <w:r>
        <w:rPr>
          <w:rFonts w:ascii="Times New Roman" w:eastAsia="Times New Roman"/>
          <w:color w:val="0000FF"/>
        </w:rPr>
        <w:t>1-2</w:t>
      </w:r>
      <w:r>
        <w:rPr>
          <w:color w:val="0000FF"/>
        </w:rPr>
        <w:t>月龄：</w:t>
      </w:r>
      <w:r>
        <w:rPr>
          <w:rFonts w:ascii="Times New Roman" w:eastAsia="Times New Roman"/>
          <w:color w:val="0000FF"/>
        </w:rPr>
        <w:t>1</w:t>
      </w:r>
      <w:r>
        <w:rPr>
          <w:color w:val="0000FF"/>
        </w:rPr>
        <w:t>月龄后，羔羊逐渐转变为以采食为主，可自由采食苜蓿。每日补精料</w:t>
      </w:r>
      <w:r>
        <w:rPr>
          <w:rFonts w:ascii="Times New Roman" w:eastAsia="Times New Roman"/>
          <w:color w:val="0000FF"/>
        </w:rPr>
        <w:t>150-200g</w:t>
      </w:r>
      <w:r>
        <w:rPr>
          <w:color w:val="0000FF"/>
        </w:rPr>
        <w:t>，每天分两次饲喂。</w:t>
      </w:r>
    </w:p>
    <w:p>
      <w:pPr>
        <w:pStyle w:val="7"/>
        <w:keepNext w:val="0"/>
        <w:keepLines w:val="0"/>
        <w:pageBreakBefore w:val="0"/>
        <w:widowControl w:val="0"/>
        <w:kinsoku/>
        <w:wordWrap/>
        <w:overflowPunct/>
        <w:topLinePunct w:val="0"/>
        <w:autoSpaceDE w:val="0"/>
        <w:autoSpaceDN w:val="0"/>
        <w:bidi w:val="0"/>
        <w:adjustRightInd/>
        <w:snapToGrid/>
        <w:spacing w:before="74" w:line="360" w:lineRule="auto"/>
        <w:ind w:left="220" w:leftChars="100" w:right="455" w:firstLine="480"/>
        <w:textAlignment w:val="auto"/>
        <w:rPr>
          <w:color w:val="0000FF"/>
        </w:rPr>
      </w:pPr>
      <w:r>
        <w:rPr>
          <w:rFonts w:ascii="Times New Roman" w:eastAsia="Times New Roman"/>
          <w:color w:val="0000FF"/>
        </w:rPr>
        <w:t>3-4</w:t>
      </w:r>
      <w:r>
        <w:rPr>
          <w:color w:val="0000FF"/>
          <w:spacing w:val="-8"/>
        </w:rPr>
        <w:t>月龄：每天补精料</w:t>
      </w:r>
      <w:r>
        <w:rPr>
          <w:rFonts w:ascii="Times New Roman" w:eastAsia="Times New Roman"/>
          <w:color w:val="0000FF"/>
        </w:rPr>
        <w:t>200-250g</w:t>
      </w:r>
      <w:r>
        <w:rPr>
          <w:color w:val="0000FF"/>
          <w:spacing w:val="-20"/>
        </w:rPr>
        <w:t>，为</w:t>
      </w:r>
      <w:r>
        <w:rPr>
          <w:rFonts w:ascii="Times New Roman" w:eastAsia="Times New Roman"/>
          <w:color w:val="0000FF"/>
        </w:rPr>
        <w:t>3</w:t>
      </w:r>
      <w:r>
        <w:rPr>
          <w:color w:val="0000FF"/>
          <w:spacing w:val="-3"/>
        </w:rPr>
        <w:t>次饲喂。饲料种类要多样化，常用精饲料包括玉米、豆类和饼粕饲料等，优质青干草，如苜蓿、燕麦草等，注意钙、</w:t>
      </w:r>
      <w:r>
        <w:rPr>
          <w:color w:val="0000FF"/>
          <w:spacing w:val="-14"/>
        </w:rPr>
        <w:t>磷和维生素饲料的补充。饲料使用按照</w:t>
      </w:r>
      <w:r>
        <w:rPr>
          <w:rFonts w:ascii="Times New Roman" w:eastAsia="Times New Roman"/>
          <w:color w:val="0000FF"/>
        </w:rPr>
        <w:t>NY5032</w:t>
      </w:r>
      <w:r>
        <w:rPr>
          <w:color w:val="0000FF"/>
          <w:spacing w:val="-12"/>
        </w:rPr>
        <w:t>规定执行。羊舍内设水槽和盐槽，</w:t>
      </w:r>
      <w:r>
        <w:rPr>
          <w:color w:val="0000FF"/>
          <w:spacing w:val="-8"/>
        </w:rPr>
        <w:t>饮用水水质按照</w:t>
      </w:r>
      <w:r>
        <w:rPr>
          <w:rFonts w:ascii="Times New Roman" w:eastAsia="Times New Roman"/>
          <w:color w:val="0000FF"/>
        </w:rPr>
        <w:t>NY5027</w:t>
      </w:r>
      <w:r>
        <w:rPr>
          <w:color w:val="0000FF"/>
        </w:rPr>
        <w:t>规定要求。</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455" w:firstLine="480"/>
        <w:textAlignment w:val="auto"/>
        <w:rPr>
          <w:color w:val="0000FF"/>
        </w:rPr>
      </w:pPr>
      <w:r>
        <w:rPr>
          <w:color w:val="0000FF"/>
          <w:spacing w:val="-8"/>
        </w:rPr>
        <w:t>断奶日龄：羔羊一般在</w:t>
      </w:r>
      <w:r>
        <w:rPr>
          <w:rFonts w:ascii="Times New Roman" w:eastAsia="Times New Roman"/>
          <w:color w:val="0000FF"/>
        </w:rPr>
        <w:t>90</w:t>
      </w:r>
      <w:r>
        <w:rPr>
          <w:color w:val="0000FF"/>
          <w:spacing w:val="-5"/>
        </w:rPr>
        <w:t>日龄</w:t>
      </w:r>
      <w:r>
        <w:rPr>
          <w:color w:val="0000FF"/>
        </w:rPr>
        <w:t>（</w:t>
      </w:r>
      <w:r>
        <w:rPr>
          <w:rFonts w:ascii="Times New Roman" w:eastAsia="Times New Roman"/>
          <w:color w:val="0000FF"/>
        </w:rPr>
        <w:t>3</w:t>
      </w:r>
      <w:r>
        <w:rPr>
          <w:color w:val="0000FF"/>
        </w:rPr>
        <w:t>月龄</w:t>
      </w:r>
      <w:r>
        <w:rPr>
          <w:color w:val="0000FF"/>
          <w:spacing w:val="-8"/>
        </w:rPr>
        <w:t>）</w:t>
      </w:r>
      <w:r>
        <w:rPr>
          <w:color w:val="0000FF"/>
          <w:spacing w:val="-4"/>
        </w:rPr>
        <w:t>断奶，规模化养羊提倡早期断奶，</w:t>
      </w:r>
      <w:r>
        <w:rPr>
          <w:color w:val="0000FF"/>
          <w:spacing w:val="-7"/>
        </w:rPr>
        <w:t>断奶日龄可提前到</w:t>
      </w:r>
      <w:r>
        <w:rPr>
          <w:rFonts w:ascii="Times New Roman" w:eastAsia="Times New Roman"/>
          <w:color w:val="0000FF"/>
        </w:rPr>
        <w:t>50-70</w:t>
      </w:r>
      <w:r>
        <w:rPr>
          <w:color w:val="0000FF"/>
          <w:spacing w:val="-7"/>
        </w:rPr>
        <w:t>日龄。断奶应逐步进行，逐渐减少哺乳次数而增加饲喂</w:t>
      </w:r>
      <w:r>
        <w:rPr>
          <w:color w:val="0000FF"/>
          <w:spacing w:val="-10"/>
        </w:rPr>
        <w:t>次数，即断奶前一周白天不喂奶，早晚各哺乳一次，一周后昼夜不喂奶，母子分</w:t>
      </w:r>
      <w:r>
        <w:rPr>
          <w:color w:val="0000FF"/>
          <w:spacing w:val="-12"/>
        </w:rPr>
        <w:t>群饲养管理。羔羊断奶后按性别、体重、体质强弱分别组群。断奶后的羔羊加强补饲，防止掉膘。</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0" w:after="0" w:line="360" w:lineRule="auto"/>
        <w:ind w:leftChars="100" w:right="0" w:rightChars="0"/>
        <w:jc w:val="left"/>
        <w:textAlignment w:val="auto"/>
        <w:rPr>
          <w:color w:val="0000FF"/>
          <w:sz w:val="24"/>
        </w:rPr>
      </w:pPr>
      <w:r>
        <w:rPr>
          <w:rFonts w:hint="eastAsia"/>
          <w:color w:val="0000FF"/>
          <w:sz w:val="24"/>
          <w:lang w:eastAsia="zh-CN"/>
        </w:rPr>
        <w:t>（</w:t>
      </w:r>
      <w:r>
        <w:rPr>
          <w:rFonts w:hint="eastAsia"/>
          <w:color w:val="0000FF"/>
          <w:sz w:val="24"/>
          <w:lang w:val="en-US" w:eastAsia="zh-CN"/>
        </w:rPr>
        <w:t>2</w:t>
      </w:r>
      <w:r>
        <w:rPr>
          <w:rFonts w:hint="eastAsia"/>
          <w:color w:val="0000FF"/>
          <w:sz w:val="24"/>
          <w:lang w:eastAsia="zh-CN"/>
        </w:rPr>
        <w:t>）</w:t>
      </w:r>
      <w:r>
        <w:rPr>
          <w:color w:val="0000FF"/>
          <w:sz w:val="24"/>
        </w:rPr>
        <w:t>种公羊舍、种公羊饲养技术规程</w:t>
      </w:r>
    </w:p>
    <w:p>
      <w:pPr>
        <w:pStyle w:val="7"/>
        <w:keepNext w:val="0"/>
        <w:keepLines w:val="0"/>
        <w:pageBreakBefore w:val="0"/>
        <w:widowControl w:val="0"/>
        <w:kinsoku/>
        <w:wordWrap/>
        <w:overflowPunct/>
        <w:topLinePunct w:val="0"/>
        <w:autoSpaceDE w:val="0"/>
        <w:autoSpaceDN w:val="0"/>
        <w:bidi w:val="0"/>
        <w:adjustRightInd/>
        <w:snapToGrid/>
        <w:spacing w:before="150" w:line="360" w:lineRule="auto"/>
        <w:ind w:left="220" w:leftChars="100" w:right="577" w:firstLine="480"/>
        <w:jc w:val="both"/>
        <w:textAlignment w:val="auto"/>
        <w:rPr>
          <w:color w:val="0000FF"/>
        </w:rPr>
      </w:pPr>
      <w:r>
        <w:rPr>
          <w:color w:val="0000FF"/>
          <w:spacing w:val="-8"/>
        </w:rPr>
        <w:t>种公羊指已达到体成熟，经过评定能作为种用的公羊。执行配种任务的公羊</w:t>
      </w:r>
      <w:r>
        <w:rPr>
          <w:color w:val="0000FF"/>
          <w:spacing w:val="-6"/>
        </w:rPr>
        <w:t>体重应达到成年体重的</w:t>
      </w:r>
      <w:r>
        <w:rPr>
          <w:rFonts w:ascii="Times New Roman" w:eastAsia="Times New Roman"/>
          <w:color w:val="0000FF"/>
        </w:rPr>
        <w:t>70%</w:t>
      </w:r>
      <w:r>
        <w:rPr>
          <w:color w:val="0000FF"/>
          <w:spacing w:val="-11"/>
        </w:rPr>
        <w:t>以上。配种公羊常年保持中上等膘情，健壮活泼、精</w:t>
      </w:r>
      <w:r>
        <w:rPr>
          <w:color w:val="0000FF"/>
        </w:rPr>
        <w:t>力充沛、性欲旺盛。</w:t>
      </w:r>
    </w:p>
    <w:p>
      <w:pPr>
        <w:pStyle w:val="7"/>
        <w:keepNext w:val="0"/>
        <w:keepLines w:val="0"/>
        <w:pageBreakBefore w:val="0"/>
        <w:widowControl w:val="0"/>
        <w:kinsoku/>
        <w:wordWrap/>
        <w:overflowPunct/>
        <w:topLinePunct w:val="0"/>
        <w:autoSpaceDE w:val="0"/>
        <w:autoSpaceDN w:val="0"/>
        <w:bidi w:val="0"/>
        <w:adjustRightInd/>
        <w:snapToGrid/>
        <w:spacing w:before="5" w:line="360" w:lineRule="auto"/>
        <w:ind w:right="567" w:firstLine="424" w:firstLineChars="200"/>
        <w:jc w:val="both"/>
        <w:textAlignment w:val="auto"/>
        <w:rPr>
          <w:color w:val="0000FF"/>
        </w:rPr>
      </w:pPr>
      <w:r>
        <w:rPr>
          <w:color w:val="0000FF"/>
          <w:spacing w:val="-14"/>
        </w:rPr>
        <w:t>配种前</w:t>
      </w:r>
      <w:r>
        <w:rPr>
          <w:rFonts w:ascii="Times New Roman" w:eastAsia="Times New Roman"/>
          <w:color w:val="0000FF"/>
        </w:rPr>
        <w:t>40</w:t>
      </w:r>
      <w:r>
        <w:rPr>
          <w:color w:val="0000FF"/>
        </w:rPr>
        <w:t>日内日粮营养标准由非配种期标准逐渐变到配种期的标准。舍饲</w:t>
      </w:r>
      <w:r>
        <w:rPr>
          <w:color w:val="0000FF"/>
          <w:spacing w:val="-9"/>
        </w:rPr>
        <w:t>的种公羊，日粮中优质干草占</w:t>
      </w:r>
      <w:r>
        <w:rPr>
          <w:rFonts w:ascii="Times New Roman" w:eastAsia="Times New Roman"/>
          <w:color w:val="0000FF"/>
          <w:spacing w:val="-3"/>
        </w:rPr>
        <w:t>35-40%</w:t>
      </w:r>
      <w:r>
        <w:rPr>
          <w:color w:val="0000FF"/>
          <w:spacing w:val="-10"/>
        </w:rPr>
        <w:t>，多汁饲料占</w:t>
      </w:r>
      <w:r>
        <w:rPr>
          <w:rFonts w:ascii="Times New Roman" w:eastAsia="Times New Roman"/>
          <w:color w:val="0000FF"/>
          <w:spacing w:val="-3"/>
        </w:rPr>
        <w:t>20-25%</w:t>
      </w:r>
      <w:r>
        <w:rPr>
          <w:color w:val="0000FF"/>
          <w:spacing w:val="-17"/>
        </w:rPr>
        <w:t>，精料</w:t>
      </w:r>
      <w:r>
        <w:rPr>
          <w:rFonts w:ascii="Times New Roman" w:eastAsia="Times New Roman"/>
          <w:color w:val="0000FF"/>
          <w:spacing w:val="-5"/>
        </w:rPr>
        <w:t>45%</w:t>
      </w:r>
      <w:r>
        <w:rPr>
          <w:color w:val="0000FF"/>
          <w:spacing w:val="-2"/>
        </w:rPr>
        <w:t>，配种任</w:t>
      </w:r>
      <w:r>
        <w:rPr>
          <w:color w:val="0000FF"/>
          <w:spacing w:val="3"/>
        </w:rPr>
        <w:t>务繁重时，每天加喂鸡蛋</w:t>
      </w:r>
      <w:r>
        <w:rPr>
          <w:rFonts w:ascii="Times New Roman" w:eastAsia="Times New Roman"/>
          <w:color w:val="0000FF"/>
        </w:rPr>
        <w:t>1-2</w:t>
      </w:r>
      <w:r>
        <w:rPr>
          <w:color w:val="0000FF"/>
          <w:spacing w:val="-5"/>
        </w:rPr>
        <w:t>个或鲜奶</w:t>
      </w:r>
      <w:r>
        <w:rPr>
          <w:rFonts w:ascii="Times New Roman" w:eastAsia="Times New Roman"/>
          <w:color w:val="0000FF"/>
        </w:rPr>
        <w:t>0.5-1.0kg</w:t>
      </w:r>
      <w:r>
        <w:rPr>
          <w:color w:val="0000FF"/>
          <w:spacing w:val="8"/>
        </w:rPr>
        <w:t>；每日每只公羊给混合精料</w:t>
      </w:r>
      <w:r>
        <w:rPr>
          <w:rFonts w:ascii="Times New Roman" w:eastAsia="Times New Roman"/>
          <w:color w:val="0000FF"/>
          <w:spacing w:val="-6"/>
        </w:rPr>
        <w:t>1-1.5kg</w:t>
      </w:r>
      <w:r>
        <w:rPr>
          <w:color w:val="0000FF"/>
          <w:spacing w:val="-14"/>
        </w:rPr>
        <w:t>，青饲料</w:t>
      </w:r>
      <w:r>
        <w:rPr>
          <w:rFonts w:ascii="Times New Roman" w:eastAsia="Times New Roman"/>
          <w:color w:val="0000FF"/>
          <w:spacing w:val="-6"/>
        </w:rPr>
        <w:t>1-1.3kg</w:t>
      </w:r>
      <w:r>
        <w:rPr>
          <w:color w:val="0000FF"/>
          <w:spacing w:val="-16"/>
        </w:rPr>
        <w:t>，食盐</w:t>
      </w:r>
      <w:r>
        <w:rPr>
          <w:rFonts w:ascii="Times New Roman" w:eastAsia="Times New Roman"/>
          <w:color w:val="0000FF"/>
        </w:rPr>
        <w:t>10-15g</w:t>
      </w:r>
      <w:r>
        <w:rPr>
          <w:color w:val="0000FF"/>
          <w:spacing w:val="-21"/>
        </w:rPr>
        <w:t>、胡萝卜</w:t>
      </w:r>
      <w:r>
        <w:rPr>
          <w:rFonts w:ascii="Times New Roman" w:eastAsia="Times New Roman"/>
          <w:color w:val="0000FF"/>
        </w:rPr>
        <w:t>1.5kg</w:t>
      </w:r>
      <w:r>
        <w:rPr>
          <w:color w:val="0000FF"/>
          <w:spacing w:val="-11"/>
        </w:rPr>
        <w:t>。自由饮水，冬季应饮温水。水质应符合</w:t>
      </w:r>
      <w:r>
        <w:rPr>
          <w:rFonts w:ascii="Times New Roman" w:eastAsia="Times New Roman"/>
          <w:color w:val="0000FF"/>
        </w:rPr>
        <w:t>NY5027</w:t>
      </w:r>
      <w:r>
        <w:rPr>
          <w:color w:val="0000FF"/>
        </w:rPr>
        <w:t>相关规定。</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457" w:firstLine="480"/>
        <w:textAlignment w:val="auto"/>
        <w:rPr>
          <w:color w:val="0000FF"/>
        </w:rPr>
      </w:pPr>
      <w:r>
        <w:rPr>
          <w:color w:val="0000FF"/>
          <w:spacing w:val="-7"/>
        </w:rPr>
        <w:t>种公羊要单独组群放牧、单圈饲养，放牧的同时要做好补饲。加强运动，每</w:t>
      </w:r>
      <w:r>
        <w:rPr>
          <w:color w:val="0000FF"/>
          <w:spacing w:val="-11"/>
        </w:rPr>
        <w:t>日运动时间不低于</w:t>
      </w:r>
      <w:r>
        <w:rPr>
          <w:rFonts w:ascii="Times New Roman" w:eastAsia="Times New Roman"/>
          <w:color w:val="0000FF"/>
          <w:spacing w:val="2"/>
        </w:rPr>
        <w:t>6h</w:t>
      </w:r>
      <w:r>
        <w:rPr>
          <w:color w:val="0000FF"/>
        </w:rPr>
        <w:t>，或以放牧代替运动；保持羊舍清洁干燥，定期消毒，选</w:t>
      </w:r>
      <w:r>
        <w:rPr>
          <w:color w:val="0000FF"/>
          <w:spacing w:val="-5"/>
        </w:rPr>
        <w:t>用的消毒剂和消毒方法应符合</w:t>
      </w:r>
      <w:r>
        <w:rPr>
          <w:rFonts w:ascii="Times New Roman" w:eastAsia="Times New Roman"/>
          <w:color w:val="0000FF"/>
        </w:rPr>
        <w:t>NY5148</w:t>
      </w:r>
      <w:r>
        <w:rPr>
          <w:color w:val="0000FF"/>
          <w:spacing w:val="-5"/>
        </w:rPr>
        <w:t>的规定；选择高效、安全的抗寄生虫药，</w:t>
      </w:r>
      <w:r>
        <w:rPr>
          <w:color w:val="0000FF"/>
          <w:spacing w:val="-3"/>
        </w:rPr>
        <w:t>定期对羊只进行驱虫药浴；定期浴蹄、修蹄，实施程序应符合</w:t>
      </w:r>
      <w:r>
        <w:rPr>
          <w:rFonts w:ascii="Times New Roman" w:eastAsia="Times New Roman"/>
          <w:color w:val="0000FF"/>
        </w:rPr>
        <w:t>NY5148</w:t>
      </w:r>
      <w:r>
        <w:rPr>
          <w:color w:val="0000FF"/>
        </w:rPr>
        <w:t>的规定；</w:t>
      </w:r>
      <w:r>
        <w:rPr>
          <w:color w:val="0000FF"/>
          <w:spacing w:val="-11"/>
        </w:rPr>
        <w:t>防疫应符合</w:t>
      </w:r>
      <w:r>
        <w:rPr>
          <w:rFonts w:ascii="Times New Roman" w:eastAsia="Times New Roman"/>
          <w:color w:val="0000FF"/>
        </w:rPr>
        <w:t>NY5149</w:t>
      </w:r>
      <w:r>
        <w:rPr>
          <w:color w:val="0000FF"/>
          <w:spacing w:val="-15"/>
        </w:rPr>
        <w:t>的规定。做好系谱档案记录、后代生产性能等资料管理工作。</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67" w:firstLine="482"/>
        <w:jc w:val="both"/>
        <w:textAlignment w:val="auto"/>
        <w:rPr>
          <w:color w:val="0000FF"/>
        </w:rPr>
      </w:pPr>
      <w:r>
        <w:rPr>
          <w:color w:val="0000FF"/>
          <w:spacing w:val="-9"/>
        </w:rPr>
        <w:t>公羊初配时宜</w:t>
      </w:r>
      <w:r>
        <w:rPr>
          <w:rFonts w:ascii="Times New Roman" w:eastAsia="Times New Roman"/>
          <w:color w:val="0000FF"/>
        </w:rPr>
        <w:t>7</w:t>
      </w:r>
      <w:r>
        <w:rPr>
          <w:color w:val="0000FF"/>
          <w:spacing w:val="-12"/>
        </w:rPr>
        <w:t>天一次，成年公羊每日采精</w:t>
      </w:r>
      <w:r>
        <w:rPr>
          <w:rFonts w:ascii="Times New Roman" w:eastAsia="Times New Roman"/>
          <w:color w:val="0000FF"/>
        </w:rPr>
        <w:t>2</w:t>
      </w:r>
      <w:r>
        <w:rPr>
          <w:color w:val="0000FF"/>
          <w:spacing w:val="-8"/>
        </w:rPr>
        <w:t>次，育成公羊采精隔日一次或</w:t>
      </w:r>
      <w:r>
        <w:rPr>
          <w:color w:val="0000FF"/>
          <w:spacing w:val="-3"/>
        </w:rPr>
        <w:t>一日一次。日配一次时宜在早饲后</w:t>
      </w:r>
      <w:r>
        <w:rPr>
          <w:rFonts w:ascii="Times New Roman" w:eastAsia="Times New Roman"/>
          <w:color w:val="0000FF"/>
        </w:rPr>
        <w:t>1-2h</w:t>
      </w:r>
      <w:r>
        <w:rPr>
          <w:color w:val="0000FF"/>
        </w:rPr>
        <w:t>后进行，日配两次时，早晚各一次，如</w:t>
      </w:r>
      <w:r>
        <w:rPr>
          <w:color w:val="0000FF"/>
          <w:spacing w:val="-11"/>
        </w:rPr>
        <w:t>公羊每天连续配种，每周休息一天。种公羊在达到配种月龄时间前</w:t>
      </w:r>
      <w:r>
        <w:rPr>
          <w:rFonts w:ascii="Times New Roman" w:eastAsia="Times New Roman"/>
          <w:color w:val="0000FF"/>
        </w:rPr>
        <w:t>1</w:t>
      </w:r>
      <w:r>
        <w:rPr>
          <w:color w:val="0000FF"/>
          <w:spacing w:val="-4"/>
        </w:rPr>
        <w:t>个月开始采精，检查精液品质。开始采精时，</w:t>
      </w:r>
      <w:r>
        <w:rPr>
          <w:rFonts w:ascii="Times New Roman" w:eastAsia="Times New Roman"/>
          <w:color w:val="0000FF"/>
          <w:spacing w:val="-3"/>
        </w:rPr>
        <w:t>1</w:t>
      </w:r>
      <w:r>
        <w:rPr>
          <w:color w:val="0000FF"/>
          <w:spacing w:val="-20"/>
        </w:rPr>
        <w:t>周采</w:t>
      </w:r>
      <w:r>
        <w:rPr>
          <w:rFonts w:ascii="Times New Roman" w:eastAsia="Times New Roman"/>
          <w:color w:val="0000FF"/>
        </w:rPr>
        <w:t>1</w:t>
      </w:r>
      <w:r>
        <w:rPr>
          <w:color w:val="0000FF"/>
          <w:spacing w:val="-15"/>
        </w:rPr>
        <w:t>次，继而</w:t>
      </w:r>
      <w:r>
        <w:rPr>
          <w:rFonts w:ascii="Times New Roman" w:eastAsia="Times New Roman"/>
          <w:color w:val="0000FF"/>
        </w:rPr>
        <w:t>1</w:t>
      </w:r>
      <w:r>
        <w:rPr>
          <w:color w:val="0000FF"/>
          <w:spacing w:val="-8"/>
        </w:rPr>
        <w:t>周采精两次，以后每</w:t>
      </w:r>
      <w:r>
        <w:rPr>
          <w:rFonts w:ascii="Times New Roman" w:eastAsia="Times New Roman"/>
          <w:color w:val="0000FF"/>
        </w:rPr>
        <w:t>2</w:t>
      </w:r>
      <w:r>
        <w:rPr>
          <w:color w:val="0000FF"/>
        </w:rPr>
        <w:t>天</w:t>
      </w:r>
      <w:r>
        <w:rPr>
          <w:rFonts w:ascii="Times New Roman" w:eastAsia="Times New Roman"/>
          <w:color w:val="0000FF"/>
        </w:rPr>
        <w:t>1</w:t>
      </w:r>
      <w:r>
        <w:rPr>
          <w:color w:val="0000FF"/>
          <w:spacing w:val="-8"/>
        </w:rPr>
        <w:t>次。达到配种月龄时，每天采</w:t>
      </w:r>
      <w:r>
        <w:rPr>
          <w:rFonts w:ascii="Times New Roman" w:eastAsia="Times New Roman"/>
          <w:color w:val="0000FF"/>
        </w:rPr>
        <w:t>1-2</w:t>
      </w:r>
      <w:r>
        <w:rPr>
          <w:color w:val="0000FF"/>
          <w:spacing w:val="-8"/>
        </w:rPr>
        <w:t>次。多次采精时，两次采精间隔为</w:t>
      </w:r>
      <w:r>
        <w:rPr>
          <w:rFonts w:ascii="Times New Roman" w:eastAsia="Times New Roman"/>
          <w:color w:val="0000FF"/>
          <w:spacing w:val="-4"/>
        </w:rPr>
        <w:t>2h</w:t>
      </w:r>
      <w:r>
        <w:rPr>
          <w:color w:val="0000FF"/>
          <w:spacing w:val="-2"/>
        </w:rPr>
        <w:t>，连续</w:t>
      </w:r>
      <w:r>
        <w:rPr>
          <w:color w:val="0000FF"/>
        </w:rPr>
        <w:t>采精</w:t>
      </w:r>
      <w:r>
        <w:rPr>
          <w:rFonts w:ascii="Times New Roman" w:eastAsia="Times New Roman"/>
          <w:color w:val="0000FF"/>
        </w:rPr>
        <w:t>3</w:t>
      </w:r>
      <w:r>
        <w:rPr>
          <w:color w:val="0000FF"/>
        </w:rPr>
        <w:t>天，休息</w:t>
      </w:r>
      <w:r>
        <w:rPr>
          <w:rFonts w:ascii="Times New Roman" w:eastAsia="Times New Roman"/>
          <w:color w:val="0000FF"/>
        </w:rPr>
        <w:t>1</w:t>
      </w:r>
      <w:r>
        <w:rPr>
          <w:color w:val="0000FF"/>
        </w:rPr>
        <w:t>天。非配种期种公羊的日采食量为配种期的</w:t>
      </w:r>
      <w:r>
        <w:rPr>
          <w:rFonts w:ascii="Times New Roman" w:eastAsia="Times New Roman"/>
          <w:color w:val="0000FF"/>
        </w:rPr>
        <w:t>60-70%</w:t>
      </w:r>
      <w:r>
        <w:rPr>
          <w:color w:val="0000FF"/>
        </w:rPr>
        <w:t>，营养标准逐渐由配种期标</w:t>
      </w:r>
      <w:r>
        <w:rPr>
          <w:color w:val="0000FF"/>
          <w:spacing w:val="-18"/>
        </w:rPr>
        <w:t>准过渡到非配种期标准。全舍饲时，日喂给混合精料</w:t>
      </w:r>
      <w:r>
        <w:rPr>
          <w:rFonts w:ascii="Times New Roman" w:eastAsia="Times New Roman"/>
          <w:color w:val="0000FF"/>
        </w:rPr>
        <w:t>0.6</w:t>
      </w:r>
      <w:r>
        <w:rPr>
          <w:rFonts w:ascii="Times New Roman" w:eastAsia="Times New Roman"/>
          <w:color w:val="0000FF"/>
          <w:spacing w:val="-1"/>
        </w:rPr>
        <w:t>-</w:t>
      </w:r>
      <w:r>
        <w:rPr>
          <w:rFonts w:ascii="Times New Roman" w:eastAsia="Times New Roman"/>
          <w:color w:val="0000FF"/>
        </w:rPr>
        <w:t>0.8kg</w:t>
      </w:r>
      <w:r>
        <w:rPr>
          <w:color w:val="0000FF"/>
          <w:spacing w:val="-29"/>
        </w:rPr>
        <w:t>，优质干草</w:t>
      </w:r>
      <w:r>
        <w:rPr>
          <w:rFonts w:ascii="Times New Roman" w:eastAsia="Times New Roman"/>
          <w:color w:val="0000FF"/>
          <w:spacing w:val="-2"/>
        </w:rPr>
        <w:t>2</w:t>
      </w:r>
      <w:r>
        <w:rPr>
          <w:rFonts w:ascii="Times New Roman" w:eastAsia="Times New Roman"/>
          <w:color w:val="0000FF"/>
          <w:spacing w:val="-3"/>
        </w:rPr>
        <w:t>-</w:t>
      </w:r>
      <w:r>
        <w:rPr>
          <w:rFonts w:ascii="Times New Roman" w:eastAsia="Times New Roman"/>
          <w:color w:val="0000FF"/>
          <w:spacing w:val="-2"/>
        </w:rPr>
        <w:t>2.5k</w:t>
      </w:r>
      <w:r>
        <w:rPr>
          <w:rFonts w:ascii="Times New Roman" w:eastAsia="Times New Roman"/>
          <w:color w:val="0000FF"/>
          <w:spacing w:val="0"/>
        </w:rPr>
        <w:t>g</w:t>
      </w:r>
      <w:r>
        <w:rPr>
          <w:color w:val="0000FF"/>
          <w:spacing w:val="-2"/>
        </w:rPr>
        <w:t>，</w:t>
      </w:r>
      <w:r>
        <w:rPr>
          <w:color w:val="0000FF"/>
          <w:spacing w:val="-16"/>
        </w:rPr>
        <w:t>多汁料</w:t>
      </w:r>
      <w:r>
        <w:rPr>
          <w:rFonts w:ascii="Times New Roman" w:eastAsia="Times New Roman"/>
          <w:color w:val="0000FF"/>
        </w:rPr>
        <w:t>1-1.5kg</w:t>
      </w:r>
      <w:r>
        <w:rPr>
          <w:color w:val="0000FF"/>
        </w:rPr>
        <w:t>，冬春季节注意补饲优质干草和胡萝卜。</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0" w:after="0" w:line="360" w:lineRule="auto"/>
        <w:ind w:leftChars="100" w:right="0" w:rightChars="0"/>
        <w:jc w:val="left"/>
        <w:textAlignment w:val="auto"/>
        <w:rPr>
          <w:color w:val="0000FF"/>
          <w:sz w:val="24"/>
        </w:rPr>
      </w:pPr>
      <w:r>
        <w:rPr>
          <w:rFonts w:hint="eastAsia"/>
          <w:color w:val="0000FF"/>
          <w:sz w:val="24"/>
          <w:lang w:eastAsia="zh-CN"/>
        </w:rPr>
        <w:t>（</w:t>
      </w:r>
      <w:r>
        <w:rPr>
          <w:rFonts w:hint="eastAsia"/>
          <w:color w:val="0000FF"/>
          <w:sz w:val="24"/>
          <w:lang w:val="en-US" w:eastAsia="zh-CN"/>
        </w:rPr>
        <w:t>3</w:t>
      </w:r>
      <w:r>
        <w:rPr>
          <w:rFonts w:hint="eastAsia"/>
          <w:color w:val="0000FF"/>
          <w:sz w:val="24"/>
          <w:lang w:eastAsia="zh-CN"/>
        </w:rPr>
        <w:t>）</w:t>
      </w:r>
      <w:r>
        <w:rPr>
          <w:color w:val="0000FF"/>
          <w:sz w:val="24"/>
        </w:rPr>
        <w:t>母羊舍、母羊饲养技术规程</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left="220" w:leftChars="100" w:right="577" w:firstLine="480"/>
        <w:jc w:val="both"/>
        <w:textAlignment w:val="auto"/>
        <w:rPr>
          <w:color w:val="0000FF"/>
        </w:rPr>
      </w:pPr>
      <w:r>
        <w:rPr>
          <w:color w:val="0000FF"/>
          <w:spacing w:val="-1"/>
        </w:rPr>
        <w:t>①空怀母羊：母羊空怀期具体是指从母羊产下的羊羔断奶之日起，至母羊</w:t>
      </w:r>
      <w:r>
        <w:rPr>
          <w:color w:val="0000FF"/>
          <w:spacing w:val="-8"/>
        </w:rPr>
        <w:t>再次受孕的这一时间段，通常情况下，母羊空怀期控制为</w:t>
      </w:r>
      <w:r>
        <w:rPr>
          <w:rFonts w:ascii="Times New Roman" w:hAnsi="Times New Roman" w:eastAsia="Times New Roman"/>
          <w:color w:val="0000FF"/>
        </w:rPr>
        <w:t>1</w:t>
      </w:r>
      <w:r>
        <w:rPr>
          <w:color w:val="0000FF"/>
          <w:spacing w:val="-7"/>
        </w:rPr>
        <w:t>个月左右，在这一个</w:t>
      </w:r>
      <w:r>
        <w:rPr>
          <w:color w:val="0000FF"/>
          <w:spacing w:val="-9"/>
        </w:rPr>
        <w:t>月内必须配种。空怀母羊饲养主要补充营养为主，适当增加精饲料饲养量，精饲</w:t>
      </w:r>
      <w:r>
        <w:rPr>
          <w:color w:val="0000FF"/>
          <w:spacing w:val="-10"/>
        </w:rPr>
        <w:t>料保证每日</w:t>
      </w:r>
      <w:r>
        <w:rPr>
          <w:rFonts w:ascii="Times New Roman" w:hAnsi="Times New Roman" w:eastAsia="Times New Roman"/>
          <w:color w:val="0000FF"/>
        </w:rPr>
        <w:t>300g</w:t>
      </w:r>
      <w:r>
        <w:rPr>
          <w:color w:val="0000FF"/>
        </w:rPr>
        <w:t>，混合草料不限。</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67" w:firstLine="480" w:firstLineChars="200"/>
        <w:jc w:val="both"/>
        <w:textAlignment w:val="auto"/>
        <w:rPr>
          <w:color w:val="0000FF"/>
        </w:rPr>
      </w:pPr>
      <w:r>
        <w:rPr>
          <w:color w:val="0000FF"/>
        </w:rPr>
        <w:t>②后备母羊：后备母羊是指达到性成熟可孕育羔羊的母羊，首次配种期在</w:t>
      </w:r>
      <w:r>
        <w:rPr>
          <w:rFonts w:ascii="Times New Roman" w:eastAsia="Times New Roman"/>
          <w:color w:val="0000FF"/>
        </w:rPr>
        <w:t>8-10</w:t>
      </w:r>
      <w:r>
        <w:rPr>
          <w:color w:val="0000FF"/>
          <w:spacing w:val="-11"/>
        </w:rPr>
        <w:t>月龄为佳。配种前要注重母羊身体素质提升，为其后续的顺利生产打下坚实</w:t>
      </w:r>
      <w:r>
        <w:rPr>
          <w:color w:val="0000FF"/>
          <w:spacing w:val="-4"/>
        </w:rPr>
        <w:t>的基础。具体来说，应提前</w:t>
      </w:r>
      <w:r>
        <w:rPr>
          <w:rFonts w:ascii="Times New Roman" w:eastAsia="Times New Roman"/>
          <w:color w:val="0000FF"/>
        </w:rPr>
        <w:t>15</w:t>
      </w:r>
      <w:r>
        <w:rPr>
          <w:color w:val="0000FF"/>
          <w:spacing w:val="-1"/>
        </w:rPr>
        <w:t>天就开始对母羊进行优质饲料的喂养，补充充足</w:t>
      </w:r>
      <w:r>
        <w:rPr>
          <w:color w:val="0000FF"/>
        </w:rPr>
        <w:t>的维生素、蛋白质等营养物质，保障母羊怀孕所需营养。</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220" w:rightChars="100" w:firstLine="482"/>
        <w:jc w:val="both"/>
        <w:textAlignment w:val="auto"/>
        <w:rPr>
          <w:color w:val="0000FF"/>
        </w:rPr>
      </w:pPr>
      <w:r>
        <w:rPr>
          <w:color w:val="0000FF"/>
          <w:spacing w:val="-4"/>
        </w:rPr>
        <w:t>③妊娠期母羊：母羊的孕育周期为</w:t>
      </w:r>
      <w:r>
        <w:rPr>
          <w:rFonts w:ascii="Times New Roman" w:hAnsi="Times New Roman" w:eastAsia="Times New Roman"/>
          <w:color w:val="0000FF"/>
        </w:rPr>
        <w:t>5</w:t>
      </w:r>
      <w:r>
        <w:rPr>
          <w:color w:val="0000FF"/>
        </w:rPr>
        <w:t>个月，其中前三个月可划分为妊娠前</w:t>
      </w:r>
      <w:r>
        <w:rPr>
          <w:color w:val="0000FF"/>
          <w:spacing w:val="-9"/>
        </w:rPr>
        <w:t>期，在这一阶段的饲料喂养管理上，一是要提升喂养饲料的品质，二是要适当增</w:t>
      </w:r>
      <w:r>
        <w:rPr>
          <w:color w:val="0000FF"/>
        </w:rPr>
        <w:t>加喂养优质饲料的用量。妊娠前期是母羊体内羊羔胎儿发育打下基础的关键时</w:t>
      </w:r>
      <w:r>
        <w:rPr>
          <w:color w:val="0000FF"/>
          <w:spacing w:val="-11"/>
        </w:rPr>
        <w:t>期，母羊在这一阶段的营养摄入多供给于羊羔的生长发育的同时还要满足自身的</w:t>
      </w:r>
      <w:r>
        <w:rPr>
          <w:color w:val="0000FF"/>
          <w:spacing w:val="-18"/>
        </w:rPr>
        <w:t>生长需求，如果处于枯草期，则需要再向母羊投喂一些高质量的野干草或者秸秆，</w:t>
      </w:r>
      <w:r>
        <w:rPr>
          <w:color w:val="0000FF"/>
        </w:rPr>
        <w:t>保证母羊能够吃饱。此时保证正常的运动量，满足羊羔胎儿发育。在管理方面，</w:t>
      </w:r>
      <w:r>
        <w:rPr>
          <w:color w:val="0000FF"/>
          <w:spacing w:val="-6"/>
        </w:rPr>
        <w:t>一是严禁让母羊引用冰水，二是做好母羊的保护措施，避免其受到其他羊或动物</w:t>
      </w:r>
      <w:r>
        <w:rPr>
          <w:color w:val="0000FF"/>
          <w:spacing w:val="-12"/>
        </w:rPr>
        <w:t>的惊吓出现猛跑现象，以免流产。在这一时间段内，母羊的日粮可按照牧草、干</w:t>
      </w:r>
      <w:r>
        <w:rPr>
          <w:color w:val="0000FF"/>
          <w:spacing w:val="-17"/>
        </w:rPr>
        <w:t>草、青贮料、精料按</w:t>
      </w:r>
      <w:r>
        <w:rPr>
          <w:rFonts w:ascii="Times New Roman" w:hAnsi="Times New Roman" w:eastAsia="Times New Roman"/>
          <w:color w:val="0000FF"/>
        </w:rPr>
        <w:t>5</w:t>
      </w:r>
      <w:r>
        <w:rPr>
          <w:color w:val="0000FF"/>
        </w:rPr>
        <w:t>：</w:t>
      </w:r>
      <w:r>
        <w:rPr>
          <w:rFonts w:ascii="Times New Roman" w:hAnsi="Times New Roman" w:eastAsia="Times New Roman"/>
          <w:color w:val="0000FF"/>
        </w:rPr>
        <w:t>3</w:t>
      </w:r>
      <w:r>
        <w:rPr>
          <w:color w:val="0000FF"/>
        </w:rPr>
        <w:t>：</w:t>
      </w:r>
      <w:r>
        <w:rPr>
          <w:rFonts w:ascii="Times New Roman" w:hAnsi="Times New Roman" w:eastAsia="Times New Roman"/>
          <w:color w:val="0000FF"/>
        </w:rPr>
        <w:t>1</w:t>
      </w:r>
      <w:r>
        <w:rPr>
          <w:color w:val="0000FF"/>
        </w:rPr>
        <w:t>：</w:t>
      </w:r>
      <w:r>
        <w:rPr>
          <w:rFonts w:ascii="Times New Roman" w:hAnsi="Times New Roman" w:eastAsia="Times New Roman"/>
          <w:color w:val="0000FF"/>
        </w:rPr>
        <w:t>1</w:t>
      </w:r>
      <w:r>
        <w:rPr>
          <w:color w:val="0000FF"/>
        </w:rPr>
        <w:t>的配料比方式进行饲养，保证食物均衡性。</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220" w:rightChars="100" w:firstLine="456" w:firstLineChars="200"/>
        <w:jc w:val="both"/>
        <w:textAlignment w:val="auto"/>
        <w:rPr>
          <w:color w:val="0000FF"/>
          <w:sz w:val="9"/>
        </w:rPr>
      </w:pPr>
      <w:r>
        <w:rPr>
          <w:color w:val="0000FF"/>
          <w:spacing w:val="-6"/>
        </w:rPr>
        <w:t>母羊后两个月为妊娠后期，这一时期是羊羔胎儿重量完成的关键时期，其中</w:t>
      </w:r>
      <w:r>
        <w:rPr>
          <w:rFonts w:ascii="Times New Roman" w:eastAsia="Times New Roman"/>
          <w:color w:val="0000FF"/>
          <w:spacing w:val="-6"/>
        </w:rPr>
        <w:t>90%</w:t>
      </w:r>
      <w:r>
        <w:rPr>
          <w:color w:val="0000FF"/>
          <w:spacing w:val="-9"/>
        </w:rPr>
        <w:t>的羊羔胎重都是在这一时期完成的，因此需要做好饲料的充足供应，除了每</w:t>
      </w:r>
      <w:r>
        <w:rPr>
          <w:color w:val="0000FF"/>
          <w:spacing w:val="-13"/>
        </w:rPr>
        <w:t>天必要的放牧、添加精料、青贮料之外，还需要配合添加一些营养物质，但需要注意的是，营养物质不宜添加过多，以免造成母羊营养过剩问题。在母羊临产前</w:t>
      </w:r>
      <w:r>
        <w:rPr>
          <w:color w:val="0000FF"/>
          <w:spacing w:val="-11"/>
        </w:rPr>
        <w:t>一个月，应有意识的减少粗料喂养，多喂养一些柔软易消化的饲料，如秸秆、多</w:t>
      </w:r>
      <w:r>
        <w:rPr>
          <w:color w:val="0000FF"/>
          <w:spacing w:val="-12"/>
        </w:rPr>
        <w:t>汁青绿饲料等，也可以在饲料总添加一些麦麸皮，可以有效解决母羊便秘问题。</w:t>
      </w:r>
      <w:r>
        <w:rPr>
          <w:color w:val="0000FF"/>
          <w:spacing w:val="-1"/>
        </w:rPr>
        <w:t>在管理方面，一是要注意母羊饮水清洁的卫生，二是保证各种饲料的足够供应，</w:t>
      </w:r>
      <w:r>
        <w:rPr>
          <w:color w:val="0000FF"/>
          <w:spacing w:val="-7"/>
        </w:rPr>
        <w:t>以免羊群出现踩踏争抢，三是仍需要坚持对母羊的运动量，从而让母羊得到适量</w:t>
      </w:r>
      <w:r>
        <w:rPr>
          <w:color w:val="0000FF"/>
          <w:spacing w:val="-11"/>
        </w:rPr>
        <w:t>的锻炼。母羊预产期前十天要适当减少精料的喂养，避免羊羔发育过大，导致难</w:t>
      </w:r>
      <w:r>
        <w:rPr>
          <w:color w:val="0000FF"/>
          <w:spacing w:val="-18"/>
        </w:rPr>
        <w:t>产。在预产期前</w:t>
      </w:r>
      <w:r>
        <w:rPr>
          <w:rFonts w:ascii="Times New Roman" w:eastAsia="Times New Roman"/>
          <w:color w:val="0000FF"/>
        </w:rPr>
        <w:t>3</w:t>
      </w:r>
      <w:r>
        <w:rPr>
          <w:color w:val="0000FF"/>
        </w:rPr>
        <w:t>天就要提前做好母羊的接生的准备。</w:t>
      </w:r>
    </w:p>
    <w:p>
      <w:pPr>
        <w:pStyle w:val="7"/>
        <w:keepNext w:val="0"/>
        <w:keepLines w:val="0"/>
        <w:pageBreakBefore w:val="0"/>
        <w:widowControl w:val="0"/>
        <w:kinsoku/>
        <w:wordWrap/>
        <w:overflowPunct/>
        <w:topLinePunct w:val="0"/>
        <w:autoSpaceDE w:val="0"/>
        <w:autoSpaceDN w:val="0"/>
        <w:bidi w:val="0"/>
        <w:adjustRightInd/>
        <w:snapToGrid/>
        <w:spacing w:before="74" w:line="360" w:lineRule="auto"/>
        <w:ind w:left="220" w:leftChars="100" w:right="577" w:firstLine="480"/>
        <w:jc w:val="both"/>
        <w:textAlignment w:val="auto"/>
        <w:rPr>
          <w:color w:val="0000FF"/>
        </w:rPr>
      </w:pPr>
      <w:r>
        <w:rPr>
          <w:color w:val="0000FF"/>
          <w:spacing w:val="-4"/>
        </w:rPr>
        <w:t>④哺乳期母羊：母羊哺乳期一般为</w:t>
      </w:r>
      <w:r>
        <w:rPr>
          <w:rFonts w:ascii="Times New Roman" w:hAnsi="Times New Roman" w:eastAsia="Times New Roman"/>
          <w:color w:val="0000FF"/>
        </w:rPr>
        <w:t>2</w:t>
      </w:r>
      <w:r>
        <w:rPr>
          <w:color w:val="0000FF"/>
          <w:spacing w:val="-1"/>
        </w:rPr>
        <w:t>个月，如果做好相应的饲养管理，可</w:t>
      </w:r>
      <w:r>
        <w:rPr>
          <w:color w:val="0000FF"/>
          <w:spacing w:val="-7"/>
        </w:rPr>
        <w:t>以有效提升母羊的羊乳质量，使得羊乳分泌更加充足，同时也使得羊羔获取足够</w:t>
      </w:r>
      <w:r>
        <w:rPr>
          <w:color w:val="0000FF"/>
          <w:spacing w:val="-10"/>
        </w:rPr>
        <w:t>的营养物质，生长发育的更好。首先在母羊产后由于身体较为虚弱，因此在饲料</w:t>
      </w:r>
      <w:r>
        <w:rPr>
          <w:color w:val="0000FF"/>
          <w:spacing w:val="-6"/>
        </w:rPr>
        <w:t>喂养上应选择既能能够有利于消化、营养成分又高的饲料，从而使得母羊能够尽</w:t>
      </w:r>
      <w:r>
        <w:rPr>
          <w:color w:val="0000FF"/>
          <w:spacing w:val="-10"/>
        </w:rPr>
        <w:t>快恢复活力，为羊羔生长提供更好的母乳喂养，母羊产羔后第一个月是母乳分泌高峰期，但随着不断的哺育，母羊体内的营养物质也在不断减少，相应的哺乳量也会下降，为有效保证母羊母乳分泌量与质量始终维持高水准状态，需要做好饲养管理工作，日粮水平在原本的基础上可根据母羊母乳分泌量灵活调整，为母羊</w:t>
      </w:r>
      <w:r>
        <w:rPr>
          <w:color w:val="0000FF"/>
          <w:spacing w:val="-7"/>
        </w:rPr>
        <w:t>提供作为优渥的饲料喂养条件，保证羊羔有充分的营养供应。母羊进入到哺乳后</w:t>
      </w:r>
      <w:r>
        <w:rPr>
          <w:color w:val="0000FF"/>
          <w:spacing w:val="-10"/>
        </w:rPr>
        <w:t>期时，在饲养方面需要逐渐减少精料的喂养用量，可以选择喂养一些青干草，具</w:t>
      </w:r>
      <w:r>
        <w:rPr>
          <w:color w:val="0000FF"/>
          <w:spacing w:val="-6"/>
        </w:rPr>
        <w:t>体情况仍需要根据母羊实际的身体状况而定，保证产羔后的母羊体质健康良好即</w:t>
      </w:r>
      <w:r>
        <w:rPr>
          <w:color w:val="0000FF"/>
        </w:rPr>
        <w:t>可，为后续的产羔奠定坚实的基础。</w:t>
      </w:r>
    </w:p>
    <w:p>
      <w:pPr>
        <w:pStyle w:val="18"/>
        <w:keepNext w:val="0"/>
        <w:keepLines w:val="0"/>
        <w:pageBreakBefore w:val="0"/>
        <w:widowControl w:val="0"/>
        <w:numPr>
          <w:ilvl w:val="4"/>
          <w:numId w:val="23"/>
        </w:numPr>
        <w:tabs>
          <w:tab w:val="left" w:pos="1500"/>
        </w:tabs>
        <w:kinsoku/>
        <w:wordWrap/>
        <w:overflowPunct/>
        <w:topLinePunct w:val="0"/>
        <w:autoSpaceDE w:val="0"/>
        <w:autoSpaceDN w:val="0"/>
        <w:bidi w:val="0"/>
        <w:adjustRightInd/>
        <w:snapToGrid/>
        <w:spacing w:before="0" w:after="0" w:line="360" w:lineRule="auto"/>
        <w:ind w:left="1180" w:leftChars="100" w:right="0" w:hanging="960"/>
        <w:jc w:val="left"/>
        <w:textAlignment w:val="auto"/>
        <w:rPr>
          <w:color w:val="0000FF"/>
          <w:sz w:val="24"/>
        </w:rPr>
      </w:pPr>
      <w:r>
        <w:rPr>
          <w:color w:val="0000FF"/>
          <w:sz w:val="24"/>
        </w:rPr>
        <w:t>清粪方式</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00" w:firstLine="480"/>
        <w:textAlignment w:val="auto"/>
        <w:rPr>
          <w:color w:val="0000FF"/>
        </w:rPr>
      </w:pPr>
      <w:r>
        <w:rPr>
          <w:color w:val="0000FF"/>
        </w:rPr>
        <w:t>根据《畜禽养殖业污染物治理工程技术规范》（</w:t>
      </w:r>
      <w:r>
        <w:rPr>
          <w:rFonts w:ascii="Times New Roman" w:eastAsia="Times New Roman"/>
          <w:color w:val="0000FF"/>
        </w:rPr>
        <w:t>HJ497-2009</w:t>
      </w:r>
      <w:r>
        <w:rPr>
          <w:color w:val="0000FF"/>
        </w:rPr>
        <w:t>）要求，本项目建设后拟采用干清粪工艺。</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77" w:firstLine="480"/>
        <w:jc w:val="both"/>
        <w:textAlignment w:val="auto"/>
        <w:rPr>
          <w:color w:val="0000FF"/>
        </w:rPr>
      </w:pPr>
      <w:r>
        <w:rPr>
          <w:color w:val="0000FF"/>
          <w:spacing w:val="-10"/>
        </w:rPr>
        <w:t>圈舍清粪：本项目采用人工清粪工艺，将圈舍的羊粪集中到堆肥厂，堆肥厂</w:t>
      </w:r>
      <w:r>
        <w:rPr>
          <w:color w:val="0000FF"/>
          <w:spacing w:val="-12"/>
        </w:rPr>
        <w:t>满足防渗、防雨、防溢流等要求。羊排泄的尿液被垫料吸收，垫料层与羊粪一起</w:t>
      </w:r>
      <w:r>
        <w:rPr>
          <w:color w:val="0000FF"/>
          <w:spacing w:val="-8"/>
        </w:rPr>
        <w:t>进入堆肥厂发酵，羊粪尿均堆肥发酵，最终施用于农田，使羊粪尿的减量化、无</w:t>
      </w:r>
      <w:r>
        <w:rPr>
          <w:color w:val="0000FF"/>
          <w:spacing w:val="-9"/>
        </w:rPr>
        <w:t>害化、资源化处理与处置满足环境保护要求，形成肉羊养殖</w:t>
      </w:r>
      <w:r>
        <w:rPr>
          <w:rFonts w:ascii="Times New Roman" w:hAnsi="Times New Roman" w:eastAsia="Times New Roman"/>
          <w:color w:val="0000FF"/>
        </w:rPr>
        <w:t>→</w:t>
      </w:r>
      <w:r>
        <w:rPr>
          <w:color w:val="0000FF"/>
        </w:rPr>
        <w:t>粪污</w:t>
      </w:r>
      <w:r>
        <w:rPr>
          <w:rFonts w:ascii="Times New Roman" w:hAnsi="Times New Roman" w:eastAsia="Times New Roman"/>
          <w:color w:val="0000FF"/>
        </w:rPr>
        <w:t>→</w:t>
      </w:r>
      <w:r>
        <w:rPr>
          <w:color w:val="0000FF"/>
        </w:rPr>
        <w:t>肥料还田</w:t>
      </w:r>
      <w:r>
        <w:rPr>
          <w:rFonts w:ascii="Times New Roman" w:hAnsi="Times New Roman" w:eastAsia="Times New Roman"/>
          <w:color w:val="0000FF"/>
          <w:spacing w:val="-16"/>
        </w:rPr>
        <w:t>→</w:t>
      </w:r>
      <w:r>
        <w:rPr>
          <w:color w:val="0000FF"/>
        </w:rPr>
        <w:t>生产粮食</w:t>
      </w:r>
      <w:r>
        <w:rPr>
          <w:rFonts w:ascii="Times New Roman" w:hAnsi="Times New Roman" w:eastAsia="Times New Roman"/>
          <w:color w:val="0000FF"/>
        </w:rPr>
        <w:t>→</w:t>
      </w:r>
      <w:r>
        <w:rPr>
          <w:color w:val="0000FF"/>
        </w:rPr>
        <w:t>养羊饲料良性循环的产业结构链。</w:t>
      </w:r>
    </w:p>
    <w:p>
      <w:pPr>
        <w:pStyle w:val="18"/>
        <w:keepNext w:val="0"/>
        <w:keepLines w:val="0"/>
        <w:pageBreakBefore w:val="0"/>
        <w:widowControl w:val="0"/>
        <w:numPr>
          <w:ilvl w:val="4"/>
          <w:numId w:val="23"/>
        </w:numPr>
        <w:tabs>
          <w:tab w:val="left" w:pos="1500"/>
        </w:tabs>
        <w:kinsoku/>
        <w:wordWrap/>
        <w:overflowPunct/>
        <w:topLinePunct w:val="0"/>
        <w:autoSpaceDE w:val="0"/>
        <w:autoSpaceDN w:val="0"/>
        <w:bidi w:val="0"/>
        <w:adjustRightInd/>
        <w:snapToGrid/>
        <w:spacing w:before="0" w:after="0" w:line="360" w:lineRule="auto"/>
        <w:ind w:left="1180" w:leftChars="100" w:right="0" w:hanging="960"/>
        <w:jc w:val="left"/>
        <w:textAlignment w:val="auto"/>
        <w:rPr>
          <w:color w:val="0000FF"/>
          <w:sz w:val="24"/>
        </w:rPr>
      </w:pPr>
      <w:r>
        <w:rPr>
          <w:color w:val="0000FF"/>
          <w:sz w:val="24"/>
        </w:rPr>
        <w:t>消毒方式</w:t>
      </w:r>
    </w:p>
    <w:p>
      <w:pPr>
        <w:pStyle w:val="7"/>
        <w:keepNext w:val="0"/>
        <w:keepLines w:val="0"/>
        <w:pageBreakBefore w:val="0"/>
        <w:widowControl w:val="0"/>
        <w:kinsoku/>
        <w:wordWrap/>
        <w:overflowPunct/>
        <w:topLinePunct w:val="0"/>
        <w:autoSpaceDE w:val="0"/>
        <w:autoSpaceDN w:val="0"/>
        <w:bidi w:val="0"/>
        <w:adjustRightInd/>
        <w:snapToGrid/>
        <w:spacing w:before="147" w:line="360" w:lineRule="auto"/>
        <w:ind w:left="220" w:leftChars="100"/>
        <w:textAlignment w:val="auto"/>
        <w:rPr>
          <w:color w:val="0000FF"/>
        </w:rPr>
      </w:pPr>
      <w:r>
        <w:rPr>
          <w:color w:val="0000FF"/>
        </w:rPr>
        <w:t>养殖场消毒要求：</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textAlignment w:val="auto"/>
        <w:rPr>
          <w:color w:val="0000FF"/>
        </w:rPr>
      </w:pPr>
      <w:r>
        <w:rPr>
          <w:color w:val="0000FF"/>
        </w:rPr>
        <w:t>①羊舍内地面、墙壁、顶棚消毒</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right="457" w:firstLine="480"/>
        <w:textAlignment w:val="auto"/>
        <w:rPr>
          <w:color w:val="0000FF"/>
        </w:rPr>
      </w:pPr>
      <w:r>
        <w:rPr>
          <w:color w:val="0000FF"/>
          <w:spacing w:val="-16"/>
        </w:rPr>
        <w:t>羊舍内地面、墙壁和顶棚必须保持清洁卫生。饲养员每天必须至少清扫一次，</w:t>
      </w:r>
      <w:r>
        <w:rPr>
          <w:color w:val="0000FF"/>
          <w:spacing w:val="-7"/>
        </w:rPr>
        <w:t>地面要将粪尿、污物以及杂物等清理干净。然后每周用</w:t>
      </w:r>
      <w:r>
        <w:rPr>
          <w:rFonts w:ascii="Times New Roman" w:eastAsia="Times New Roman"/>
          <w:color w:val="0000FF"/>
        </w:rPr>
        <w:t>2</w:t>
      </w:r>
      <w:r>
        <w:rPr>
          <w:color w:val="0000FF"/>
        </w:rPr>
        <w:t>％氢氧化钠水溶液进行</w:t>
      </w:r>
      <w:r>
        <w:rPr>
          <w:color w:val="0000FF"/>
          <w:spacing w:val="-13"/>
        </w:rPr>
        <w:t>喷洒消毒一次。如果带羊消毒，可用</w:t>
      </w:r>
      <w:r>
        <w:rPr>
          <w:rFonts w:ascii="Times New Roman" w:eastAsia="Times New Roman"/>
          <w:color w:val="0000FF"/>
        </w:rPr>
        <w:t>0.1</w:t>
      </w:r>
      <w:r>
        <w:rPr>
          <w:color w:val="0000FF"/>
          <w:spacing w:val="-9"/>
        </w:rPr>
        <w:t>％过氧乙酸或</w:t>
      </w:r>
      <w:r>
        <w:rPr>
          <w:rFonts w:ascii="Times New Roman" w:eastAsia="Times New Roman"/>
          <w:color w:val="0000FF"/>
        </w:rPr>
        <w:t>0.1</w:t>
      </w:r>
      <w:r>
        <w:rPr>
          <w:color w:val="0000FF"/>
        </w:rPr>
        <w:t>％百毒杀溶液等进行喷</w:t>
      </w:r>
      <w:r>
        <w:rPr>
          <w:color w:val="0000FF"/>
          <w:spacing w:val="-9"/>
        </w:rPr>
        <w:t>洒消毒，每周</w:t>
      </w:r>
      <w:r>
        <w:rPr>
          <w:rFonts w:ascii="Times New Roman" w:eastAsia="Times New Roman"/>
          <w:color w:val="0000FF"/>
        </w:rPr>
        <w:t>1</w:t>
      </w:r>
      <w:r>
        <w:rPr>
          <w:color w:val="0000FF"/>
        </w:rPr>
        <w:t>～</w:t>
      </w:r>
      <w:r>
        <w:rPr>
          <w:rFonts w:ascii="Times New Roman" w:eastAsia="Times New Roman"/>
          <w:color w:val="0000FF"/>
        </w:rPr>
        <w:t>2</w:t>
      </w:r>
      <w:r>
        <w:rPr>
          <w:color w:val="0000FF"/>
        </w:rPr>
        <w:t>次。</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color w:val="0000FF"/>
        </w:rPr>
      </w:pPr>
      <w:r>
        <w:rPr>
          <w:color w:val="0000FF"/>
        </w:rPr>
        <w:t>②水、料槽、草架的消毒</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right="523" w:firstLine="480"/>
        <w:textAlignment w:val="auto"/>
        <w:rPr>
          <w:color w:val="0000FF"/>
          <w:sz w:val="9"/>
        </w:rPr>
      </w:pPr>
      <w:r>
        <w:rPr>
          <w:color w:val="0000FF"/>
        </w:rPr>
        <w:t>水、料槽、草架必须定期清洗消毒，保持清洁。一般可用</w:t>
      </w:r>
      <w:r>
        <w:rPr>
          <w:rFonts w:ascii="Times New Roman" w:eastAsia="Times New Roman"/>
          <w:color w:val="0000FF"/>
        </w:rPr>
        <w:t>0.1</w:t>
      </w:r>
      <w:r>
        <w:rPr>
          <w:color w:val="0000FF"/>
        </w:rPr>
        <w:t>％高锰酸钾溶液进行浸泡</w:t>
      </w:r>
      <w:r>
        <w:rPr>
          <w:rFonts w:ascii="Times New Roman" w:eastAsia="Times New Roman"/>
          <w:color w:val="0000FF"/>
        </w:rPr>
        <w:t>5</w:t>
      </w:r>
      <w:r>
        <w:rPr>
          <w:color w:val="0000FF"/>
        </w:rPr>
        <w:t>～</w:t>
      </w:r>
      <w:r>
        <w:rPr>
          <w:rFonts w:ascii="Times New Roman" w:eastAsia="Times New Roman"/>
          <w:color w:val="0000FF"/>
        </w:rPr>
        <w:t>15min</w:t>
      </w:r>
      <w:r>
        <w:rPr>
          <w:color w:val="0000FF"/>
        </w:rPr>
        <w:t>，每两周消毒一次。</w:t>
      </w:r>
    </w:p>
    <w:p>
      <w:pPr>
        <w:pStyle w:val="7"/>
        <w:keepNext w:val="0"/>
        <w:keepLines w:val="0"/>
        <w:pageBreakBefore w:val="0"/>
        <w:widowControl w:val="0"/>
        <w:kinsoku/>
        <w:wordWrap/>
        <w:overflowPunct/>
        <w:topLinePunct w:val="0"/>
        <w:autoSpaceDE w:val="0"/>
        <w:autoSpaceDN w:val="0"/>
        <w:bidi w:val="0"/>
        <w:adjustRightInd/>
        <w:snapToGrid/>
        <w:spacing w:before="66" w:line="360" w:lineRule="auto"/>
        <w:ind w:left="220" w:leftChars="100"/>
        <w:textAlignment w:val="auto"/>
        <w:rPr>
          <w:color w:val="0000FF"/>
        </w:rPr>
      </w:pPr>
      <w:r>
        <w:rPr>
          <w:color w:val="0000FF"/>
        </w:rPr>
        <w:t>③羊舍内空气清洁、消毒</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7" w:firstLine="480"/>
        <w:textAlignment w:val="auto"/>
        <w:rPr>
          <w:color w:val="0000FF"/>
        </w:rPr>
      </w:pPr>
      <w:r>
        <w:rPr>
          <w:color w:val="0000FF"/>
          <w:spacing w:val="-6"/>
        </w:rPr>
        <w:t>羊舍内空气的洁净程度对羊的健康会产生很大影响，必须对空气进行定期清</w:t>
      </w:r>
      <w:r>
        <w:rPr>
          <w:color w:val="0000FF"/>
        </w:rPr>
        <w:t>洁消毒。具体如下：</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485" w:firstLine="480"/>
        <w:textAlignment w:val="auto"/>
        <w:rPr>
          <w:color w:val="0000FF"/>
        </w:rPr>
      </w:pPr>
      <w:r>
        <w:rPr>
          <w:rFonts w:ascii="Times New Roman" w:eastAsia="Times New Roman"/>
          <w:color w:val="0000FF"/>
        </w:rPr>
        <w:t>a</w:t>
      </w:r>
      <w:r>
        <w:rPr>
          <w:color w:val="0000FF"/>
        </w:rPr>
        <w:t>、通风换气。在羊舍内必须留有充足的通风口，将通风口留在背风处以防止强风进入。羊舍较大的要安装排风扇，定时定点开启排风扇，进行通风换气。特别在冬季夜间，更要做好通风换气工作。</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457" w:firstLine="480"/>
        <w:jc w:val="both"/>
        <w:textAlignment w:val="auto"/>
        <w:rPr>
          <w:color w:val="0000FF"/>
        </w:rPr>
      </w:pPr>
      <w:r>
        <w:rPr>
          <w:rFonts w:ascii="Times New Roman" w:eastAsia="Times New Roman"/>
          <w:color w:val="0000FF"/>
        </w:rPr>
        <w:t>b</w:t>
      </w:r>
      <w:r>
        <w:rPr>
          <w:color w:val="0000FF"/>
          <w:spacing w:val="-12"/>
        </w:rPr>
        <w:t>、水雾洗涤。向羊舍空气中喷洒水雾，一方面可以减少舍内空气中的尘埃，</w:t>
      </w:r>
      <w:r>
        <w:rPr>
          <w:color w:val="0000FF"/>
        </w:rPr>
        <w:t>使舍内空气清洁；另一方面还可以降温和增加空气湿度，特别是在炎热的夏季，通过增加舍内湿度以防止过于干燥而导致呼吸道疾病发生。</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color w:val="0000FF"/>
        </w:rPr>
      </w:pPr>
      <w:r>
        <w:rPr>
          <w:rFonts w:ascii="Times New Roman" w:eastAsia="Times New Roman"/>
          <w:color w:val="0000FF"/>
        </w:rPr>
        <w:t>c</w:t>
      </w:r>
      <w:r>
        <w:rPr>
          <w:color w:val="0000FF"/>
        </w:rPr>
        <w:t>、过道、走廊、庭院、路面消毒</w:t>
      </w:r>
    </w:p>
    <w:p>
      <w:pPr>
        <w:pStyle w:val="7"/>
        <w:keepNext w:val="0"/>
        <w:keepLines w:val="0"/>
        <w:pageBreakBefore w:val="0"/>
        <w:widowControl w:val="0"/>
        <w:kinsoku/>
        <w:wordWrap/>
        <w:overflowPunct/>
        <w:topLinePunct w:val="0"/>
        <w:autoSpaceDE w:val="0"/>
        <w:autoSpaceDN w:val="0"/>
        <w:bidi w:val="0"/>
        <w:adjustRightInd/>
        <w:snapToGrid/>
        <w:spacing w:before="146" w:line="360" w:lineRule="auto"/>
        <w:ind w:left="220" w:leftChars="100" w:right="577" w:firstLine="480"/>
        <w:jc w:val="both"/>
        <w:textAlignment w:val="auto"/>
        <w:rPr>
          <w:color w:val="0000FF"/>
        </w:rPr>
      </w:pPr>
      <w:r>
        <w:rPr>
          <w:color w:val="0000FF"/>
          <w:spacing w:val="-6"/>
        </w:rPr>
        <w:t>为了防止外界病原微生物进入羊舍，应对过道、走廊、庭院、路面等地点应</w:t>
      </w:r>
      <w:r>
        <w:rPr>
          <w:color w:val="0000FF"/>
        </w:rPr>
        <w:t>该定期进行消毒。一般可用生石灰消毒或用</w:t>
      </w:r>
      <w:r>
        <w:rPr>
          <w:rFonts w:ascii="Times New Roman" w:eastAsia="Times New Roman"/>
          <w:color w:val="0000FF"/>
          <w:spacing w:val="7"/>
        </w:rPr>
        <w:t>2</w:t>
      </w:r>
      <w:r>
        <w:rPr>
          <w:color w:val="0000FF"/>
          <w:spacing w:val="3"/>
        </w:rPr>
        <w:t>％氢氧化钠溶液进行喷洒效果很</w:t>
      </w:r>
      <w:r>
        <w:rPr>
          <w:color w:val="0000FF"/>
          <w:spacing w:val="-13"/>
        </w:rPr>
        <w:t>好，每</w:t>
      </w:r>
      <w:r>
        <w:rPr>
          <w:rFonts w:ascii="Times New Roman" w:eastAsia="Times New Roman"/>
          <w:color w:val="0000FF"/>
        </w:rPr>
        <w:t>2</w:t>
      </w:r>
      <w:r>
        <w:rPr>
          <w:color w:val="0000FF"/>
        </w:rPr>
        <w:t>周一次。</w:t>
      </w:r>
    </w:p>
    <w:p>
      <w:pPr>
        <w:pStyle w:val="7"/>
        <w:keepNext w:val="0"/>
        <w:keepLines w:val="0"/>
        <w:pageBreakBefore w:val="0"/>
        <w:widowControl w:val="0"/>
        <w:kinsoku/>
        <w:wordWrap/>
        <w:overflowPunct/>
        <w:topLinePunct w:val="0"/>
        <w:autoSpaceDE w:val="0"/>
        <w:autoSpaceDN w:val="0"/>
        <w:bidi w:val="0"/>
        <w:adjustRightInd/>
        <w:snapToGrid/>
        <w:spacing w:before="5" w:line="360" w:lineRule="auto"/>
        <w:ind w:left="220" w:leftChars="100"/>
        <w:textAlignment w:val="auto"/>
        <w:rPr>
          <w:color w:val="0000FF"/>
        </w:rPr>
      </w:pPr>
      <w:r>
        <w:rPr>
          <w:rFonts w:ascii="Times New Roman" w:eastAsia="Times New Roman"/>
          <w:color w:val="0000FF"/>
        </w:rPr>
        <w:t>d</w:t>
      </w:r>
      <w:r>
        <w:rPr>
          <w:color w:val="0000FF"/>
        </w:rPr>
        <w:t>、进场、羊舍人员及车辆消毒</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5" w:firstLine="480"/>
        <w:jc w:val="both"/>
        <w:textAlignment w:val="auto"/>
        <w:rPr>
          <w:color w:val="0000FF"/>
        </w:rPr>
      </w:pPr>
      <w:r>
        <w:rPr>
          <w:color w:val="0000FF"/>
          <w:spacing w:val="-8"/>
        </w:rPr>
        <w:t>进入羊舍</w:t>
      </w:r>
      <w:r>
        <w:rPr>
          <w:color w:val="0000FF"/>
        </w:rPr>
        <w:t>（生产区</w:t>
      </w:r>
      <w:r>
        <w:rPr>
          <w:color w:val="0000FF"/>
          <w:spacing w:val="-32"/>
        </w:rPr>
        <w:t>）</w:t>
      </w:r>
      <w:r>
        <w:rPr>
          <w:color w:val="0000FF"/>
          <w:spacing w:val="-4"/>
        </w:rPr>
        <w:t>的工作人员必须经过消毒更衣室，更换已消过毒的工作</w:t>
      </w:r>
      <w:r>
        <w:rPr>
          <w:color w:val="0000FF"/>
          <w:spacing w:val="-12"/>
        </w:rPr>
        <w:t>服、卫生帽和胶鞋，严禁不换衣服而进入生产区。饲养人员的工作服必须保持清</w:t>
      </w:r>
      <w:r>
        <w:rPr>
          <w:color w:val="0000FF"/>
          <w:spacing w:val="-5"/>
        </w:rPr>
        <w:t>洁卫生，定期洗涤，洗净后用</w:t>
      </w:r>
      <w:r>
        <w:rPr>
          <w:rFonts w:ascii="Times New Roman" w:eastAsia="Times New Roman"/>
          <w:color w:val="0000FF"/>
        </w:rPr>
        <w:t>0.1</w:t>
      </w:r>
      <w:r>
        <w:rPr>
          <w:color w:val="0000FF"/>
          <w:spacing w:val="-4"/>
        </w:rPr>
        <w:t>％新洁尔灭等消毒液进行浸泡</w:t>
      </w:r>
      <w:r>
        <w:rPr>
          <w:rFonts w:ascii="Times New Roman" w:eastAsia="Times New Roman"/>
          <w:color w:val="0000FF"/>
        </w:rPr>
        <w:t>20min</w:t>
      </w:r>
      <w:r>
        <w:rPr>
          <w:color w:val="0000FF"/>
          <w:spacing w:val="-4"/>
        </w:rPr>
        <w:t>后捞出晾</w:t>
      </w:r>
      <w:r>
        <w:rPr>
          <w:color w:val="0000FF"/>
          <w:spacing w:val="-5"/>
        </w:rPr>
        <w:t>干。一般每周洗涤、消毒</w:t>
      </w:r>
      <w:r>
        <w:rPr>
          <w:rFonts w:ascii="Times New Roman" w:eastAsia="Times New Roman"/>
          <w:color w:val="0000FF"/>
        </w:rPr>
        <w:t>1</w:t>
      </w:r>
      <w:r>
        <w:rPr>
          <w:color w:val="0000FF"/>
        </w:rPr>
        <w:t>～</w:t>
      </w:r>
      <w:r>
        <w:rPr>
          <w:rFonts w:ascii="Times New Roman" w:eastAsia="Times New Roman"/>
          <w:color w:val="0000FF"/>
        </w:rPr>
        <w:t>2</w:t>
      </w:r>
      <w:r>
        <w:rPr>
          <w:color w:val="0000FF"/>
        </w:rPr>
        <w:t>次。在消毒更衣室地面必须放置浸满消毒液的消毒垫，用于胶鞋底的消毒。</w:t>
      </w:r>
    </w:p>
    <w:p>
      <w:pPr>
        <w:pStyle w:val="7"/>
        <w:keepNext w:val="0"/>
        <w:keepLines w:val="0"/>
        <w:pageBreakBefore w:val="0"/>
        <w:widowControl w:val="0"/>
        <w:kinsoku/>
        <w:wordWrap/>
        <w:overflowPunct/>
        <w:topLinePunct w:val="0"/>
        <w:autoSpaceDE w:val="0"/>
        <w:autoSpaceDN w:val="0"/>
        <w:bidi w:val="0"/>
        <w:adjustRightInd/>
        <w:snapToGrid/>
        <w:spacing w:before="8" w:line="360" w:lineRule="auto"/>
        <w:ind w:left="220" w:leftChars="100" w:right="577" w:firstLine="480"/>
        <w:jc w:val="both"/>
        <w:textAlignment w:val="auto"/>
        <w:rPr>
          <w:color w:val="0000FF"/>
        </w:rPr>
      </w:pPr>
      <w:r>
        <w:rPr>
          <w:color w:val="0000FF"/>
          <w:spacing w:val="-5"/>
        </w:rPr>
        <w:t>外来人员进入场区，必须经过场区大门旁侧的消毒室进行消毒</w:t>
      </w:r>
      <w:r>
        <w:rPr>
          <w:color w:val="0000FF"/>
        </w:rPr>
        <w:t>（</w:t>
      </w:r>
      <w:r>
        <w:rPr>
          <w:color w:val="0000FF"/>
          <w:spacing w:val="-11"/>
        </w:rPr>
        <w:t>方法：可用</w:t>
      </w:r>
      <w:r>
        <w:rPr>
          <w:color w:val="0000FF"/>
          <w:spacing w:val="-3"/>
        </w:rPr>
        <w:t>紫外线照射</w:t>
      </w:r>
      <w:r>
        <w:rPr>
          <w:rFonts w:ascii="Times New Roman" w:eastAsia="Times New Roman"/>
          <w:color w:val="0000FF"/>
        </w:rPr>
        <w:t>5</w:t>
      </w:r>
      <w:r>
        <w:rPr>
          <w:color w:val="0000FF"/>
        </w:rPr>
        <w:t>～</w:t>
      </w:r>
      <w:r>
        <w:rPr>
          <w:rFonts w:ascii="Times New Roman" w:eastAsia="Times New Roman"/>
          <w:color w:val="0000FF"/>
        </w:rPr>
        <w:t>15min</w:t>
      </w:r>
      <w:r>
        <w:rPr>
          <w:color w:val="0000FF"/>
        </w:rPr>
        <w:t>，脚底踏踩消毒垫）后方可进入，但绝对禁止未经消毒更</w:t>
      </w:r>
      <w:r>
        <w:rPr>
          <w:color w:val="0000FF"/>
          <w:spacing w:val="-8"/>
        </w:rPr>
        <w:t>衣人员进入生产区。禁止一切外来车辆进入生产区，进入场区的外来车辆，必须</w:t>
      </w:r>
      <w:r>
        <w:rPr>
          <w:color w:val="0000FF"/>
          <w:spacing w:val="-5"/>
        </w:rPr>
        <w:t>经过大门门下置满消毒液的消毒池，对轮胎进行消毒，车体可用</w:t>
      </w:r>
      <w:r>
        <w:rPr>
          <w:rFonts w:ascii="Times New Roman" w:eastAsia="Times New Roman"/>
          <w:color w:val="0000FF"/>
        </w:rPr>
        <w:t>2</w:t>
      </w:r>
      <w:r>
        <w:rPr>
          <w:color w:val="0000FF"/>
          <w:spacing w:val="-3"/>
        </w:rPr>
        <w:t>％氢氧化钠或</w:t>
      </w:r>
      <w:r>
        <w:rPr>
          <w:rFonts w:ascii="Times New Roman" w:eastAsia="Times New Roman"/>
          <w:color w:val="0000FF"/>
        </w:rPr>
        <w:t>0.1</w:t>
      </w:r>
      <w:r>
        <w:rPr>
          <w:color w:val="0000FF"/>
        </w:rPr>
        <w:t>％过氧乙酸等进行喷雾消毒后方可进入。</w:t>
      </w:r>
    </w:p>
    <w:p>
      <w:pPr>
        <w:pStyle w:val="18"/>
        <w:keepNext w:val="0"/>
        <w:keepLines w:val="0"/>
        <w:pageBreakBefore w:val="0"/>
        <w:widowControl w:val="0"/>
        <w:numPr>
          <w:ilvl w:val="4"/>
          <w:numId w:val="23"/>
        </w:numPr>
        <w:tabs>
          <w:tab w:val="left" w:pos="1500"/>
        </w:tabs>
        <w:kinsoku/>
        <w:wordWrap/>
        <w:overflowPunct/>
        <w:topLinePunct w:val="0"/>
        <w:autoSpaceDE w:val="0"/>
        <w:autoSpaceDN w:val="0"/>
        <w:bidi w:val="0"/>
        <w:adjustRightInd/>
        <w:snapToGrid/>
        <w:spacing w:before="0" w:after="0" w:line="360" w:lineRule="auto"/>
        <w:ind w:left="1180" w:leftChars="100" w:right="0" w:hanging="960"/>
        <w:jc w:val="left"/>
        <w:textAlignment w:val="auto"/>
        <w:rPr>
          <w:color w:val="0000FF"/>
          <w:sz w:val="24"/>
        </w:rPr>
      </w:pPr>
      <w:r>
        <w:rPr>
          <w:color w:val="0000FF"/>
          <w:sz w:val="24"/>
        </w:rPr>
        <w:t>卫生防疫</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textAlignment w:val="auto"/>
        <w:rPr>
          <w:color w:val="0000FF"/>
        </w:rPr>
      </w:pPr>
      <w:r>
        <w:rPr>
          <w:color w:val="0000FF"/>
        </w:rPr>
        <w:t>养殖场防疫要求：</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textAlignment w:val="auto"/>
        <w:rPr>
          <w:color w:val="0000FF"/>
        </w:rPr>
      </w:pPr>
      <w:r>
        <w:rPr>
          <w:color w:val="0000FF"/>
        </w:rPr>
        <w:t>①严格投入品控制</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left="220" w:leftChars="100" w:right="577" w:firstLine="480"/>
        <w:jc w:val="both"/>
        <w:textAlignment w:val="auto"/>
        <w:rPr>
          <w:color w:val="0000FF"/>
          <w:sz w:val="9"/>
        </w:rPr>
      </w:pPr>
      <w:r>
        <w:rPr>
          <w:color w:val="0000FF"/>
          <w:spacing w:val="-8"/>
        </w:rPr>
        <w:t>要根据羊只不同品种、年龄、用途喂给全价配合饲料，蛋白质、维生素、微</w:t>
      </w:r>
      <w:r>
        <w:rPr>
          <w:color w:val="0000FF"/>
          <w:spacing w:val="-7"/>
        </w:rPr>
        <w:t>量元素等营养成分要满足羊只生长、发育、繁殖等需要，饮水要充足、清洁、卫</w:t>
      </w:r>
      <w:r>
        <w:rPr>
          <w:color w:val="0000FF"/>
          <w:spacing w:val="-11"/>
        </w:rPr>
        <w:t>生。同时，可以在饲料中添加微生态制剂等绿色饲料添加剂来提高羊只自身免疫</w:t>
      </w:r>
    </w:p>
    <w:p>
      <w:pPr>
        <w:pStyle w:val="7"/>
        <w:keepNext w:val="0"/>
        <w:keepLines w:val="0"/>
        <w:pageBreakBefore w:val="0"/>
        <w:widowControl w:val="0"/>
        <w:kinsoku/>
        <w:wordWrap/>
        <w:overflowPunct/>
        <w:topLinePunct w:val="0"/>
        <w:autoSpaceDE w:val="0"/>
        <w:autoSpaceDN w:val="0"/>
        <w:bidi w:val="0"/>
        <w:adjustRightInd/>
        <w:snapToGrid/>
        <w:spacing w:before="66" w:line="360" w:lineRule="auto"/>
        <w:ind w:left="220" w:leftChars="100" w:right="485"/>
        <w:textAlignment w:val="auto"/>
        <w:rPr>
          <w:color w:val="0000FF"/>
        </w:rPr>
      </w:pPr>
      <w:r>
        <w:rPr>
          <w:color w:val="0000FF"/>
        </w:rPr>
        <w:t>力和抗病力。还可以适当投放一些预防性药物，对羊群进行疫病的预防和控制，如利用恩诺沙星或环内沙星可有效预防羔羊腹泻等。</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color w:val="0000FF"/>
        </w:rPr>
      </w:pPr>
      <w:r>
        <w:rPr>
          <w:color w:val="0000FF"/>
        </w:rPr>
        <w:t>②落实隔离制度</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left="220" w:leftChars="100" w:right="455" w:firstLine="480"/>
        <w:textAlignment w:val="auto"/>
        <w:rPr>
          <w:color w:val="0000FF"/>
        </w:rPr>
      </w:pPr>
      <w:r>
        <w:rPr>
          <w:color w:val="0000FF"/>
          <w:spacing w:val="-6"/>
        </w:rPr>
        <w:t>如需外购羔羊补栏或种羊，要严格隔离饲养观察，严禁从疫区购买羊只。在</w:t>
      </w:r>
      <w:r>
        <w:rPr>
          <w:color w:val="0000FF"/>
          <w:spacing w:val="-16"/>
        </w:rPr>
        <w:t>此期间进行临床和实验室检查，确认健康无病后，再经预防接种、驱虫、消毒后，</w:t>
      </w:r>
      <w:r>
        <w:rPr>
          <w:color w:val="0000FF"/>
          <w:spacing w:val="-8"/>
        </w:rPr>
        <w:t>才可进入生产区。不同批次、不同种源场的羔羊尽量分舍独立饲养，降低疫病互相传染的风险。</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color w:val="0000FF"/>
        </w:rPr>
      </w:pPr>
      <w:r>
        <w:rPr>
          <w:color w:val="0000FF"/>
        </w:rPr>
        <w:t>③完善免疫程序</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7" w:firstLine="480"/>
        <w:jc w:val="both"/>
        <w:textAlignment w:val="auto"/>
        <w:rPr>
          <w:color w:val="0000FF"/>
        </w:rPr>
      </w:pPr>
      <w:r>
        <w:rPr>
          <w:color w:val="0000FF"/>
          <w:spacing w:val="-8"/>
        </w:rPr>
        <w:t>制定完善羊场免疫程序，加强规模羊场防疫技术指导，规模羊场要结合本场</w:t>
      </w:r>
      <w:r>
        <w:rPr>
          <w:color w:val="0000FF"/>
          <w:spacing w:val="-9"/>
        </w:rPr>
        <w:t>羊只发病特点、羊只年龄、品种等实际情况，优化免疫程序，严格配合各级动物</w:t>
      </w:r>
      <w:r>
        <w:rPr>
          <w:color w:val="0000FF"/>
          <w:spacing w:val="-10"/>
        </w:rPr>
        <w:t>防疫机构，做好羊群免疫接种及补防工作，确保免疫效果。一般每年的春秋两季</w:t>
      </w:r>
      <w:r>
        <w:rPr>
          <w:color w:val="0000FF"/>
        </w:rPr>
        <w:t>对全群羊只进行疫苗免疫注射，重点预防口蹄疫、羊痘、小反刍兽疫等疫病。</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jc w:val="both"/>
        <w:textAlignment w:val="auto"/>
        <w:rPr>
          <w:color w:val="0000FF"/>
        </w:rPr>
      </w:pPr>
      <w:r>
        <w:rPr>
          <w:color w:val="0000FF"/>
        </w:rPr>
        <w:t>④开展动物检疫</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right="485" w:firstLine="480"/>
        <w:textAlignment w:val="auto"/>
        <w:rPr>
          <w:color w:val="0000FF"/>
        </w:rPr>
      </w:pPr>
      <w:r>
        <w:rPr>
          <w:color w:val="0000FF"/>
        </w:rPr>
        <w:t>从外地购买羔羊补栏或种羊时，必须首先调查了解产地羊传染病流行情况，经当地动物检疫机构检疫合格后方可启运回场。尤其是对一些危害较大和一些新的疫病如羊口蹄疫、羊痘、小反刍兽疫等更要严格检疫。</w:t>
      </w:r>
    </w:p>
    <w:p>
      <w:pPr>
        <w:pStyle w:val="7"/>
        <w:keepNext w:val="0"/>
        <w:keepLines w:val="0"/>
        <w:pageBreakBefore w:val="0"/>
        <w:widowControl w:val="0"/>
        <w:kinsoku/>
        <w:wordWrap/>
        <w:overflowPunct/>
        <w:topLinePunct w:val="0"/>
        <w:autoSpaceDE w:val="0"/>
        <w:autoSpaceDN w:val="0"/>
        <w:bidi w:val="0"/>
        <w:adjustRightInd/>
        <w:snapToGrid/>
        <w:spacing w:before="5" w:line="360" w:lineRule="auto"/>
        <w:ind w:left="220" w:leftChars="100"/>
        <w:textAlignment w:val="auto"/>
        <w:rPr>
          <w:color w:val="0000FF"/>
        </w:rPr>
      </w:pPr>
      <w:r>
        <w:rPr>
          <w:color w:val="0000FF"/>
        </w:rPr>
        <w:t>⑤强化驱虫制度</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7" w:firstLine="480"/>
        <w:jc w:val="both"/>
        <w:textAlignment w:val="auto"/>
        <w:rPr>
          <w:color w:val="0000FF"/>
        </w:rPr>
      </w:pPr>
      <w:r>
        <w:rPr>
          <w:color w:val="0000FF"/>
          <w:spacing w:val="-8"/>
        </w:rPr>
        <w:t>驱虫分体内驱虫、体外驱虫及环境灭虫，羊场要遵循“强化虫检、适时驱虫</w:t>
      </w:r>
      <w:r>
        <w:rPr>
          <w:color w:val="0000FF"/>
          <w:spacing w:val="-7"/>
        </w:rPr>
        <w:t>“的原则做好此项工作。体内驱虫主要驱除山羊体内绦虫、球虫等寄生虫，常用</w:t>
      </w:r>
      <w:r>
        <w:rPr>
          <w:color w:val="0000FF"/>
          <w:spacing w:val="-10"/>
        </w:rPr>
        <w:t>左旋咪唑、丙硫苯咪唑等驱虫药。体外驱虫主要驱除山羊体表的螨虫、虱子等寄生虫，常用药物有敌百虫、螨净等。同时要定期对整个圈舍、粪池及周围环境进</w:t>
      </w:r>
      <w:r>
        <w:rPr>
          <w:color w:val="0000FF"/>
        </w:rPr>
        <w:t>行喷药灭虫。</w:t>
      </w:r>
    </w:p>
    <w:p>
      <w:pPr>
        <w:pStyle w:val="7"/>
        <w:keepNext w:val="0"/>
        <w:keepLines w:val="0"/>
        <w:pageBreakBefore w:val="0"/>
        <w:widowControl w:val="0"/>
        <w:kinsoku/>
        <w:wordWrap/>
        <w:overflowPunct/>
        <w:topLinePunct w:val="0"/>
        <w:autoSpaceDE w:val="0"/>
        <w:autoSpaceDN w:val="0"/>
        <w:bidi w:val="0"/>
        <w:adjustRightInd/>
        <w:snapToGrid/>
        <w:spacing w:before="8" w:line="360" w:lineRule="auto"/>
        <w:ind w:left="220" w:leftChars="100"/>
        <w:jc w:val="both"/>
        <w:textAlignment w:val="auto"/>
        <w:rPr>
          <w:color w:val="0000FF"/>
        </w:rPr>
      </w:pPr>
      <w:r>
        <w:rPr>
          <w:color w:val="0000FF"/>
        </w:rPr>
        <w:t>⑥加强诊疗控制</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right="455" w:firstLine="480"/>
        <w:textAlignment w:val="auto"/>
        <w:rPr>
          <w:color w:val="0000FF"/>
        </w:rPr>
      </w:pPr>
      <w:r>
        <w:rPr>
          <w:color w:val="0000FF"/>
          <w:spacing w:val="-7"/>
        </w:rPr>
        <w:t>发现羊只传染病、疑似传染病时，要做好患病和疑似羊只隔离工作，并立即</w:t>
      </w:r>
      <w:r>
        <w:rPr>
          <w:color w:val="0000FF"/>
          <w:spacing w:val="-13"/>
        </w:rPr>
        <w:t>向当地动物防疫机构报告，采取防制措施。对有治疗价值的患病羊只，及时对症</w:t>
      </w:r>
      <w:r>
        <w:rPr>
          <w:color w:val="0000FF"/>
          <w:spacing w:val="-15"/>
        </w:rPr>
        <w:t>治疗；没有治疗价值或烈性传染病的患病羊只，按照“早、快、严、小”的原则，</w:t>
      </w:r>
      <w:r>
        <w:rPr>
          <w:color w:val="0000FF"/>
        </w:rPr>
        <w:t>迅速采取封锁措施，以防止传染病向安全地区传播蔓延。</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color w:val="0000FF"/>
        </w:rPr>
      </w:pPr>
      <w:r>
        <w:rPr>
          <w:color w:val="0000FF"/>
        </w:rPr>
        <w:t>⑦严格落实无害化处理制度</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5" w:firstLine="480"/>
        <w:textAlignment w:val="auto"/>
        <w:rPr>
          <w:color w:val="0000FF"/>
          <w:sz w:val="9"/>
        </w:rPr>
      </w:pPr>
      <w:r>
        <w:rPr>
          <w:color w:val="0000FF"/>
          <w:spacing w:val="-9"/>
        </w:rPr>
        <w:t>病死羊及羊粪、污水需进行无害化处理，以消灭依附其中的病原微生物、寄</w:t>
      </w:r>
      <w:r>
        <w:rPr>
          <w:color w:val="0000FF"/>
          <w:spacing w:val="-11"/>
        </w:rPr>
        <w:t>生虫等。羊粪一般采用生物热消毒法，利用堆积发酵时产生的生物热杀灭病原微</w:t>
      </w:r>
    </w:p>
    <w:p>
      <w:pPr>
        <w:pStyle w:val="7"/>
        <w:keepNext w:val="0"/>
        <w:keepLines w:val="0"/>
        <w:pageBreakBefore w:val="0"/>
        <w:widowControl w:val="0"/>
        <w:kinsoku/>
        <w:wordWrap/>
        <w:overflowPunct/>
        <w:topLinePunct w:val="0"/>
        <w:autoSpaceDE w:val="0"/>
        <w:autoSpaceDN w:val="0"/>
        <w:bidi w:val="0"/>
        <w:adjustRightInd/>
        <w:snapToGrid/>
        <w:spacing w:before="66" w:line="360" w:lineRule="auto"/>
        <w:ind w:left="220" w:leftChars="100" w:right="577"/>
        <w:jc w:val="both"/>
        <w:textAlignment w:val="auto"/>
        <w:rPr>
          <w:color w:val="0000FF"/>
        </w:rPr>
      </w:pPr>
      <w:r>
        <w:rPr>
          <w:color w:val="0000FF"/>
          <w:spacing w:val="-10"/>
        </w:rPr>
        <w:t>生物和虫卵，然后用作有机肥还田。污水一般采用沉淀法、过滤法和化学品处理法，比较实用的是化学药品处理法，污水池内加入漂白粉或生石灰进行消毒。病</w:t>
      </w:r>
      <w:r>
        <w:rPr>
          <w:color w:val="0000FF"/>
        </w:rPr>
        <w:t>死羊无害化处理一般有化制、掩埋、焚烧三种方式。</w:t>
      </w:r>
    </w:p>
    <w:p>
      <w:pPr>
        <w:pStyle w:val="18"/>
        <w:keepNext w:val="0"/>
        <w:keepLines w:val="0"/>
        <w:pageBreakBefore w:val="0"/>
        <w:widowControl w:val="0"/>
        <w:numPr>
          <w:ilvl w:val="0"/>
          <w:numId w:val="0"/>
        </w:numPr>
        <w:tabs>
          <w:tab w:val="left" w:pos="1980"/>
        </w:tabs>
        <w:kinsoku/>
        <w:wordWrap/>
        <w:overflowPunct/>
        <w:topLinePunct w:val="0"/>
        <w:autoSpaceDE w:val="0"/>
        <w:autoSpaceDN w:val="0"/>
        <w:bidi w:val="0"/>
        <w:adjustRightInd/>
        <w:snapToGrid/>
        <w:spacing w:before="0" w:after="0" w:line="360" w:lineRule="auto"/>
        <w:ind w:left="821" w:leftChars="100" w:right="0" w:rightChars="0"/>
        <w:jc w:val="left"/>
        <w:textAlignment w:val="auto"/>
        <w:rPr>
          <w:color w:val="0000FF"/>
          <w:sz w:val="24"/>
        </w:rPr>
      </w:pPr>
      <w:r>
        <w:rPr>
          <w:color w:val="0000FF"/>
          <w:sz w:val="24"/>
        </w:rPr>
        <w:t>病死羊及分娩物处置</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7" w:firstLine="480"/>
        <w:textAlignment w:val="auto"/>
        <w:rPr>
          <w:color w:val="0000FF"/>
        </w:rPr>
      </w:pPr>
      <w:r>
        <w:rPr>
          <w:color w:val="0000FF"/>
          <w:spacing w:val="-6"/>
        </w:rPr>
        <w:t>本项目病死羊采用干化法畜禽无害化处理方式处理，计划项目区拟建畜禽无</w:t>
      </w:r>
      <w:r>
        <w:rPr>
          <w:color w:val="0000FF"/>
          <w:spacing w:val="-4"/>
        </w:rPr>
        <w:t>害化处理车间，并购进畜禽无害化处理</w:t>
      </w:r>
      <w:r>
        <w:rPr>
          <w:rFonts w:ascii="Times New Roman" w:eastAsia="Times New Roman"/>
          <w:color w:val="0000FF"/>
        </w:rPr>
        <w:t>1</w:t>
      </w:r>
      <w:r>
        <w:rPr>
          <w:color w:val="0000FF"/>
        </w:rPr>
        <w:t>吨</w:t>
      </w:r>
      <w:r>
        <w:rPr>
          <w:rFonts w:ascii="Times New Roman" w:eastAsia="Times New Roman"/>
          <w:color w:val="0000FF"/>
        </w:rPr>
        <w:t>/</w:t>
      </w:r>
      <w:r>
        <w:rPr>
          <w:color w:val="0000FF"/>
        </w:rPr>
        <w:t>次成套设备，采用高温高压灭菌技</w:t>
      </w:r>
      <w:r>
        <w:rPr>
          <w:color w:val="0000FF"/>
          <w:spacing w:val="-12"/>
        </w:rPr>
        <w:t>术，大型动物无需肢解，可直接进行处理，处理后的产物可出售给肉骨粉干品生</w:t>
      </w:r>
      <w:r>
        <w:rPr>
          <w:color w:val="0000FF"/>
        </w:rPr>
        <w:t>产厂和工业用油脂厂，综合利用，符合国家防疫法规要求。</w:t>
      </w:r>
    </w:p>
    <w:p>
      <w:pPr>
        <w:pStyle w:val="18"/>
        <w:keepNext w:val="0"/>
        <w:keepLines w:val="0"/>
        <w:pageBreakBefore w:val="0"/>
        <w:widowControl w:val="0"/>
        <w:numPr>
          <w:ilvl w:val="0"/>
          <w:numId w:val="0"/>
        </w:numPr>
        <w:tabs>
          <w:tab w:val="left" w:pos="1320"/>
        </w:tabs>
        <w:kinsoku/>
        <w:wordWrap/>
        <w:overflowPunct/>
        <w:topLinePunct w:val="0"/>
        <w:autoSpaceDE w:val="0"/>
        <w:autoSpaceDN w:val="0"/>
        <w:bidi w:val="0"/>
        <w:adjustRightInd/>
        <w:snapToGrid/>
        <w:spacing w:before="0" w:after="0" w:line="360" w:lineRule="auto"/>
        <w:ind w:left="821" w:leftChars="100" w:right="0" w:rightChars="0"/>
        <w:jc w:val="left"/>
        <w:textAlignment w:val="auto"/>
        <w:rPr>
          <w:color w:val="0000FF"/>
          <w:sz w:val="24"/>
        </w:rPr>
      </w:pPr>
      <w:bookmarkStart w:id="138" w:name="3.1.7.3 堆肥生产工艺"/>
      <w:bookmarkEnd w:id="138"/>
      <w:bookmarkStart w:id="139" w:name="3.1.7.3 堆肥生产工艺"/>
      <w:bookmarkEnd w:id="139"/>
      <w:r>
        <w:rPr>
          <w:color w:val="0000FF"/>
          <w:sz w:val="24"/>
        </w:rPr>
        <w:t>堆肥生产工艺</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left="220" w:leftChars="100" w:right="548" w:firstLine="480"/>
        <w:jc w:val="both"/>
        <w:textAlignment w:val="auto"/>
        <w:rPr>
          <w:color w:val="0000FF"/>
        </w:rPr>
      </w:pPr>
      <w:r>
        <w:rPr>
          <w:color w:val="0000FF"/>
          <w:spacing w:val="-6"/>
        </w:rPr>
        <w:t>粪污应进行无害化处理与资源化利用，宜采用高温堆肥发酵处理方式对固体</w:t>
      </w:r>
      <w:r>
        <w:rPr>
          <w:color w:val="0000FF"/>
          <w:spacing w:val="-12"/>
        </w:rPr>
        <w:t>粪污进行无害化处理，利用堆积发酵时产生的生物热杀灭病原微生物和虫卵，然后用作有机肥还田，处理结果应符合《粪便无害化卫生要求》</w:t>
      </w:r>
      <w:r>
        <w:rPr>
          <w:color w:val="0000FF"/>
          <w:spacing w:val="-2"/>
        </w:rPr>
        <w:t>（</w:t>
      </w:r>
      <w:r>
        <w:rPr>
          <w:rFonts w:ascii="Times New Roman" w:eastAsia="Times New Roman"/>
          <w:color w:val="0000FF"/>
          <w:spacing w:val="-2"/>
        </w:rPr>
        <w:t>GB7959-2012</w:t>
      </w:r>
      <w:r>
        <w:rPr>
          <w:color w:val="0000FF"/>
          <w:spacing w:val="-2"/>
        </w:rPr>
        <w:t>）</w:t>
      </w:r>
      <w:r>
        <w:rPr>
          <w:color w:val="0000FF"/>
        </w:rPr>
        <w:t>的要求，禁止未经处理的畜禽粪便直接施入农田。</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77" w:firstLine="480"/>
        <w:textAlignment w:val="auto"/>
        <w:rPr>
          <w:color w:val="0000FF"/>
        </w:rPr>
      </w:pPr>
      <w:r>
        <w:rPr>
          <w:color w:val="0000FF"/>
          <w:spacing w:val="-9"/>
        </w:rPr>
        <w:t>项目采用干清粪工艺，粪便通过固液分离后，固体粪便排往堆肥厂堆肥处理</w:t>
      </w:r>
      <w:r>
        <w:rPr>
          <w:color w:val="0000FF"/>
        </w:rPr>
        <w:t>后施肥于周边农田。</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77" w:firstLine="480"/>
        <w:textAlignment w:val="auto"/>
        <w:rPr>
          <w:color w:val="0000FF"/>
        </w:rPr>
      </w:pPr>
      <w:r>
        <w:rPr>
          <w:color w:val="0000FF"/>
          <w:spacing w:val="-9"/>
        </w:rPr>
        <w:t>堆肥厂必须具有围堰、防雨、防渗、防臭等规范化的工程措施，环评建议堆</w:t>
      </w:r>
      <w:r>
        <w:rPr>
          <w:color w:val="0000FF"/>
        </w:rPr>
        <w:t>肥场设置于室内，减少臭气无组织排放。</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color w:val="0000FF"/>
        </w:rPr>
      </w:pPr>
      <w:r>
        <w:rPr>
          <w:color w:val="0000FF"/>
        </w:rPr>
        <w:t>本项目堆肥工艺如下：</w:t>
      </w:r>
    </w:p>
    <w:p>
      <w:pPr>
        <w:pStyle w:val="7"/>
        <w:keepNext w:val="0"/>
        <w:keepLines w:val="0"/>
        <w:pageBreakBefore w:val="0"/>
        <w:widowControl w:val="0"/>
        <w:kinsoku/>
        <w:wordWrap/>
        <w:overflowPunct/>
        <w:topLinePunct w:val="0"/>
        <w:autoSpaceDE w:val="0"/>
        <w:autoSpaceDN w:val="0"/>
        <w:bidi w:val="0"/>
        <w:adjustRightInd/>
        <w:snapToGrid/>
        <w:spacing w:before="143" w:line="360" w:lineRule="auto"/>
        <w:ind w:left="220" w:leftChars="100" w:right="575" w:firstLine="480"/>
        <w:textAlignment w:val="auto"/>
        <w:rPr>
          <w:color w:val="0000FF"/>
        </w:rPr>
      </w:pPr>
      <w:r>
        <w:rPr>
          <w:color w:val="0000FF"/>
        </w:rPr>
        <w:t>根据《畜禽养殖业污染防治技术规范》（</w:t>
      </w:r>
      <w:r>
        <w:rPr>
          <w:rFonts w:ascii="Times New Roman" w:eastAsia="Times New Roman"/>
          <w:color w:val="0000FF"/>
        </w:rPr>
        <w:t>HJ/T81-2001</w:t>
      </w:r>
      <w:r>
        <w:rPr>
          <w:color w:val="0000FF"/>
        </w:rPr>
        <w:t>），用于直接还田的</w:t>
      </w:r>
      <w:r>
        <w:rPr>
          <w:color w:val="0000FF"/>
          <w:spacing w:val="8"/>
        </w:rPr>
        <w:t>畜禽粪便必须进行无害化处理，参照《农业固体废物污染控制技术导则》</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color w:val="0000FF"/>
        </w:rPr>
      </w:pPr>
      <w:r>
        <w:rPr>
          <w:color w:val="0000FF"/>
        </w:rPr>
        <w:t>（</w:t>
      </w:r>
      <w:r>
        <w:rPr>
          <w:rFonts w:ascii="Times New Roman" w:eastAsia="Times New Roman"/>
          <w:color w:val="0000FF"/>
        </w:rPr>
        <w:t>HJ588-2010</w:t>
      </w:r>
      <w:r>
        <w:rPr>
          <w:color w:val="0000FF"/>
        </w:rPr>
        <w:t>）</w:t>
      </w:r>
      <w:r>
        <w:rPr>
          <w:color w:val="0000FF"/>
          <w:spacing w:val="14"/>
        </w:rPr>
        <w:t>中畜禽粪便的处理方法，达到《粪便无害化卫生要求》</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left="220" w:leftChars="100"/>
        <w:textAlignment w:val="auto"/>
        <w:rPr>
          <w:color w:val="0000FF"/>
        </w:rPr>
      </w:pPr>
      <w:r>
        <w:rPr>
          <w:color w:val="0000FF"/>
        </w:rPr>
        <w:t>（</w:t>
      </w:r>
      <w:r>
        <w:rPr>
          <w:rFonts w:ascii="Times New Roman" w:eastAsia="Times New Roman"/>
          <w:color w:val="0000FF"/>
        </w:rPr>
        <w:t>GB7959-2012</w:t>
      </w:r>
      <w:r>
        <w:rPr>
          <w:color w:val="0000FF"/>
        </w:rPr>
        <w:t>）中畜禽养殖业废渣无害化处置技术要求后还田利用。</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53" w:after="0" w:line="360" w:lineRule="auto"/>
        <w:ind w:leftChars="100" w:right="0" w:rightChars="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概述</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7" w:firstLine="480"/>
        <w:textAlignment w:val="auto"/>
      </w:pPr>
      <w:r>
        <w:rPr>
          <w:spacing w:val="-12"/>
        </w:rPr>
        <w:t>堆肥：指将畜禽粪便等有机固体废物集中堆放并在微生物作用下使有机物发</w:t>
      </w:r>
      <w:r>
        <w:t>生生物降解，形成一种类似腐殖质土壤的物质过程。</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220" w:leftChars="100" w:right="485" w:firstLine="480"/>
        <w:textAlignment w:val="auto"/>
      </w:pPr>
      <w:r>
        <w:t>腐熟度指堆肥过程中的有机质经过矿化、腐殖化过程最后达到稳定的程度，是反映堆肥化过程中稳定化程度的指标。</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77" w:firstLine="480"/>
        <w:textAlignment w:val="auto"/>
      </w:pPr>
      <w:r>
        <w:rPr>
          <w:spacing w:val="-8"/>
        </w:rPr>
        <w:t>无害化处理指利用高温、好氧或厌氧等工艺杀灭畜禽粪污中病原菌、寄生虫</w:t>
      </w:r>
      <w:r>
        <w:t>和杂草种子的过程。</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pPr>
      <w:r>
        <w:t>本项目采用好氧堆肥技术进行无害化处理，即在充分供氧的条件下，利用氧微生物对废物进行堆肥的方法。</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7" w:firstLine="480"/>
        <w:jc w:val="both"/>
        <w:textAlignment w:val="auto"/>
      </w:pPr>
      <w:r>
        <w:rPr>
          <w:spacing w:val="-7"/>
        </w:rPr>
        <w:t>堆肥发酵过程通常包括前处理、好氧发酵、后处理和贮存等环节。发酵前需</w:t>
      </w:r>
      <w:r>
        <w:rPr>
          <w:spacing w:val="-9"/>
        </w:rPr>
        <w:t>与发酵菌剂、秸秆混合，同时调节水分、碳氮比等指标，发酵过程中不断进行翻</w:t>
      </w:r>
      <w:r>
        <w:t>堆，从而促使其腐熟。</w:t>
      </w:r>
    </w:p>
    <w:p>
      <w:pPr>
        <w:pStyle w:val="18"/>
        <w:keepNext w:val="0"/>
        <w:keepLines w:val="0"/>
        <w:pageBreakBefore w:val="0"/>
        <w:widowControl w:val="0"/>
        <w:numPr>
          <w:ilvl w:val="0"/>
          <w:numId w:val="24"/>
        </w:numPr>
        <w:tabs>
          <w:tab w:val="left" w:pos="1625"/>
        </w:tabs>
        <w:kinsoku/>
        <w:wordWrap/>
        <w:overflowPunct/>
        <w:topLinePunct w:val="0"/>
        <w:autoSpaceDE w:val="0"/>
        <w:autoSpaceDN w:val="0"/>
        <w:bidi w:val="0"/>
        <w:adjustRightInd/>
        <w:snapToGrid/>
        <w:spacing w:before="5" w:after="0" w:line="360" w:lineRule="auto"/>
        <w:ind w:left="220" w:leftChars="100" w:right="577" w:firstLine="480"/>
        <w:jc w:val="left"/>
        <w:textAlignment w:val="auto"/>
        <w:rPr>
          <w:sz w:val="24"/>
        </w:rPr>
      </w:pPr>
      <w:r>
        <w:rPr>
          <w:sz w:val="24"/>
        </w:rPr>
        <w:t>根据《畜禽养殖业污染治理工程技术规范》（</w:t>
      </w:r>
      <w:r>
        <w:rPr>
          <w:rFonts w:ascii="Times New Roman" w:eastAsia="Times New Roman"/>
          <w:sz w:val="24"/>
        </w:rPr>
        <w:t>HJ497-2009</w:t>
      </w:r>
      <w:r>
        <w:rPr>
          <w:sz w:val="24"/>
        </w:rPr>
        <w:t>），堆肥厂地的设计满足下列规定：</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pPr>
      <w:r>
        <w:t>①堆肥厂地一般应由粪便储存池、堆肥厂地以及成品堆肥存放场地组成。</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23" w:firstLine="480"/>
        <w:textAlignment w:val="auto"/>
      </w:pPr>
      <w:r>
        <w:t>②采用间歇式堆肥处理时，粪便储存池的有效体积应按照至少能容纳</w:t>
      </w:r>
      <w:r>
        <w:rPr>
          <w:rFonts w:ascii="Times New Roman" w:hAnsi="Times New Roman" w:eastAsia="Times New Roman"/>
        </w:rPr>
        <w:t>6</w:t>
      </w:r>
      <w:r>
        <w:t>个月粪便产生量计算。</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pPr>
      <w:r>
        <w:t>③应采取防渗措施，不得对地下水造成污染。</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textAlignment w:val="auto"/>
      </w:pPr>
      <w:r>
        <w:t>④应配置防雨淋设施和雨水排水系统。</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53" w:after="0" w:line="360" w:lineRule="auto"/>
        <w:ind w:leftChars="100" w:right="0" w:rightChars="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堆肥工序</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left="220" w:leftChars="100"/>
        <w:textAlignment w:val="auto"/>
      </w:pPr>
      <w:r>
        <w:t>好氧堆肥由预处理、发酵、后处理、贮存等工序组成。</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right="577" w:firstLine="480"/>
        <w:textAlignment w:val="auto"/>
      </w:pPr>
      <w:r>
        <w:rPr>
          <w:spacing w:val="-5"/>
        </w:rPr>
        <w:t>预处理和后处理过程中分选出的石头等杂物应进行妥善处理。畜禽粪便经过</w:t>
      </w:r>
      <w:r>
        <w:t>预处理调整水分和碳氮比（</w:t>
      </w:r>
      <w:r>
        <w:rPr>
          <w:rFonts w:ascii="Times New Roman" w:eastAsia="Times New Roman"/>
        </w:rPr>
        <w:t>C/N</w:t>
      </w:r>
      <w:r>
        <w:t>），应符合下列要求：</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pPr>
      <w:r>
        <w:t>①堆肥粪便的起始含水率应为</w:t>
      </w:r>
      <w:r>
        <w:rPr>
          <w:rFonts w:ascii="Times New Roman" w:hAnsi="Times New Roman" w:eastAsia="Times New Roman"/>
        </w:rPr>
        <w:t>40%</w:t>
      </w:r>
      <w:r>
        <w:t>～</w:t>
      </w:r>
      <w:r>
        <w:rPr>
          <w:rFonts w:ascii="Times New Roman" w:hAnsi="Times New Roman" w:eastAsia="Times New Roman"/>
        </w:rPr>
        <w:t>60%</w:t>
      </w:r>
      <w:r>
        <w:t>；</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5" w:firstLine="480"/>
        <w:textAlignment w:val="auto"/>
      </w:pPr>
      <w:r>
        <w:t>②碳氮比应为</w:t>
      </w:r>
      <w:r>
        <w:rPr>
          <w:rFonts w:ascii="Times New Roman" w:hAnsi="Times New Roman" w:eastAsia="Times New Roman"/>
        </w:rPr>
        <w:t>20:1</w:t>
      </w:r>
      <w:r>
        <w:t>～</w:t>
      </w:r>
      <w:r>
        <w:rPr>
          <w:rFonts w:ascii="Times New Roman" w:hAnsi="Times New Roman" w:eastAsia="Times New Roman"/>
        </w:rPr>
        <w:t>30:1</w:t>
      </w:r>
      <w:r>
        <w:t>，可通过添加植物秸秆、稻壳等物料进行调节，必要时添加菌剂和酶制剂；</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4211"/>
        <w:textAlignment w:val="auto"/>
      </w:pPr>
      <w:r>
        <w:t>③堆肥粪便的</w:t>
      </w:r>
      <w:r>
        <w:rPr>
          <w:rFonts w:ascii="Times New Roman" w:hAnsi="Times New Roman" w:eastAsia="Times New Roman"/>
        </w:rPr>
        <w:t>pH</w:t>
      </w:r>
      <w:r>
        <w:rPr>
          <w:spacing w:val="-12"/>
        </w:rPr>
        <w:t>应控制在</w:t>
      </w:r>
      <w:r>
        <w:rPr>
          <w:rFonts w:ascii="Times New Roman" w:hAnsi="Times New Roman" w:eastAsia="Times New Roman"/>
        </w:rPr>
        <w:t>6.5</w:t>
      </w:r>
      <w:r>
        <w:t>～</w:t>
      </w:r>
      <w:r>
        <w:rPr>
          <w:rFonts w:ascii="Times New Roman" w:hAnsi="Times New Roman" w:eastAsia="Times New Roman"/>
        </w:rPr>
        <w:t>8.5</w:t>
      </w:r>
      <w:r>
        <w:rPr>
          <w:spacing w:val="-18"/>
        </w:rPr>
        <w:t>。</w:t>
      </w:r>
      <w:r>
        <w:t>好氧发酵过程应符合下列要求：</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77" w:firstLine="480"/>
        <w:textAlignment w:val="auto"/>
      </w:pPr>
      <w:r>
        <w:rPr>
          <w:spacing w:val="-5"/>
        </w:rPr>
        <w:t>①发酵过程温度控制在</w:t>
      </w:r>
      <w:r>
        <w:rPr>
          <w:rFonts w:ascii="Times New Roman" w:hAnsi="Times New Roman" w:eastAsia="Times New Roman"/>
          <w:spacing w:val="-3"/>
        </w:rPr>
        <w:t>55</w:t>
      </w:r>
      <w:r>
        <w:rPr>
          <w:spacing w:val="-3"/>
        </w:rPr>
        <w:t>～</w:t>
      </w:r>
      <w:r>
        <w:rPr>
          <w:rFonts w:ascii="Times New Roman" w:hAnsi="Times New Roman" w:eastAsia="Times New Roman"/>
          <w:spacing w:val="-3"/>
        </w:rPr>
        <w:t>65</w:t>
      </w:r>
      <w:r>
        <w:rPr>
          <w:spacing w:val="-7"/>
        </w:rPr>
        <w:t>℃，且持续时间不得少于</w:t>
      </w:r>
      <w:r>
        <w:rPr>
          <w:rFonts w:ascii="Times New Roman" w:hAnsi="Times New Roman" w:eastAsia="Times New Roman"/>
        </w:rPr>
        <w:t>5</w:t>
      </w:r>
      <w:r>
        <w:rPr>
          <w:spacing w:val="-6"/>
        </w:rPr>
        <w:t>天，最高温度不</w:t>
      </w:r>
      <w:r>
        <w:rPr>
          <w:spacing w:val="-15"/>
        </w:rPr>
        <w:t>宜超过</w:t>
      </w:r>
      <w:r>
        <w:rPr>
          <w:rFonts w:ascii="Times New Roman" w:hAnsi="Times New Roman" w:eastAsia="Times New Roman"/>
        </w:rPr>
        <w:t>75</w:t>
      </w:r>
      <w:r>
        <w:t>℃；</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80" w:firstLine="480"/>
        <w:textAlignment w:val="auto"/>
      </w:pPr>
      <w:r>
        <w:t>②堆肥时间应根据碳氮比、湿度、天气条件、堆肥工艺类型及废物和添加剂种类确定；</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pPr>
      <w:r>
        <w:t>③堆肥各点的氧气浓度不应低于</w:t>
      </w:r>
      <w:r>
        <w:rPr>
          <w:rFonts w:ascii="Times New Roman" w:hAnsi="Times New Roman" w:eastAsia="Times New Roman"/>
        </w:rPr>
        <w:t>10%</w:t>
      </w:r>
      <w:r>
        <w:t>；</w:t>
      </w:r>
    </w:p>
    <w:p>
      <w:pPr>
        <w:pStyle w:val="7"/>
        <w:keepNext w:val="0"/>
        <w:keepLines w:val="0"/>
        <w:pageBreakBefore w:val="0"/>
        <w:widowControl w:val="0"/>
        <w:kinsoku/>
        <w:wordWrap/>
        <w:overflowPunct/>
        <w:topLinePunct w:val="0"/>
        <w:autoSpaceDE w:val="0"/>
        <w:autoSpaceDN w:val="0"/>
        <w:bidi w:val="0"/>
        <w:adjustRightInd/>
        <w:snapToGrid/>
        <w:spacing w:before="152" w:line="360" w:lineRule="auto"/>
        <w:ind w:left="220" w:leftChars="100" w:right="580" w:firstLine="480"/>
        <w:textAlignment w:val="auto"/>
      </w:pPr>
      <w:r>
        <w:t>④可适时采用翻堆方式自然通风或设有其它机械通风装置换气，以调节堆肥物料的氧气浓度和温度。</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pPr>
      <w:r>
        <w:t>发酵结束时，应符合下列要求：</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textAlignment w:val="auto"/>
      </w:pPr>
      <w:r>
        <w:t>①碳氮比不大于</w:t>
      </w:r>
      <w:r>
        <w:rPr>
          <w:rFonts w:ascii="Times New Roman" w:hAnsi="Times New Roman" w:eastAsia="Times New Roman"/>
        </w:rPr>
        <w:t>20:1</w:t>
      </w:r>
      <w:r>
        <w:t>；</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textAlignment w:val="auto"/>
      </w:pPr>
      <w:r>
        <w:t>②含水率为</w:t>
      </w:r>
      <w:r>
        <w:rPr>
          <w:rFonts w:ascii="Times New Roman" w:hAnsi="Times New Roman" w:eastAsia="Times New Roman"/>
        </w:rPr>
        <w:t>20%</w:t>
      </w:r>
      <w:r>
        <w:t>～</w:t>
      </w:r>
      <w:r>
        <w:rPr>
          <w:rFonts w:ascii="Times New Roman" w:hAnsi="Times New Roman" w:eastAsia="Times New Roman"/>
        </w:rPr>
        <w:t>35%</w:t>
      </w:r>
      <w:r>
        <w:t>；</w:t>
      </w:r>
    </w:p>
    <w:p>
      <w:pPr>
        <w:pStyle w:val="7"/>
        <w:keepNext w:val="0"/>
        <w:keepLines w:val="0"/>
        <w:pageBreakBefore w:val="0"/>
        <w:widowControl w:val="0"/>
        <w:kinsoku/>
        <w:wordWrap/>
        <w:overflowPunct/>
        <w:topLinePunct w:val="0"/>
        <w:autoSpaceDE w:val="0"/>
        <w:autoSpaceDN w:val="0"/>
        <w:bidi w:val="0"/>
        <w:adjustRightInd/>
        <w:snapToGrid/>
        <w:spacing w:before="66" w:line="360" w:lineRule="auto"/>
        <w:ind w:left="220" w:leftChars="100"/>
        <w:textAlignment w:val="auto"/>
      </w:pPr>
      <w:r>
        <w:t>③堆肥应符合无害化卫生要求的规定；</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textAlignment w:val="auto"/>
      </w:pPr>
      <w:r>
        <w:t>④耗氧速率趋于稳定；</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textAlignment w:val="auto"/>
      </w:pPr>
      <w:r>
        <w:t>⑤腐熟度应大于等于Ⅳ级。</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left="220" w:leftChars="100" w:right="575" w:firstLine="480"/>
        <w:textAlignment w:val="auto"/>
      </w:pPr>
      <w:r>
        <w:rPr>
          <w:spacing w:val="-7"/>
        </w:rPr>
        <w:t>发酵完毕后应进行后处理，确保堆肥制品质量合格。后处理包括再干燥、破</w:t>
      </w:r>
      <w:r>
        <w:t>碎、造粒、过筛、包装至成品等工序。</w:t>
      </w:r>
    </w:p>
    <w:p>
      <w:pPr>
        <w:pStyle w:val="18"/>
        <w:keepNext w:val="0"/>
        <w:keepLines w:val="0"/>
        <w:pageBreakBefore w:val="0"/>
        <w:widowControl w:val="0"/>
        <w:numPr>
          <w:ilvl w:val="0"/>
          <w:numId w:val="24"/>
        </w:numPr>
        <w:tabs>
          <w:tab w:val="left" w:pos="1621"/>
        </w:tabs>
        <w:kinsoku/>
        <w:wordWrap/>
        <w:overflowPunct/>
        <w:topLinePunct w:val="0"/>
        <w:autoSpaceDE w:val="0"/>
        <w:autoSpaceDN w:val="0"/>
        <w:bidi w:val="0"/>
        <w:adjustRightInd/>
        <w:snapToGrid/>
        <w:spacing w:before="0" w:after="0" w:line="360" w:lineRule="auto"/>
        <w:ind w:left="821" w:leftChars="100" w:right="0" w:hanging="601"/>
        <w:jc w:val="left"/>
        <w:textAlignment w:val="auto"/>
        <w:rPr>
          <w:sz w:val="24"/>
        </w:rPr>
      </w:pPr>
      <w:r>
        <w:rPr>
          <w:sz w:val="24"/>
        </w:rPr>
        <w:t>堆肥制品应符合下列要求</w:t>
      </w:r>
    </w:p>
    <w:p>
      <w:pPr>
        <w:pStyle w:val="7"/>
        <w:keepNext w:val="0"/>
        <w:keepLines w:val="0"/>
        <w:pageBreakBefore w:val="0"/>
        <w:widowControl w:val="0"/>
        <w:kinsoku/>
        <w:wordWrap/>
        <w:overflowPunct/>
        <w:topLinePunct w:val="0"/>
        <w:autoSpaceDE w:val="0"/>
        <w:autoSpaceDN w:val="0"/>
        <w:bidi w:val="0"/>
        <w:adjustRightInd/>
        <w:snapToGrid/>
        <w:spacing w:before="151" w:line="360" w:lineRule="auto"/>
        <w:ind w:left="220" w:leftChars="100"/>
        <w:textAlignment w:val="auto"/>
      </w:pPr>
      <w:r>
        <w:t>①堆肥产品存放时，含水率应不高于</w:t>
      </w:r>
      <w:r>
        <w:rPr>
          <w:rFonts w:ascii="Times New Roman" w:hAnsi="Times New Roman" w:eastAsia="Times New Roman"/>
        </w:rPr>
        <w:t>30%</w:t>
      </w:r>
      <w:r>
        <w:t>，袋装堆肥含水率应不高于</w:t>
      </w:r>
      <w:r>
        <w:rPr>
          <w:rFonts w:ascii="Times New Roman" w:hAnsi="Times New Roman" w:eastAsia="Times New Roman"/>
        </w:rPr>
        <w:t>20%</w:t>
      </w:r>
      <w:r>
        <w:t>；</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textAlignment w:val="auto"/>
      </w:pPr>
      <w:r>
        <w:t>②堆肥产品的含盐量应在</w:t>
      </w:r>
      <w:r>
        <w:rPr>
          <w:rFonts w:ascii="Times New Roman" w:hAnsi="Times New Roman" w:eastAsia="Times New Roman"/>
        </w:rPr>
        <w:t>1%</w:t>
      </w:r>
      <w:r>
        <w:t>～</w:t>
      </w:r>
      <w:r>
        <w:rPr>
          <w:rFonts w:ascii="Times New Roman" w:hAnsi="Times New Roman" w:eastAsia="Times New Roman"/>
        </w:rPr>
        <w:t>2%</w:t>
      </w:r>
      <w:r>
        <w:t>；</w:t>
      </w:r>
    </w:p>
    <w:p>
      <w:pPr>
        <w:pStyle w:val="7"/>
        <w:keepNext w:val="0"/>
        <w:keepLines w:val="0"/>
        <w:pageBreakBefore w:val="0"/>
        <w:widowControl w:val="0"/>
        <w:kinsoku/>
        <w:wordWrap/>
        <w:overflowPunct/>
        <w:topLinePunct w:val="0"/>
        <w:autoSpaceDE w:val="0"/>
        <w:autoSpaceDN w:val="0"/>
        <w:bidi w:val="0"/>
        <w:adjustRightInd/>
        <w:snapToGrid/>
        <w:spacing w:before="153" w:after="10" w:line="360" w:lineRule="auto"/>
        <w:ind w:left="220" w:leftChars="100" w:right="457"/>
        <w:textAlignment w:val="auto"/>
      </w:pPr>
      <w:r>
        <w:rPr>
          <w:spacing w:val="-7"/>
        </w:rPr>
        <w:t>③成品堆肥外观应为茶褐色或黑褐色，无恶臭，质地松散，具有泥土气味。</w:t>
      </w:r>
      <w:r>
        <w:rPr>
          <w:spacing w:val="-4"/>
        </w:rPr>
        <w:t>本项目堆肥工艺流程及产污环节如下图</w:t>
      </w:r>
      <w:r>
        <w:rPr>
          <w:rFonts w:ascii="Times New Roman" w:hAnsi="Times New Roman" w:eastAsia="Times New Roman"/>
        </w:rPr>
        <w:t>3.1-7</w:t>
      </w:r>
      <w:r>
        <w:t>。</w:t>
      </w:r>
    </w:p>
    <w:p>
      <w:pPr>
        <w:pStyle w:val="7"/>
        <w:ind w:left="1202"/>
        <w:rPr>
          <w:sz w:val="20"/>
        </w:rPr>
      </w:pPr>
      <w:r>
        <w:drawing>
          <wp:inline distT="0" distB="0" distL="114300" distR="114300">
            <wp:extent cx="4509135" cy="4658995"/>
            <wp:effectExtent l="0" t="0" r="571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1"/>
                    <a:stretch>
                      <a:fillRect/>
                    </a:stretch>
                  </pic:blipFill>
                  <pic:spPr>
                    <a:xfrm>
                      <a:off x="0" y="0"/>
                      <a:ext cx="4509135" cy="4658995"/>
                    </a:xfrm>
                    <a:prstGeom prst="rect">
                      <a:avLst/>
                    </a:prstGeom>
                    <a:noFill/>
                    <a:ln>
                      <a:noFill/>
                    </a:ln>
                  </pic:spPr>
                </pic:pic>
              </a:graphicData>
            </a:graphic>
          </wp:inline>
        </w:drawing>
      </w:r>
    </w:p>
    <w:p>
      <w:pPr>
        <w:pStyle w:val="7"/>
        <w:spacing w:before="6"/>
        <w:ind w:left="0"/>
        <w:rPr>
          <w:sz w:val="10"/>
        </w:rPr>
      </w:pPr>
    </w:p>
    <w:p>
      <w:pPr>
        <w:keepNext w:val="0"/>
        <w:keepLines w:val="0"/>
        <w:pageBreakBefore w:val="0"/>
        <w:widowControl w:val="0"/>
        <w:tabs>
          <w:tab w:val="left" w:pos="4132"/>
        </w:tabs>
        <w:kinsoku/>
        <w:wordWrap/>
        <w:overflowPunct/>
        <w:topLinePunct w:val="0"/>
        <w:autoSpaceDE w:val="0"/>
        <w:autoSpaceDN w:val="0"/>
        <w:bidi w:val="0"/>
        <w:adjustRightInd/>
        <w:snapToGrid/>
        <w:spacing w:before="74" w:line="360" w:lineRule="auto"/>
        <w:ind w:left="220" w:leftChars="100" w:right="2641" w:firstLine="1593"/>
        <w:jc w:val="left"/>
        <w:textAlignment w:val="auto"/>
        <w:rPr>
          <w:sz w:val="24"/>
        </w:rPr>
      </w:pPr>
      <w:r>
        <w:rPr>
          <w:b/>
          <w:sz w:val="24"/>
        </w:rPr>
        <w:t>图</w:t>
      </w:r>
      <w:r>
        <w:rPr>
          <w:rFonts w:ascii="Times New Roman" w:eastAsia="Times New Roman"/>
          <w:b/>
          <w:sz w:val="24"/>
        </w:rPr>
        <w:t>3.1-7</w:t>
      </w:r>
      <w:r>
        <w:rPr>
          <w:rFonts w:ascii="Times New Roman" w:eastAsia="Times New Roman"/>
          <w:b/>
          <w:sz w:val="24"/>
        </w:rPr>
        <w:tab/>
      </w:r>
      <w:r>
        <w:rPr>
          <w:b/>
          <w:sz w:val="24"/>
        </w:rPr>
        <w:t>堆肥工艺流程及产污环</w:t>
      </w:r>
      <w:r>
        <w:rPr>
          <w:b/>
          <w:spacing w:val="-15"/>
          <w:sz w:val="24"/>
        </w:rPr>
        <w:t>节</w:t>
      </w:r>
      <w:r>
        <w:rPr>
          <w:sz w:val="24"/>
        </w:rPr>
        <w:t>工艺流程简述：</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220" w:leftChars="100"/>
        <w:textAlignment w:val="auto"/>
      </w:pPr>
      <w:r>
        <w:t>粪污、垫料弃物、粗饲料废弃物经过堆沤发酵，施肥还田。</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220" w:leftChars="100"/>
        <w:textAlignment w:val="auto"/>
      </w:pPr>
      <w:r>
        <w:t>采用好氧发酵工艺，工艺流程分为预处理、发酵、腐熟三个阶段。其中发酵</w:t>
      </w:r>
    </w:p>
    <w:p>
      <w:pPr>
        <w:pStyle w:val="7"/>
        <w:keepNext w:val="0"/>
        <w:keepLines w:val="0"/>
        <w:pageBreakBefore w:val="0"/>
        <w:widowControl w:val="0"/>
        <w:kinsoku/>
        <w:wordWrap/>
        <w:overflowPunct/>
        <w:topLinePunct w:val="0"/>
        <w:autoSpaceDE w:val="0"/>
        <w:autoSpaceDN w:val="0"/>
        <w:bidi w:val="0"/>
        <w:adjustRightInd/>
        <w:snapToGrid/>
        <w:spacing w:before="143" w:line="360" w:lineRule="auto"/>
        <w:ind w:left="220" w:leftChars="100"/>
        <w:textAlignment w:val="auto"/>
      </w:pPr>
      <w:r>
        <w:t>阶段包括除臭工艺。</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220" w:leftChars="100" w:right="577" w:firstLine="480"/>
        <w:textAlignment w:val="auto"/>
      </w:pPr>
      <w:r>
        <w:rPr>
          <w:spacing w:val="-6"/>
        </w:rPr>
        <w:t>预处理：发酵主料</w:t>
      </w:r>
      <w:r>
        <w:t>（粪</w:t>
      </w:r>
      <w:r>
        <w:rPr>
          <w:spacing w:val="-17"/>
        </w:rPr>
        <w:t>）</w:t>
      </w:r>
      <w:r>
        <w:rPr>
          <w:spacing w:val="-5"/>
        </w:rPr>
        <w:t>和辅料</w:t>
      </w:r>
      <w:r>
        <w:t>（</w:t>
      </w:r>
      <w:r>
        <w:rPr>
          <w:spacing w:val="-3"/>
        </w:rPr>
        <w:t>粗饲料废弃物、废弃垫料</w:t>
      </w:r>
      <w:r>
        <w:rPr>
          <w:spacing w:val="-17"/>
        </w:rPr>
        <w:t>）</w:t>
      </w:r>
      <w:r>
        <w:rPr>
          <w:spacing w:val="-3"/>
        </w:rPr>
        <w:t>按一定的比例</w:t>
      </w:r>
      <w:r>
        <w:t>混合均匀，秸秆类辅料需先经刈割处理。</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457" w:firstLine="480"/>
        <w:textAlignment w:val="auto"/>
      </w:pPr>
      <w:r>
        <w:rPr>
          <w:spacing w:val="-16"/>
        </w:rPr>
        <w:t>发酵：堆肥操作时，利用铲车将混合好的物料端入发酵场地内进行好氧发酵，</w:t>
      </w:r>
      <w:r>
        <w:t>发酵周期完成后，制成堆肥。</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220" w:leftChars="100" w:right="577" w:firstLine="480"/>
        <w:textAlignment w:val="auto"/>
      </w:pPr>
      <w:r>
        <w:rPr>
          <w:spacing w:val="-12"/>
        </w:rPr>
        <w:t>腐熟：经过发酵完成的物料根据需要一段时间进一步腐熟后的产品可以销售</w:t>
      </w:r>
      <w:r>
        <w:t>或者施肥还田。</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577" w:firstLine="480"/>
        <w:textAlignment w:val="auto"/>
      </w:pPr>
      <w:r>
        <w:rPr>
          <w:spacing w:val="2"/>
        </w:rPr>
        <w:t>本项目羊舍粪便采用人工干清粪，清理的干鲜粪集中在堆肥厂暂存发酵处</w:t>
      </w:r>
      <w:r>
        <w:rPr>
          <w:spacing w:val="-10"/>
        </w:rPr>
        <w:t>置，远期依托场区后期待建的有机肥厂制成商品有机肥出售。堆肥厂设计应满足</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577"/>
        <w:textAlignment w:val="auto"/>
      </w:pPr>
      <w:r>
        <w:rPr>
          <w:spacing w:val="-6"/>
        </w:rPr>
        <w:t>《畜禽养殖业污染治理工程技术规范》有关规定要求，强化防渗漏、防溢流、防</w:t>
      </w:r>
      <w:r>
        <w:t>臭措施。</w:t>
      </w:r>
    </w:p>
    <w:p>
      <w:pPr>
        <w:pStyle w:val="18"/>
        <w:keepNext w:val="0"/>
        <w:keepLines w:val="0"/>
        <w:pageBreakBefore w:val="0"/>
        <w:widowControl w:val="0"/>
        <w:numPr>
          <w:ilvl w:val="3"/>
          <w:numId w:val="21"/>
        </w:numPr>
        <w:tabs>
          <w:tab w:val="left" w:pos="1320"/>
        </w:tabs>
        <w:kinsoku/>
        <w:wordWrap/>
        <w:overflowPunct/>
        <w:topLinePunct w:val="0"/>
        <w:autoSpaceDE w:val="0"/>
        <w:autoSpaceDN w:val="0"/>
        <w:bidi w:val="0"/>
        <w:adjustRightInd/>
        <w:snapToGrid/>
        <w:spacing w:before="11" w:after="0" w:line="360" w:lineRule="auto"/>
        <w:ind w:left="1000" w:leftChars="100" w:right="0" w:hanging="780"/>
        <w:jc w:val="left"/>
        <w:textAlignment w:val="auto"/>
        <w:rPr>
          <w:sz w:val="24"/>
        </w:rPr>
      </w:pPr>
      <w:bookmarkStart w:id="140" w:name="3.1.7.4 病死羊尸体无害化处理工艺"/>
      <w:bookmarkEnd w:id="140"/>
      <w:bookmarkStart w:id="141" w:name="3.1.7.4 病死羊尸体无害化处理工艺"/>
      <w:bookmarkEnd w:id="141"/>
      <w:r>
        <w:rPr>
          <w:sz w:val="24"/>
        </w:rPr>
        <w:t>病死羊尸体无害化处理工艺</w:t>
      </w:r>
    </w:p>
    <w:p>
      <w:pPr>
        <w:pStyle w:val="7"/>
        <w:keepNext w:val="0"/>
        <w:keepLines w:val="0"/>
        <w:pageBreakBefore w:val="0"/>
        <w:widowControl w:val="0"/>
        <w:kinsoku/>
        <w:wordWrap/>
        <w:overflowPunct/>
        <w:topLinePunct w:val="0"/>
        <w:autoSpaceDE w:val="0"/>
        <w:autoSpaceDN w:val="0"/>
        <w:bidi w:val="0"/>
        <w:adjustRightInd/>
        <w:snapToGrid/>
        <w:spacing w:before="168" w:line="360" w:lineRule="auto"/>
        <w:ind w:left="220" w:leftChars="100"/>
        <w:textAlignment w:val="auto"/>
      </w:pPr>
      <w:r>
        <w:t>本项目病死羊采用无害化处理，具体处理工艺流程见图</w:t>
      </w:r>
      <w:r>
        <w:rPr>
          <w:rFonts w:ascii="Times New Roman" w:eastAsia="Times New Roman"/>
        </w:rPr>
        <w:t>3.1-8</w:t>
      </w:r>
      <w:r>
        <w:t>。</w:t>
      </w:r>
    </w:p>
    <w:p>
      <w:pPr>
        <w:pStyle w:val="7"/>
        <w:spacing w:before="2"/>
        <w:ind w:left="0"/>
        <w:rPr>
          <w:sz w:val="11"/>
        </w:rPr>
      </w:pPr>
      <w:r>
        <w:pict>
          <v:group id="_x0000_s1145" o:spid="_x0000_s1145" o:spt="203" style="position:absolute;left:0pt;margin-left:126.15pt;margin-top:9.1pt;height:257.25pt;width:321.7pt;mso-position-horizontal-relative:page;mso-wrap-distance-bottom:0pt;mso-wrap-distance-top:0pt;z-index:-251583488;mso-width-relative:page;mso-height-relative:page;" coordorigin="2524,182" coordsize="6434,5145">
            <o:lock v:ext="edit"/>
            <v:shape id="_x0000_s1146" o:spid="_x0000_s1146" o:spt="75" type="#_x0000_t75" style="position:absolute;left:2523;top:182;height:5145;width:6434;" filled="f" stroked="f" coordsize="21600,21600">
              <v:path/>
              <v:fill on="f" focussize="0,0"/>
              <v:stroke on="f"/>
              <v:imagedata r:id="rId42" o:title=""/>
              <o:lock v:ext="edit" aspectratio="t"/>
            </v:shape>
            <v:rect id="_x0000_s1147" o:spid="_x0000_s1147" o:spt="1" style="position:absolute;left:5076;top:956;height:437;width:1140;" fillcolor="#FFFFFF" filled="t" stroked="f" coordsize="21600,21600">
              <v:path/>
              <v:fill on="t" focussize="0,0"/>
              <v:stroke on="f"/>
              <v:imagedata o:title=""/>
              <o:lock v:ext="edit"/>
            </v:rect>
            <v:shape id="_x0000_s1148" o:spid="_x0000_s1148" style="position:absolute;left:5069;top:950;height:449;width:1152;" fillcolor="#000000" filled="t" stroked="f" coordorigin="5069,950" coordsize="1152,449" path="m6209,962l6167,962,6167,950,6215,950,6215,956,6209,956,6209,962xm6221,1002l6209,1002,6209,956,6215,956,6215,962,6221,962,6221,1002xm6221,962l6215,962,6215,956,6221,956,6221,962xm6131,962l6083,962,6083,950,6131,950,6131,962xm6047,962l5999,962,5999,950,6047,950,6047,962xm5963,962l5915,962,5915,950,5963,950,5963,962xm5879,962l5831,962,5831,950,5879,950,5879,962xm5795,962l5747,962,5747,950,5795,950,5795,962xm5711,962l5663,962,5663,950,5711,950,5711,962xm5627,962l5579,962,5579,950,5627,950,5627,962xm5543,962l5495,962,5495,950,5543,950,5543,962xm5459,962l5411,962,5411,950,5459,950,5459,962xm5375,962l5327,962,5327,950,5375,950,5375,962xm5291,962l5243,962,5243,950,5291,950,5291,962xm5207,962l5159,962,5159,950,5207,950,5207,962xm5123,962l5075,962,5075,950,5123,950,5123,962xm5081,1040l5069,1040,5069,992,5081,992,5081,1040xm5081,1124l5069,1124,5069,1076,5081,1076,5081,1124xm5081,1208l5069,1208,5069,1160,5081,1160,5081,1208xm5081,1292l5069,1292,5069,1244,5081,1244,5081,1292xm5081,1376l5069,1376,5069,1328,5081,1328,5081,1376xm5142,1399l5094,1399,5094,1387,5142,1387,5142,1399xm5226,1399l5178,1399,5178,1387,5226,1387,5226,1399xm5310,1399l5262,1399,5262,1387,5310,1387,5310,1399xm5394,1399l5346,1399,5346,1387,5394,1387,5394,1399xm5478,1399l5430,1399,5430,1387,5478,1387,5478,1399xm5562,1399l5514,1399,5514,1387,5562,1387,5562,1399xm5646,1399l5598,1399,5598,1387,5646,1387,5646,1399xm5730,1399l5682,1399,5682,1387,5730,1387,5730,1399xm5814,1399l5766,1399,5766,1387,5814,1387,5814,1399xm5898,1399l5850,1399,5850,1387,5898,1387,5898,1399xm5982,1399l5934,1399,5934,1387,5982,1387,5982,1399xm6066,1399l6018,1399,6018,1387,6066,1387,6066,1399xm6150,1399l6102,1399,6102,1387,6150,1387,6150,1399xm6209,1393l6209,1374,6221,1374,6221,1387,6215,1387,6209,1393xm6215,1399l6186,1399,6186,1387,6209,1387,6209,1393,6221,1393,6221,1396,6219,1398,6217,1399,6215,1399xm6221,1393l6209,1393,6215,1387,6221,1387,6221,1393xm6221,1338l6209,1338,6209,1290,6221,1290,6221,1338xm6221,1254l6209,1254,6209,1206,6221,1206,6221,1254xm6221,1170l6209,1170,6209,1122,6221,1122,6221,1170xm6221,1086l6209,1086,6209,1038,6221,1038,6221,1086xe">
              <v:path arrowok="t"/>
              <v:fill on="t" focussize="0,0"/>
              <v:stroke on="f"/>
              <v:imagedata o:title=""/>
              <o:lock v:ext="edit"/>
            </v:shape>
            <v:rect id="_x0000_s1149" o:spid="_x0000_s1149" o:spt="1" style="position:absolute;left:5104;top:3070;height:437;width:1229;" fillcolor="#FFFFFF" filled="t" stroked="f" coordsize="21600,21600">
              <v:path/>
              <v:fill on="t" focussize="0,0"/>
              <v:stroke on="f"/>
              <v:imagedata o:title=""/>
              <o:lock v:ext="edit"/>
            </v:rect>
            <v:shape id="_x0000_s1150" o:spid="_x0000_s1150" style="position:absolute;left:5099;top:3065;height:449;width:1241;" fillcolor="#000000" filled="t" stroked="f" coordorigin="5099,3065" coordsize="1241,449" path="m6334,3077l6286,3077,6286,3065,6334,3065,6334,3077xm6250,3077l6202,3077,6202,3065,6250,3065,6250,3077xm6166,3077l6118,3077,6118,3065,6166,3065,6166,3077xm6082,3077l6034,3077,6034,3065,6082,3065,6082,3077xm5998,3077l5950,3077,5950,3065,5998,3065,5998,3077xm5914,3077l5866,3077,5866,3065,5914,3065,5914,3077xm5830,3077l5782,3077,5782,3065,5830,3065,5830,3077xm5746,3077l5698,3077,5698,3065,5746,3065,5746,3077xm5662,3077l5614,3077,5614,3065,5662,3065,5662,3077xm5578,3077l5530,3077,5530,3065,5578,3065,5578,3077xm5494,3077l5446,3077,5446,3065,5494,3065,5494,3077xm5410,3077l5362,3077,5362,3065,5410,3065,5410,3077xm5326,3077l5278,3077,5278,3065,5326,3065,5326,3077xm5242,3077l5194,3077,5194,3065,5242,3065,5242,3077xm5158,3077l5110,3077,5110,3065,5158,3065,5158,3077xm5111,3150l5099,3150,5099,3102,5111,3102,5111,3150xm5111,3234l5099,3234,5099,3186,5111,3186,5111,3234xm5111,3318l5099,3318,5099,3270,5111,3270,5111,3318xm5111,3402l5099,3402,5099,3354,5111,3354,5111,3402xm5111,3486l5099,3486,5099,3438,5111,3438,5111,3486xm5167,3514l5119,3514,5119,3502,5167,3502,5167,3514xm5251,3514l5203,3514,5203,3502,5251,3502,5251,3514xm5335,3514l5287,3514,5287,3502,5335,3502,5335,3514xm5419,3514l5371,3514,5371,3502,5419,3502,5419,3514xm5503,3514l5455,3514,5455,3502,5503,3502,5503,3514xm5587,3514l5539,3514,5539,3502,5587,3502,5587,3514xm5671,3514l5623,3514,5623,3502,5671,3502,5671,3514xm5755,3514l5707,3514,5707,3502,5755,3502,5755,3514xm5839,3514l5791,3514,5791,3502,5839,3502,5839,3514xm5923,3514l5875,3514,5875,3502,5923,3502,5923,3514xm6007,3514l5959,3514,5959,3502,6007,3502,6007,3514xm6091,3514l6043,3514,6043,3502,6091,3502,6091,3514xm6175,3514l6127,3514,6127,3502,6175,3502,6175,3514xm6259,3514l6211,3514,6211,3502,6259,3502,6259,3514xm6328,3508l6328,3499,6340,3499,6340,3502,6334,3502,6328,3508xm6334,3514l6295,3514,6295,3502,6328,3502,6328,3508,6340,3508,6340,3511,6338,3513,6336,3514,6334,3514xm6340,3508l6328,3508,6334,3502,6340,3502,6340,3508xm6340,3463l6328,3463,6328,3415,6340,3415,6340,3463xm6340,3379l6328,3379,6328,3331,6340,3331,6340,3379xm6340,3295l6328,3295,6328,3247,6340,3247,6340,3295xm6340,3211l6328,3211,6328,3163,6340,3163,6340,3211xm6340,3127l6328,3127,6328,3079,6340,3079,6340,3127xe">
              <v:path arrowok="t"/>
              <v:fill on="t" focussize="0,0"/>
              <v:stroke on="f"/>
              <v:imagedata o:title=""/>
              <o:lock v:ext="edit"/>
            </v:shape>
            <v:rect id="_x0000_s1151" o:spid="_x0000_s1151" o:spt="1" style="position:absolute;left:5104;top:3896;height:437;width:1275;" fillcolor="#FFFFFF" filled="t" stroked="f" coordsize="21600,21600">
              <v:path/>
              <v:fill on="t" focussize="0,0"/>
              <v:stroke on="f"/>
              <v:imagedata o:title=""/>
              <o:lock v:ext="edit"/>
            </v:rect>
            <v:shape id="_x0000_s1152" o:spid="_x0000_s1152" style="position:absolute;left:5099;top:3890;height:449;width:1287;" fillcolor="#000000" filled="t" stroked="f" coordorigin="5099,3890" coordsize="1287,449" path="m6380,3902l6332,3902,6332,3890,6380,3890,6380,3902xm6296,3902l6248,3902,6248,3890,6296,3890,6296,3902xm6212,3902l6164,3902,6164,3890,6212,3890,6212,3902xm6128,3902l6080,3902,6080,3890,6128,3890,6128,3902xm6044,3902l5996,3902,5996,3890,6044,3890,6044,3902xm5960,3902l5912,3902,5912,3890,5960,3890,5960,3902xm5876,3902l5828,3902,5828,3890,5876,3890,5876,3902xm5792,3902l5744,3902,5744,3890,5792,3890,5792,3902xm5708,3902l5660,3902,5660,3890,5708,3890,5708,3902xm5624,3902l5576,3902,5576,3890,5624,3890,5624,3902xm5540,3902l5492,3902,5492,3890,5540,3890,5540,3902xm5456,3902l5408,3902,5408,3890,5456,3890,5456,3902xm5372,3902l5324,3902,5324,3890,5372,3890,5372,3902xm5288,3902l5240,3902,5240,3890,5288,3890,5288,3902xm5204,3902l5156,3902,5156,3890,5204,3890,5204,3902xm5111,3929l5099,3929,5099,3896,5099,3894,5101,3892,5103,3891,5105,3890,5120,3890,5120,3896,5111,3896,5105,3902,5111,3902,5111,3929xm5111,3902l5105,3902,5111,3896,5111,3902xm5120,3902l5111,3902,5111,3896,5120,3896,5120,3902xm5111,4013l5099,4013,5099,3965,5111,3965,5111,4013xm5111,4097l5099,4097,5099,4049,5111,4049,5111,4097xm5111,4181l5099,4181,5099,4133,5111,4133,5111,4181xm5111,4265l5099,4265,5099,4217,5111,4217,5111,4265xm5121,4339l5105,4339,5103,4339,5101,4338,5099,4336,5099,4333,5099,4301,5111,4301,5111,4327,5105,4327,5111,4333,5121,4333,5121,4339xm5111,4333l5105,4327,5111,4327,5111,4333xm5121,4333l5111,4333,5111,4327,5121,4327,5121,4333xm5205,4339l5157,4339,5157,4327,5205,4327,5205,4339xm5289,4339l5241,4339,5241,4327,5289,4327,5289,4339xm5373,4339l5325,4339,5325,4327,5373,4327,5373,4339xm5457,4339l5409,4339,5409,4327,5457,4327,5457,4339xm5541,4339l5493,4339,5493,4327,5541,4327,5541,4339xm5625,4339l5577,4339,5577,4327,5625,4327,5625,4339xm5709,4339l5661,4339,5661,4327,5709,4327,5709,4339xm5793,4339l5745,4339,5745,4327,5793,4327,5793,4339xm5877,4339l5829,4339,5829,4327,5877,4327,5877,4339xm5961,4339l5913,4339,5913,4327,5961,4327,5961,4339xm6045,4339l5997,4339,5997,4327,6045,4327,6045,4339xm6129,4339l6081,4339,6081,4327,6129,4327,6129,4339xm6213,4339l6165,4339,6165,4327,6213,4327,6213,4339xm6297,4339l6249,4339,6249,4327,6297,4327,6297,4339xm6380,4339l6333,4339,6333,4327,6374,4327,6374,4333,6386,4333,6386,4336,6384,4338,6382,4339,6380,4339xm6374,4333l6374,4327,6380,4327,6374,4333xm6386,4333l6374,4333,6375,4332,6386,4332,6386,4333xm6386,4296l6374,4296,6374,4248,6386,4248,6386,4296xm6386,4212l6374,4212,6374,4164,6386,4164,6386,4212xm6386,4128l6374,4128,6374,4080,6386,4080,6386,4128xm6386,4044l6374,4044,6374,3996,6386,3996,6386,4044xm6386,3960l6374,3960,6374,3912,6386,3912,6386,3960xe">
              <v:path arrowok="t"/>
              <v:fill on="t" focussize="0,0"/>
              <v:stroke on="f"/>
              <v:imagedata o:title=""/>
              <o:lock v:ext="edit"/>
            </v:shape>
            <v:shape id="_x0000_s1153" o:spid="_x0000_s1153" o:spt="202" type="#_x0000_t202" style="position:absolute;left:5104;top:3896;height:437;width:1275;" filled="f" stroked="f" coordsize="21600,21600">
              <v:path/>
              <v:fill on="f" focussize="0,0"/>
              <v:stroke on="f" joinstyle="miter"/>
              <v:imagedata o:title=""/>
              <o:lock v:ext="edit"/>
              <v:textbox inset="0mm,0mm,0mm,0mm">
                <w:txbxContent>
                  <w:p>
                    <w:pPr>
                      <w:spacing w:before="98"/>
                      <w:ind w:left="407" w:right="407" w:firstLine="0"/>
                      <w:jc w:val="center"/>
                      <w:rPr>
                        <w:sz w:val="21"/>
                      </w:rPr>
                    </w:pPr>
                    <w:r>
                      <w:rPr>
                        <w:sz w:val="21"/>
                      </w:rPr>
                      <w:t>油脂</w:t>
                    </w:r>
                  </w:p>
                </w:txbxContent>
              </v:textbox>
            </v:shape>
            <v:shape id="_x0000_s1154" o:spid="_x0000_s1154" o:spt="202" type="#_x0000_t202" style="position:absolute;left:5104;top:3070;height:437;width:1229;" filled="f" stroked="f" coordsize="21600,21600">
              <v:path/>
              <v:fill on="f" focussize="0,0"/>
              <v:stroke on="f" joinstyle="miter"/>
              <v:imagedata o:title=""/>
              <o:lock v:ext="edit"/>
              <v:textbox inset="0mm,0mm,0mm,0mm">
                <w:txbxContent>
                  <w:p>
                    <w:pPr>
                      <w:spacing w:before="98"/>
                      <w:ind w:left="300" w:right="0" w:firstLine="0"/>
                      <w:jc w:val="left"/>
                      <w:rPr>
                        <w:sz w:val="21"/>
                      </w:rPr>
                    </w:pPr>
                    <w:r>
                      <w:rPr>
                        <w:sz w:val="21"/>
                      </w:rPr>
                      <w:t>肉骨粉</w:t>
                    </w:r>
                  </w:p>
                </w:txbxContent>
              </v:textbox>
            </v:shape>
            <v:shape id="_x0000_s1155" o:spid="_x0000_s1155" o:spt="202" type="#_x0000_t202" style="position:absolute;left:5076;top:956;height:437;width:1140;" filled="f" stroked="f" coordsize="21600,21600">
              <v:path/>
              <v:fill on="f" focussize="0,0"/>
              <v:stroke on="f" joinstyle="miter"/>
              <v:imagedata o:title=""/>
              <o:lock v:ext="edit"/>
              <v:textbox inset="0mm,0mm,0mm,0mm">
                <w:txbxContent>
                  <w:p>
                    <w:pPr>
                      <w:spacing w:before="98"/>
                      <w:ind w:left="360" w:right="0" w:firstLine="0"/>
                      <w:jc w:val="left"/>
                      <w:rPr>
                        <w:sz w:val="21"/>
                      </w:rPr>
                    </w:pPr>
                    <w:r>
                      <w:rPr>
                        <w:sz w:val="21"/>
                      </w:rPr>
                      <w:t>废气</w:t>
                    </w:r>
                  </w:p>
                </w:txbxContent>
              </v:textbox>
            </v:shape>
            <w10:wrap type="topAndBottom"/>
          </v:group>
        </w:pict>
      </w:r>
    </w:p>
    <w:p>
      <w:pPr>
        <w:pStyle w:val="7"/>
        <w:bidi w:val="0"/>
        <w:jc w:val="center"/>
      </w:pPr>
      <w:r>
        <w:t>图</w:t>
      </w:r>
      <w:r>
        <w:rPr>
          <w:rFonts w:ascii="Times New Roman" w:eastAsia="Times New Roman"/>
        </w:rPr>
        <w:t>3.1-8</w:t>
      </w:r>
      <w:r>
        <w:rPr>
          <w:rFonts w:ascii="Times New Roman" w:eastAsia="Times New Roman"/>
        </w:rPr>
        <w:tab/>
      </w:r>
      <w:r>
        <w:t>病死畜禽无害化处理工艺流程图</w:t>
      </w:r>
    </w:p>
    <w:p>
      <w:pPr>
        <w:pStyle w:val="7"/>
        <w:spacing w:before="161" w:line="364" w:lineRule="auto"/>
        <w:ind w:right="577" w:firstLine="480"/>
      </w:pPr>
      <w:r>
        <w:t>项目区拟建病死畜禽无害化处理车间，并购进畜禽无害化处理</w:t>
      </w:r>
      <w:r>
        <w:rPr>
          <w:rFonts w:ascii="Times New Roman" w:eastAsia="Times New Roman"/>
        </w:rPr>
        <w:t>1</w:t>
      </w:r>
      <w:r>
        <w:t>吨</w:t>
      </w:r>
      <w:r>
        <w:rPr>
          <w:rFonts w:ascii="Times New Roman" w:eastAsia="Times New Roman"/>
        </w:rPr>
        <w:t>/</w:t>
      </w:r>
      <w:r>
        <w:t>次成套设备。</w:t>
      </w:r>
    </w:p>
    <w:p>
      <w:pPr>
        <w:pStyle w:val="18"/>
        <w:numPr>
          <w:ilvl w:val="0"/>
          <w:numId w:val="25"/>
        </w:numPr>
        <w:tabs>
          <w:tab w:val="left" w:pos="1621"/>
        </w:tabs>
        <w:spacing w:before="1" w:after="0" w:line="240" w:lineRule="auto"/>
        <w:ind w:left="1621" w:right="0" w:hanging="601"/>
        <w:jc w:val="left"/>
        <w:rPr>
          <w:sz w:val="24"/>
        </w:rPr>
      </w:pPr>
      <w:r>
        <w:rPr>
          <w:sz w:val="24"/>
        </w:rPr>
        <w:t>工艺原理：</w:t>
      </w:r>
    </w:p>
    <w:p>
      <w:pPr>
        <w:pStyle w:val="7"/>
        <w:keepNext w:val="0"/>
        <w:keepLines w:val="0"/>
        <w:pageBreakBefore w:val="0"/>
        <w:widowControl w:val="0"/>
        <w:kinsoku/>
        <w:wordWrap/>
        <w:overflowPunct/>
        <w:topLinePunct w:val="0"/>
        <w:autoSpaceDE w:val="0"/>
        <w:autoSpaceDN w:val="0"/>
        <w:bidi w:val="0"/>
        <w:adjustRightInd/>
        <w:snapToGrid/>
        <w:spacing w:before="143" w:line="360" w:lineRule="auto"/>
        <w:ind w:left="220" w:leftChars="100" w:right="457" w:firstLine="480" w:firstLineChars="200"/>
        <w:textAlignment w:val="auto"/>
      </w:pPr>
      <w:r>
        <w:t>干化法畜禽无害化处理方式是将病死羊、胎盘等通过无害化处理成套设备碎</w:t>
      </w:r>
      <w:r>
        <w:rPr>
          <w:spacing w:val="-6"/>
        </w:rPr>
        <w:t>化处理后输送至密闭容器内，在不断搅拌的同时，通过在夹层导入高温循环热源</w:t>
      </w:r>
      <w:r>
        <w:rPr>
          <w:spacing w:val="-10"/>
        </w:rPr>
        <w:t>对病死畜禽尸肉进行高温高压灭菌处理的工艺技术，处理工程中热源不直接接触</w:t>
      </w:r>
      <w:r>
        <w:rPr>
          <w:spacing w:val="-18"/>
        </w:rPr>
        <w:t>病死动物尸肉，利用动物体内水分加热汽化产生压力，化制完成后通过真空干燥、</w:t>
      </w:r>
      <w:r>
        <w:rPr>
          <w:spacing w:val="-10"/>
        </w:rPr>
        <w:t>脱脂、冷却、粉碎等工序，最终得到肉骨粉干品和工业用油脂，是目前国际上最被认可的处理方式。</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0" w:after="0" w:line="360" w:lineRule="auto"/>
        <w:ind w:leftChars="100" w:right="0" w:rightChars="0"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工艺流程说明：</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220" w:leftChars="100" w:right="488" w:firstLine="482"/>
        <w:textAlignment w:val="auto"/>
      </w:pPr>
      <w:r>
        <w:t>破碎处理：在畜禽无害化处理车间内，病死羊、胎盘等物料输送至喂料斗，直接进入破碎机进行破碎处理；破碎物料颗粒度</w:t>
      </w:r>
      <w:r>
        <w:rPr>
          <w:rFonts w:ascii="Times New Roman" w:eastAsia="Times New Roman"/>
        </w:rPr>
        <w:t>20-30mm</w:t>
      </w:r>
      <w:r>
        <w:t>之间。</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457" w:firstLine="480"/>
        <w:textAlignment w:val="auto"/>
      </w:pPr>
      <w:r>
        <w:rPr>
          <w:spacing w:val="-8"/>
        </w:rPr>
        <w:t>化制干燥：破碎处理过的物料通过密闭输送机至化制机内，采用电加热，加</w:t>
      </w:r>
      <w:r>
        <w:rPr>
          <w:spacing w:val="-17"/>
        </w:rPr>
        <w:t>温加压使骨头、皮毛等分解成粉状物料，使物料层压力达到</w:t>
      </w:r>
      <w:r>
        <w:rPr>
          <w:rFonts w:ascii="Times New Roman" w:hAnsi="Times New Roman" w:eastAsia="Times New Roman"/>
        </w:rPr>
        <w:t>0.4mp</w:t>
      </w:r>
      <w:r>
        <w:rPr>
          <w:rFonts w:ascii="Times New Roman" w:hAnsi="Times New Roman" w:eastAsia="Times New Roman"/>
          <w:spacing w:val="-1"/>
        </w:rPr>
        <w:t>a</w:t>
      </w:r>
      <w:r>
        <w:rPr>
          <w:spacing w:val="-31"/>
        </w:rPr>
        <w:t>，温度≥</w:t>
      </w:r>
      <w:r>
        <w:rPr>
          <w:rFonts w:ascii="Times New Roman" w:hAnsi="Times New Roman" w:eastAsia="Times New Roman"/>
          <w:spacing w:val="-3"/>
        </w:rPr>
        <w:t>140</w:t>
      </w:r>
      <w:r>
        <w:rPr>
          <w:spacing w:val="-3"/>
        </w:rPr>
        <w:t>℃，</w:t>
      </w:r>
      <w:r>
        <w:rPr>
          <w:spacing w:val="-5"/>
        </w:rPr>
        <w:t>均匀搅拌灭菌，保持压力</w:t>
      </w:r>
      <w:r>
        <w:rPr>
          <w:rFonts w:ascii="Times New Roman" w:hAnsi="Times New Roman" w:eastAsia="Times New Roman"/>
        </w:rPr>
        <w:t>30min</w:t>
      </w:r>
      <w:r>
        <w:rPr>
          <w:spacing w:val="-3"/>
        </w:rPr>
        <w:t>；开启泄压门，排气泄压，当罐内压力显示为</w:t>
      </w:r>
      <w:r>
        <w:rPr>
          <w:rFonts w:ascii="Times New Roman" w:hAnsi="Times New Roman" w:eastAsia="Times New Roman"/>
        </w:rPr>
        <w:t>0</w:t>
      </w:r>
      <w:r>
        <w:t>时，开启废气冷凝装置，加速物料干燥；配置物料层温度仪，测定物料的温度；</w:t>
      </w:r>
      <w:r>
        <w:rPr>
          <w:spacing w:val="-12"/>
        </w:rPr>
        <w:t>运行时间</w:t>
      </w:r>
      <w:r>
        <w:rPr>
          <w:rFonts w:ascii="Times New Roman" w:hAnsi="Times New Roman" w:eastAsia="Times New Roman"/>
          <w:spacing w:val="-3"/>
        </w:rPr>
        <w:t>40min</w:t>
      </w:r>
      <w:r>
        <w:rPr>
          <w:spacing w:val="-5"/>
        </w:rPr>
        <w:t>，开启出料口卸料。化制干燥过程会产生一定的水蒸气，同时水</w:t>
      </w:r>
      <w:r>
        <w:rPr>
          <w:spacing w:val="-17"/>
        </w:rPr>
        <w:t>蒸气中含有部分恶臭废气。该废气采用集中负压引流，先进行间接冷凝雾化处理，</w:t>
      </w:r>
      <w:r>
        <w:rPr>
          <w:spacing w:val="-3"/>
        </w:rPr>
        <w:t>引至光解除臭装置吸收处理后，经引风机引至</w:t>
      </w:r>
      <w:r>
        <w:rPr>
          <w:rFonts w:ascii="Times New Roman" w:hAnsi="Times New Roman" w:eastAsia="Times New Roman"/>
        </w:rPr>
        <w:t>15m</w:t>
      </w:r>
      <w:r>
        <w:t>高排气筒集中排放，。</w:t>
      </w:r>
    </w:p>
    <w:p>
      <w:pPr>
        <w:pStyle w:val="7"/>
        <w:keepNext w:val="0"/>
        <w:keepLines w:val="0"/>
        <w:pageBreakBefore w:val="0"/>
        <w:widowControl w:val="0"/>
        <w:kinsoku/>
        <w:wordWrap/>
        <w:overflowPunct/>
        <w:topLinePunct w:val="0"/>
        <w:autoSpaceDE w:val="0"/>
        <w:autoSpaceDN w:val="0"/>
        <w:bidi w:val="0"/>
        <w:adjustRightInd/>
        <w:snapToGrid/>
        <w:spacing w:before="5" w:line="360" w:lineRule="auto"/>
        <w:ind w:left="220" w:leftChars="100" w:right="457" w:firstLine="480"/>
        <w:textAlignment w:val="auto"/>
      </w:pPr>
      <w:r>
        <w:rPr>
          <w:spacing w:val="-16"/>
        </w:rPr>
        <w:t>压榨处理：干燥后的物料进行压榨脱脂处理，榨汁通过离心泵输送至沉淀罐；</w:t>
      </w:r>
      <w:r>
        <w:t>压榨后的渣饼是油、渣（肉骨粉）的混合料，可出售给肉骨粉干品生产厂。</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457" w:firstLine="480"/>
        <w:textAlignment w:val="auto"/>
      </w:pPr>
      <w:r>
        <w:rPr>
          <w:spacing w:val="-9"/>
        </w:rPr>
        <w:t>油脂分离：压榨后的榨汁进入沉淀罐，榨汁通过板框过滤处理，提取后的油</w:t>
      </w:r>
      <w:r>
        <w:rPr>
          <w:spacing w:val="-13"/>
        </w:rPr>
        <w:t>脂含水率低、杂质含量较低、品味较高，输送至油脂储罐，作为化工用油及生物</w:t>
      </w:r>
      <w:r>
        <w:rPr>
          <w:spacing w:val="-22"/>
        </w:rPr>
        <w:t>柴油的原料出售给工业用油脂厂；残渣再次压榨；最后过滤下的废水进入废水槽，</w:t>
      </w:r>
      <w:r>
        <w:t>收集后拉运至</w:t>
      </w:r>
      <w:r>
        <w:rPr>
          <w:rFonts w:hint="eastAsia"/>
          <w:lang w:val="en-US" w:eastAsia="zh-CN"/>
        </w:rPr>
        <w:t>莎车</w:t>
      </w:r>
      <w:r>
        <w:t>县污水处理站处理。</w:t>
      </w:r>
    </w:p>
    <w:p>
      <w:pPr>
        <w:pStyle w:val="7"/>
        <w:spacing w:before="3"/>
        <w:ind w:left="0"/>
        <w:rPr>
          <w:sz w:val="21"/>
        </w:rPr>
      </w:pPr>
    </w:p>
    <w:p>
      <w:pPr>
        <w:pStyle w:val="5"/>
        <w:numPr>
          <w:ilvl w:val="0"/>
          <w:numId w:val="0"/>
        </w:numPr>
        <w:tabs>
          <w:tab w:val="left" w:pos="1241"/>
        </w:tabs>
        <w:spacing w:before="0" w:after="0" w:line="240" w:lineRule="auto"/>
        <w:ind w:left="539" w:leftChars="0" w:right="0" w:rightChars="0"/>
        <w:jc w:val="left"/>
      </w:pPr>
      <w:bookmarkStart w:id="142" w:name="3.1.8 主要生产设备"/>
      <w:bookmarkEnd w:id="142"/>
      <w:bookmarkStart w:id="143" w:name="3.1.8 主要生产设备"/>
      <w:bookmarkEnd w:id="143"/>
      <w:r>
        <w:rPr>
          <w:rFonts w:hint="eastAsia"/>
          <w:lang w:val="en-US" w:eastAsia="zh-CN"/>
        </w:rPr>
        <w:t xml:space="preserve">3.1.7  </w:t>
      </w:r>
      <w:r>
        <w:t>主要生产设备</w:t>
      </w:r>
    </w:p>
    <w:p>
      <w:pPr>
        <w:pStyle w:val="7"/>
        <w:spacing w:before="7"/>
        <w:ind w:left="0"/>
        <w:rPr>
          <w:b/>
          <w:sz w:val="21"/>
        </w:rPr>
      </w:pPr>
    </w:p>
    <w:p>
      <w:pPr>
        <w:pStyle w:val="7"/>
        <w:spacing w:line="364" w:lineRule="auto"/>
        <w:ind w:right="577" w:firstLine="480"/>
      </w:pPr>
      <w:r>
        <w:rPr>
          <w:spacing w:val="-6"/>
        </w:rPr>
        <w:t>本项目主要设备为病死畜禽无害化处理设备、消毒设备和运输车辆等，详见</w:t>
      </w:r>
      <w:r>
        <w:rPr>
          <w:spacing w:val="-20"/>
        </w:rPr>
        <w:t>见表</w:t>
      </w:r>
      <w:r>
        <w:rPr>
          <w:rFonts w:ascii="Times New Roman" w:eastAsia="Times New Roman"/>
        </w:rPr>
        <w:t>3.1-8</w:t>
      </w:r>
      <w:r>
        <w:t>。</w:t>
      </w:r>
    </w:p>
    <w:p>
      <w:pPr>
        <w:pStyle w:val="7"/>
        <w:bidi w:val="0"/>
        <w:jc w:val="center"/>
      </w:pPr>
      <w:r>
        <w:t>表</w:t>
      </w:r>
      <w:r>
        <w:rPr>
          <w:rFonts w:ascii="Times New Roman" w:eastAsia="Times New Roman"/>
        </w:rPr>
        <w:t>3.1-8</w:t>
      </w:r>
      <w:r>
        <w:rPr>
          <w:rFonts w:ascii="Times New Roman" w:eastAsia="Times New Roman"/>
        </w:rPr>
        <w:tab/>
      </w:r>
      <w:r>
        <w:t>项目主要配套设备一览表</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7"/>
        <w:gridCol w:w="2896"/>
        <w:gridCol w:w="1220"/>
        <w:gridCol w:w="1570"/>
        <w:gridCol w:w="1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7" w:type="dxa"/>
          </w:tcPr>
          <w:p>
            <w:pPr>
              <w:pStyle w:val="19"/>
              <w:spacing w:before="34"/>
              <w:ind w:left="347" w:right="338"/>
              <w:rPr>
                <w:b/>
                <w:sz w:val="21"/>
              </w:rPr>
            </w:pPr>
            <w:r>
              <w:rPr>
                <w:b/>
                <w:sz w:val="21"/>
              </w:rPr>
              <w:t>序号</w:t>
            </w:r>
          </w:p>
        </w:tc>
        <w:tc>
          <w:tcPr>
            <w:tcW w:w="2896" w:type="dxa"/>
          </w:tcPr>
          <w:p>
            <w:pPr>
              <w:pStyle w:val="19"/>
              <w:spacing w:before="34"/>
              <w:ind w:left="271" w:right="263"/>
              <w:rPr>
                <w:b/>
                <w:sz w:val="21"/>
              </w:rPr>
            </w:pPr>
            <w:r>
              <w:rPr>
                <w:b/>
                <w:sz w:val="21"/>
              </w:rPr>
              <w:t>名称</w:t>
            </w:r>
          </w:p>
        </w:tc>
        <w:tc>
          <w:tcPr>
            <w:tcW w:w="1220" w:type="dxa"/>
          </w:tcPr>
          <w:p>
            <w:pPr>
              <w:pStyle w:val="19"/>
              <w:spacing w:before="34"/>
              <w:ind w:left="379" w:right="369"/>
              <w:rPr>
                <w:b/>
                <w:sz w:val="21"/>
              </w:rPr>
            </w:pPr>
            <w:r>
              <w:rPr>
                <w:b/>
                <w:sz w:val="21"/>
              </w:rPr>
              <w:t>数量</w:t>
            </w:r>
          </w:p>
        </w:tc>
        <w:tc>
          <w:tcPr>
            <w:tcW w:w="1570" w:type="dxa"/>
          </w:tcPr>
          <w:p>
            <w:pPr>
              <w:pStyle w:val="19"/>
              <w:spacing w:before="34"/>
              <w:ind w:left="553" w:right="544"/>
              <w:rPr>
                <w:b/>
                <w:sz w:val="21"/>
              </w:rPr>
            </w:pPr>
            <w:r>
              <w:rPr>
                <w:b/>
                <w:sz w:val="21"/>
              </w:rPr>
              <w:t>单位</w:t>
            </w:r>
          </w:p>
        </w:tc>
        <w:tc>
          <w:tcPr>
            <w:tcW w:w="1676" w:type="dxa"/>
          </w:tcPr>
          <w:p>
            <w:pPr>
              <w:pStyle w:val="19"/>
              <w:spacing w:before="34"/>
              <w:ind w:left="418"/>
              <w:jc w:val="left"/>
              <w:rPr>
                <w:b/>
                <w:sz w:val="21"/>
              </w:rPr>
            </w:pPr>
            <w:r>
              <w:rPr>
                <w:b/>
                <w:sz w:val="21"/>
              </w:rPr>
              <w:t>产品型号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7" w:type="dxa"/>
          </w:tcPr>
          <w:p>
            <w:pPr>
              <w:pStyle w:val="19"/>
              <w:spacing w:before="48"/>
              <w:ind w:left="11"/>
              <w:rPr>
                <w:rFonts w:ascii="Times New Roman"/>
                <w:sz w:val="21"/>
              </w:rPr>
            </w:pPr>
            <w:r>
              <w:rPr>
                <w:rFonts w:ascii="Times New Roman"/>
                <w:w w:val="99"/>
                <w:sz w:val="21"/>
              </w:rPr>
              <w:t>1</w:t>
            </w:r>
          </w:p>
        </w:tc>
        <w:tc>
          <w:tcPr>
            <w:tcW w:w="2896" w:type="dxa"/>
          </w:tcPr>
          <w:p>
            <w:pPr>
              <w:pStyle w:val="19"/>
              <w:spacing w:before="34"/>
              <w:ind w:left="273" w:right="263"/>
              <w:rPr>
                <w:sz w:val="21"/>
              </w:rPr>
            </w:pPr>
            <w:r>
              <w:rPr>
                <w:sz w:val="21"/>
              </w:rPr>
              <w:t>病死畜禽无害化处理设备</w:t>
            </w:r>
          </w:p>
        </w:tc>
        <w:tc>
          <w:tcPr>
            <w:tcW w:w="1220" w:type="dxa"/>
          </w:tcPr>
          <w:p>
            <w:pPr>
              <w:pStyle w:val="19"/>
              <w:spacing w:before="48"/>
              <w:ind w:left="6"/>
              <w:rPr>
                <w:rFonts w:ascii="Times New Roman"/>
                <w:sz w:val="21"/>
              </w:rPr>
            </w:pPr>
            <w:r>
              <w:rPr>
                <w:rFonts w:ascii="Times New Roman"/>
                <w:w w:val="99"/>
                <w:sz w:val="21"/>
              </w:rPr>
              <w:t>1</w:t>
            </w:r>
          </w:p>
        </w:tc>
        <w:tc>
          <w:tcPr>
            <w:tcW w:w="1570" w:type="dxa"/>
          </w:tcPr>
          <w:p>
            <w:pPr>
              <w:pStyle w:val="19"/>
              <w:spacing w:before="34"/>
              <w:ind w:left="9"/>
              <w:rPr>
                <w:sz w:val="21"/>
              </w:rPr>
            </w:pPr>
            <w:r>
              <w:rPr>
                <w:w w:val="99"/>
                <w:sz w:val="21"/>
              </w:rPr>
              <w:t>台</w:t>
            </w:r>
          </w:p>
        </w:tc>
        <w:tc>
          <w:tcPr>
            <w:tcW w:w="1676" w:type="dxa"/>
          </w:tcPr>
          <w:p>
            <w:pPr>
              <w:pStyle w:val="19"/>
              <w:spacing w:before="48"/>
              <w:ind w:left="367"/>
              <w:jc w:val="left"/>
              <w:rPr>
                <w:rFonts w:ascii="Times New Roman"/>
                <w:sz w:val="21"/>
              </w:rPr>
            </w:pPr>
            <w:r>
              <w:rPr>
                <w:rFonts w:ascii="Times New Roman"/>
                <w:sz w:val="21"/>
              </w:rPr>
              <w:t>11FXC-2.3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7" w:type="dxa"/>
          </w:tcPr>
          <w:p>
            <w:pPr>
              <w:pStyle w:val="19"/>
              <w:spacing w:before="48"/>
              <w:ind w:left="11"/>
              <w:rPr>
                <w:rFonts w:ascii="Times New Roman"/>
                <w:sz w:val="21"/>
              </w:rPr>
            </w:pPr>
            <w:r>
              <w:rPr>
                <w:rFonts w:ascii="Times New Roman"/>
                <w:w w:val="99"/>
                <w:sz w:val="21"/>
              </w:rPr>
              <w:t>2</w:t>
            </w:r>
          </w:p>
        </w:tc>
        <w:tc>
          <w:tcPr>
            <w:tcW w:w="2896" w:type="dxa"/>
          </w:tcPr>
          <w:p>
            <w:pPr>
              <w:pStyle w:val="19"/>
              <w:spacing w:before="34"/>
              <w:ind w:left="271" w:right="263"/>
              <w:rPr>
                <w:sz w:val="21"/>
              </w:rPr>
            </w:pPr>
            <w:r>
              <w:rPr>
                <w:sz w:val="21"/>
              </w:rPr>
              <w:t>消毒设备</w:t>
            </w:r>
          </w:p>
        </w:tc>
        <w:tc>
          <w:tcPr>
            <w:tcW w:w="1220" w:type="dxa"/>
          </w:tcPr>
          <w:p>
            <w:pPr>
              <w:pStyle w:val="19"/>
              <w:spacing w:before="48"/>
              <w:ind w:left="379" w:right="368"/>
              <w:rPr>
                <w:rFonts w:ascii="Times New Roman"/>
                <w:sz w:val="21"/>
              </w:rPr>
            </w:pPr>
            <w:r>
              <w:rPr>
                <w:rFonts w:ascii="Times New Roman"/>
                <w:sz w:val="21"/>
              </w:rPr>
              <w:t>76</w:t>
            </w:r>
          </w:p>
        </w:tc>
        <w:tc>
          <w:tcPr>
            <w:tcW w:w="1570" w:type="dxa"/>
          </w:tcPr>
          <w:p>
            <w:pPr>
              <w:pStyle w:val="19"/>
              <w:spacing w:before="34"/>
              <w:ind w:left="9"/>
              <w:rPr>
                <w:sz w:val="21"/>
              </w:rPr>
            </w:pPr>
            <w:r>
              <w:rPr>
                <w:w w:val="99"/>
                <w:sz w:val="21"/>
              </w:rPr>
              <w:t>套</w:t>
            </w:r>
          </w:p>
        </w:tc>
        <w:tc>
          <w:tcPr>
            <w:tcW w:w="1676" w:type="dxa"/>
          </w:tcPr>
          <w:p>
            <w:pPr>
              <w:pStyle w:val="19"/>
              <w:spacing w:before="48"/>
              <w:ind w:left="10"/>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7" w:type="dxa"/>
          </w:tcPr>
          <w:p>
            <w:pPr>
              <w:pStyle w:val="19"/>
              <w:spacing w:before="49"/>
              <w:ind w:left="11"/>
              <w:rPr>
                <w:rFonts w:ascii="Times New Roman"/>
                <w:sz w:val="21"/>
              </w:rPr>
            </w:pPr>
            <w:r>
              <w:rPr>
                <w:rFonts w:ascii="Times New Roman"/>
                <w:w w:val="99"/>
                <w:sz w:val="21"/>
              </w:rPr>
              <w:t>3</w:t>
            </w:r>
          </w:p>
        </w:tc>
        <w:tc>
          <w:tcPr>
            <w:tcW w:w="2896" w:type="dxa"/>
          </w:tcPr>
          <w:p>
            <w:pPr>
              <w:pStyle w:val="19"/>
              <w:spacing w:before="35"/>
              <w:ind w:left="271" w:right="263"/>
              <w:rPr>
                <w:sz w:val="21"/>
              </w:rPr>
            </w:pPr>
            <w:r>
              <w:rPr>
                <w:sz w:val="21"/>
              </w:rPr>
              <w:t>运输车辆</w:t>
            </w:r>
          </w:p>
        </w:tc>
        <w:tc>
          <w:tcPr>
            <w:tcW w:w="1220" w:type="dxa"/>
          </w:tcPr>
          <w:p>
            <w:pPr>
              <w:pStyle w:val="19"/>
              <w:spacing w:before="35"/>
              <w:ind w:left="377" w:right="369"/>
              <w:rPr>
                <w:sz w:val="21"/>
              </w:rPr>
            </w:pPr>
            <w:r>
              <w:rPr>
                <w:sz w:val="21"/>
              </w:rPr>
              <w:t>若干</w:t>
            </w:r>
          </w:p>
        </w:tc>
        <w:tc>
          <w:tcPr>
            <w:tcW w:w="1570" w:type="dxa"/>
          </w:tcPr>
          <w:p>
            <w:pPr>
              <w:pStyle w:val="19"/>
              <w:spacing w:before="35"/>
              <w:ind w:left="9"/>
              <w:rPr>
                <w:sz w:val="21"/>
              </w:rPr>
            </w:pPr>
            <w:r>
              <w:rPr>
                <w:w w:val="99"/>
                <w:sz w:val="21"/>
              </w:rPr>
              <w:t>辆</w:t>
            </w:r>
          </w:p>
        </w:tc>
        <w:tc>
          <w:tcPr>
            <w:tcW w:w="1676" w:type="dxa"/>
          </w:tcPr>
          <w:p>
            <w:pPr>
              <w:pStyle w:val="19"/>
              <w:spacing w:before="49"/>
              <w:ind w:left="10"/>
              <w:rPr>
                <w:rFonts w:ascii="Times New Roman"/>
                <w:sz w:val="21"/>
              </w:rPr>
            </w:pPr>
            <w:r>
              <w:rPr>
                <w:rFonts w:ascii="Times New Roman"/>
                <w:w w:val="99"/>
                <w:sz w:val="21"/>
              </w:rPr>
              <w:t>/</w:t>
            </w:r>
          </w:p>
        </w:tc>
      </w:tr>
    </w:tbl>
    <w:p>
      <w:pPr>
        <w:pStyle w:val="7"/>
        <w:spacing w:before="8"/>
        <w:ind w:left="0"/>
        <w:rPr>
          <w:b/>
          <w:sz w:val="9"/>
        </w:rPr>
      </w:pPr>
    </w:p>
    <w:p>
      <w:pPr>
        <w:pStyle w:val="18"/>
        <w:numPr>
          <w:ilvl w:val="2"/>
          <w:numId w:val="19"/>
        </w:numPr>
        <w:tabs>
          <w:tab w:val="left" w:pos="1241"/>
        </w:tabs>
        <w:spacing w:before="73" w:after="0" w:line="240" w:lineRule="auto"/>
        <w:ind w:left="1240" w:right="0" w:hanging="701"/>
        <w:jc w:val="left"/>
        <w:rPr>
          <w:b/>
          <w:sz w:val="28"/>
        </w:rPr>
      </w:pPr>
      <w:bookmarkStart w:id="144" w:name="3.1.9 项目主要产品方案"/>
      <w:bookmarkEnd w:id="144"/>
      <w:bookmarkStart w:id="145" w:name="3.1.9 项目主要产品方案"/>
      <w:bookmarkEnd w:id="145"/>
      <w:r>
        <w:rPr>
          <w:b/>
          <w:sz w:val="28"/>
        </w:rPr>
        <w:t>项目主要产品方案</w:t>
      </w:r>
    </w:p>
    <w:p>
      <w:pPr>
        <w:pStyle w:val="7"/>
        <w:spacing w:before="2"/>
        <w:ind w:left="0"/>
        <w:rPr>
          <w:b/>
          <w:sz w:val="25"/>
        </w:rPr>
      </w:pPr>
    </w:p>
    <w:p>
      <w:pPr>
        <w:pStyle w:val="7"/>
        <w:spacing w:line="360" w:lineRule="auto"/>
        <w:ind w:right="577" w:firstLine="482"/>
        <w:jc w:val="both"/>
        <w:rPr>
          <w:color w:val="0000FF"/>
        </w:rPr>
      </w:pPr>
      <w:r>
        <w:rPr>
          <w:color w:val="0000FF"/>
          <w:spacing w:val="-6"/>
        </w:rPr>
        <w:t>由</w:t>
      </w:r>
      <w:r>
        <w:rPr>
          <w:rFonts w:hint="eastAsia"/>
          <w:color w:val="0000FF"/>
          <w:spacing w:val="-6"/>
          <w:lang w:val="en-US" w:eastAsia="zh-CN"/>
        </w:rPr>
        <w:t>莎车</w:t>
      </w:r>
      <w:r>
        <w:rPr>
          <w:color w:val="0000FF"/>
          <w:spacing w:val="-6"/>
        </w:rPr>
        <w:t>县农业农村局提供技术方案，全面提高秸秆养畜水平，加强动物卫生</w:t>
      </w:r>
      <w:r>
        <w:rPr>
          <w:color w:val="0000FF"/>
          <w:spacing w:val="-8"/>
        </w:rPr>
        <w:t>防疫和健康养殖监督。建立健全健康养殖管理制度，加强疫病防治和监控，加强上市产品检疫监测，确保产品的质量安全、计量及卫生标准。杜绝使用不符合国</w:t>
      </w:r>
      <w:r>
        <w:rPr>
          <w:color w:val="0000FF"/>
          <w:spacing w:val="-7"/>
        </w:rPr>
        <w:t>家卫生标准的饲料添加剂，严格按照绿色产品生产模式生产，并积极申报绿色产</w:t>
      </w:r>
      <w:r>
        <w:rPr>
          <w:color w:val="0000FF"/>
          <w:spacing w:val="-9"/>
        </w:rPr>
        <w:t>品和产地认证，不断提高产品竞争能力。通过不断提高秸秆养畜饲管水平，达到</w:t>
      </w:r>
      <w:r>
        <w:rPr>
          <w:color w:val="0000FF"/>
        </w:rPr>
        <w:t>提高饲养水平和经济效益目的。</w:t>
      </w:r>
    </w:p>
    <w:p>
      <w:pPr>
        <w:pStyle w:val="7"/>
        <w:keepNext w:val="0"/>
        <w:keepLines w:val="0"/>
        <w:pageBreakBefore w:val="0"/>
        <w:widowControl w:val="0"/>
        <w:kinsoku/>
        <w:wordWrap/>
        <w:overflowPunct/>
        <w:topLinePunct w:val="0"/>
        <w:autoSpaceDE w:val="0"/>
        <w:autoSpaceDN w:val="0"/>
        <w:bidi w:val="0"/>
        <w:adjustRightInd/>
        <w:snapToGrid/>
        <w:spacing w:line="500" w:lineRule="exact"/>
        <w:ind w:left="539" w:right="207" w:rightChars="94" w:firstLine="480" w:firstLineChars="200"/>
        <w:jc w:val="both"/>
        <w:textAlignment w:val="auto"/>
        <w:rPr>
          <w:color w:val="0000FF"/>
        </w:rPr>
      </w:pPr>
      <w:r>
        <w:rPr>
          <w:color w:val="0000FF"/>
        </w:rPr>
        <w:t>本项目运营后，主要养殖</w:t>
      </w:r>
      <w:r>
        <w:rPr>
          <w:rFonts w:ascii="宋?" w:hAnsi="宋?" w:cs="宋?"/>
          <w:color w:val="0000FF"/>
          <w:kern w:val="0"/>
          <w:sz w:val="24"/>
          <w:szCs w:val="24"/>
        </w:rPr>
        <w:t>萨福克种公羊</w:t>
      </w:r>
      <w:r>
        <w:rPr>
          <w:color w:val="0000FF"/>
        </w:rPr>
        <w:t>、胡羊，引进繁育羊</w:t>
      </w:r>
      <w:r>
        <w:rPr>
          <w:rFonts w:hint="eastAsia" w:ascii="Times New Roman" w:eastAsia="宋体"/>
          <w:color w:val="0000FF"/>
          <w:lang w:val="en-US" w:eastAsia="zh-CN"/>
        </w:rPr>
        <w:t>91</w:t>
      </w:r>
      <w:r>
        <w:rPr>
          <w:rFonts w:hint="eastAsia" w:ascii="Times New Roman"/>
          <w:color w:val="0000FF"/>
          <w:lang w:val="en-US" w:eastAsia="zh-CN"/>
        </w:rPr>
        <w:t>5</w:t>
      </w:r>
      <w:r>
        <w:rPr>
          <w:rFonts w:hint="eastAsia" w:ascii="Times New Roman" w:eastAsia="宋体"/>
          <w:color w:val="0000FF"/>
          <w:lang w:val="en-US" w:eastAsia="zh-CN"/>
        </w:rPr>
        <w:t>7</w:t>
      </w:r>
      <w:r>
        <w:rPr>
          <w:color w:val="0000FF"/>
        </w:rPr>
        <w:t>只，其中，多胎性生产母羊</w:t>
      </w:r>
      <w:r>
        <w:rPr>
          <w:rFonts w:hint="eastAsia"/>
          <w:color w:val="0000FF"/>
          <w:lang w:val="en-US" w:eastAsia="zh-CN"/>
        </w:rPr>
        <w:t>9117</w:t>
      </w:r>
      <w:r>
        <w:rPr>
          <w:color w:val="0000FF"/>
        </w:rPr>
        <w:t>只，萨福克种公羊20只，湖羊种公羊</w:t>
      </w:r>
      <w:r>
        <w:rPr>
          <w:rFonts w:hint="eastAsia"/>
          <w:color w:val="0000FF"/>
          <w:lang w:val="en-US" w:eastAsia="zh-CN"/>
        </w:rPr>
        <w:t>20</w:t>
      </w:r>
      <w:r>
        <w:rPr>
          <w:color w:val="0000FF"/>
        </w:rPr>
        <w:t>只，计划实现年出栏标准肉羊</w:t>
      </w:r>
      <w:r>
        <w:rPr>
          <w:rFonts w:hint="eastAsia" w:ascii="Times New Roman" w:eastAsia="宋体"/>
          <w:color w:val="0000FF"/>
          <w:lang w:val="en-US" w:eastAsia="zh-CN"/>
        </w:rPr>
        <w:t>4</w:t>
      </w:r>
      <w:r>
        <w:rPr>
          <w:color w:val="0000FF"/>
        </w:rPr>
        <w:t>万只。</w:t>
      </w:r>
    </w:p>
    <w:p>
      <w:pPr>
        <w:pStyle w:val="7"/>
        <w:spacing w:before="153" w:line="357" w:lineRule="auto"/>
        <w:ind w:right="577" w:firstLine="482"/>
        <w:jc w:val="both"/>
        <w:rPr>
          <w:color w:val="0000FF"/>
        </w:rPr>
      </w:pPr>
      <w:r>
        <w:rPr>
          <w:color w:val="0000FF"/>
          <w:spacing w:val="-7"/>
        </w:rPr>
        <w:t>目前新疆生产的优质羊肉很少，加之新疆是少数民族聚集地区，少数民族的</w:t>
      </w:r>
      <w:r>
        <w:rPr>
          <w:color w:val="0000FF"/>
          <w:spacing w:val="-8"/>
        </w:rPr>
        <w:t>肉食主要以羊肉为主，从质量上很难满足人们消费水平的需求，项目区处于</w:t>
      </w:r>
      <w:r>
        <w:rPr>
          <w:rFonts w:hint="eastAsia"/>
          <w:color w:val="0000FF"/>
          <w:spacing w:val="-8"/>
          <w:lang w:val="en-US" w:eastAsia="zh-CN"/>
        </w:rPr>
        <w:t>喀什</w:t>
      </w:r>
      <w:r>
        <w:rPr>
          <w:color w:val="0000FF"/>
          <w:spacing w:val="-17"/>
        </w:rPr>
        <w:t>地区，预计</w:t>
      </w:r>
      <w:r>
        <w:rPr>
          <w:rFonts w:ascii="Times New Roman" w:eastAsia="Times New Roman"/>
          <w:color w:val="0000FF"/>
        </w:rPr>
        <w:t>2020</w:t>
      </w:r>
      <w:r>
        <w:rPr>
          <w:color w:val="0000FF"/>
          <w:spacing w:val="-5"/>
        </w:rPr>
        <w:t>年</w:t>
      </w:r>
      <w:r>
        <w:rPr>
          <w:rFonts w:hint="eastAsia"/>
          <w:color w:val="0000FF"/>
          <w:spacing w:val="-5"/>
          <w:lang w:val="en-US" w:eastAsia="zh-CN"/>
        </w:rPr>
        <w:t>喀什</w:t>
      </w:r>
      <w:r>
        <w:rPr>
          <w:color w:val="0000FF"/>
          <w:spacing w:val="-5"/>
        </w:rPr>
        <w:t>地区羊肉需求量为</w:t>
      </w:r>
      <w:r>
        <w:rPr>
          <w:rFonts w:ascii="Times New Roman" w:eastAsia="Times New Roman"/>
          <w:color w:val="0000FF"/>
        </w:rPr>
        <w:t>18.00</w:t>
      </w:r>
      <w:r>
        <w:rPr>
          <w:color w:val="0000FF"/>
          <w:spacing w:val="-15"/>
        </w:rPr>
        <w:t>万吨，生产量</w:t>
      </w:r>
      <w:r>
        <w:rPr>
          <w:rFonts w:ascii="Times New Roman" w:eastAsia="Times New Roman"/>
          <w:color w:val="0000FF"/>
        </w:rPr>
        <w:t>15.50</w:t>
      </w:r>
      <w:r>
        <w:rPr>
          <w:color w:val="0000FF"/>
          <w:spacing w:val="-11"/>
        </w:rPr>
        <w:t>万吨，供需</w:t>
      </w:r>
      <w:r>
        <w:rPr>
          <w:color w:val="0000FF"/>
          <w:spacing w:val="-15"/>
        </w:rPr>
        <w:t>缺口达</w:t>
      </w:r>
      <w:r>
        <w:rPr>
          <w:rFonts w:ascii="Times New Roman" w:eastAsia="Times New Roman"/>
          <w:color w:val="0000FF"/>
        </w:rPr>
        <w:t>2.50</w:t>
      </w:r>
      <w:r>
        <w:rPr>
          <w:color w:val="0000FF"/>
          <w:spacing w:val="-3"/>
        </w:rPr>
        <w:t>万吨，</w:t>
      </w:r>
      <w:r>
        <w:rPr>
          <w:rFonts w:ascii="Times New Roman" w:eastAsia="Times New Roman"/>
          <w:color w:val="0000FF"/>
          <w:spacing w:val="-7"/>
        </w:rPr>
        <w:t>2022</w:t>
      </w:r>
      <w:r>
        <w:rPr>
          <w:color w:val="0000FF"/>
          <w:spacing w:val="-12"/>
        </w:rPr>
        <w:t>年需求量</w:t>
      </w:r>
      <w:r>
        <w:rPr>
          <w:rFonts w:ascii="Times New Roman" w:eastAsia="Times New Roman"/>
          <w:color w:val="0000FF"/>
        </w:rPr>
        <w:t>20.00</w:t>
      </w:r>
      <w:r>
        <w:rPr>
          <w:color w:val="0000FF"/>
          <w:spacing w:val="-15"/>
        </w:rPr>
        <w:t>万吨，生产量</w:t>
      </w:r>
      <w:r>
        <w:rPr>
          <w:rFonts w:ascii="Times New Roman" w:eastAsia="Times New Roman"/>
          <w:color w:val="0000FF"/>
        </w:rPr>
        <w:t>16.00</w:t>
      </w:r>
      <w:r>
        <w:rPr>
          <w:color w:val="0000FF"/>
          <w:spacing w:val="-6"/>
        </w:rPr>
        <w:t>万吨，供需缺口达到</w:t>
      </w:r>
      <w:r>
        <w:rPr>
          <w:color w:val="0000FF"/>
          <w:spacing w:val="-30"/>
        </w:rPr>
        <w:t>了</w:t>
      </w:r>
      <w:r>
        <w:rPr>
          <w:rFonts w:ascii="Times New Roman" w:eastAsia="Times New Roman"/>
          <w:color w:val="0000FF"/>
        </w:rPr>
        <w:t>4</w:t>
      </w:r>
      <w:r>
        <w:rPr>
          <w:color w:val="0000FF"/>
          <w:spacing w:val="-4"/>
        </w:rPr>
        <w:t>万吨。</w:t>
      </w:r>
      <w:r>
        <w:rPr>
          <w:rFonts w:ascii="Times New Roman" w:eastAsia="Times New Roman"/>
          <w:color w:val="0000FF"/>
        </w:rPr>
        <w:t>2018</w:t>
      </w:r>
      <w:r>
        <w:rPr>
          <w:color w:val="0000FF"/>
          <w:spacing w:val="-7"/>
        </w:rPr>
        <w:t>年，</w:t>
      </w:r>
      <w:r>
        <w:rPr>
          <w:rFonts w:hint="eastAsia"/>
          <w:color w:val="0000FF"/>
          <w:spacing w:val="-7"/>
          <w:lang w:val="en-US" w:eastAsia="zh-CN"/>
        </w:rPr>
        <w:t>喀什</w:t>
      </w:r>
      <w:r>
        <w:rPr>
          <w:color w:val="0000FF"/>
          <w:spacing w:val="-7"/>
        </w:rPr>
        <w:t>地区本地羊肉价格达到了</w:t>
      </w:r>
      <w:r>
        <w:rPr>
          <w:rFonts w:ascii="Times New Roman" w:eastAsia="Times New Roman"/>
          <w:color w:val="0000FF"/>
        </w:rPr>
        <w:t>70</w:t>
      </w:r>
      <w:r>
        <w:rPr>
          <w:color w:val="0000FF"/>
          <w:spacing w:val="-5"/>
        </w:rPr>
        <w:t>元以上。由此可见，</w:t>
      </w:r>
      <w:r>
        <w:rPr>
          <w:rFonts w:hint="eastAsia"/>
          <w:color w:val="0000FF"/>
          <w:spacing w:val="-5"/>
          <w:lang w:val="en-US" w:eastAsia="zh-CN"/>
        </w:rPr>
        <w:t>莎车</w:t>
      </w:r>
      <w:r>
        <w:rPr>
          <w:color w:val="0000FF"/>
          <w:spacing w:val="-6"/>
        </w:rPr>
        <w:t>县羊产业养殖项目在</w:t>
      </w:r>
      <w:r>
        <w:rPr>
          <w:rFonts w:hint="eastAsia"/>
          <w:color w:val="0000FF"/>
          <w:spacing w:val="-6"/>
          <w:lang w:val="en-US" w:eastAsia="zh-CN"/>
        </w:rPr>
        <w:t>喀什</w:t>
      </w:r>
      <w:r>
        <w:rPr>
          <w:color w:val="0000FF"/>
          <w:spacing w:val="-6"/>
        </w:rPr>
        <w:t>地区有着良好的市场前景，为今后</w:t>
      </w:r>
      <w:r>
        <w:rPr>
          <w:rFonts w:hint="eastAsia"/>
          <w:color w:val="0000FF"/>
          <w:spacing w:val="-6"/>
          <w:lang w:val="en-US" w:eastAsia="zh-CN"/>
        </w:rPr>
        <w:t>喀什</w:t>
      </w:r>
      <w:r>
        <w:rPr>
          <w:color w:val="0000FF"/>
          <w:spacing w:val="-6"/>
        </w:rPr>
        <w:t>地区的肉羊畜产</w:t>
      </w:r>
      <w:r>
        <w:rPr>
          <w:color w:val="0000FF"/>
          <w:spacing w:val="-1"/>
        </w:rPr>
        <w:t>品供应打下了坚实的基础，提供了良好的平台。产品方案见表</w:t>
      </w:r>
      <w:r>
        <w:rPr>
          <w:rFonts w:ascii="Times New Roman" w:eastAsia="Times New Roman"/>
          <w:color w:val="0000FF"/>
        </w:rPr>
        <w:t>3.1-9</w:t>
      </w:r>
      <w:r>
        <w:rPr>
          <w:color w:val="0000FF"/>
        </w:rPr>
        <w:t>，养殖规模</w:t>
      </w:r>
      <w:r>
        <w:rPr>
          <w:color w:val="0000FF"/>
          <w:spacing w:val="-20"/>
        </w:rPr>
        <w:t>见表</w:t>
      </w:r>
      <w:r>
        <w:rPr>
          <w:rFonts w:ascii="Times New Roman" w:eastAsia="Times New Roman"/>
          <w:color w:val="0000FF"/>
        </w:rPr>
        <w:t>3.1-10</w:t>
      </w:r>
      <w:r>
        <w:rPr>
          <w:color w:val="0000FF"/>
        </w:rPr>
        <w:t>。</w:t>
      </w:r>
    </w:p>
    <w:p>
      <w:pPr>
        <w:pStyle w:val="7"/>
        <w:bidi w:val="0"/>
      </w:pPr>
      <w:r>
        <w:t>表3.1-9</w:t>
      </w:r>
      <w:r>
        <w:tab/>
      </w:r>
      <w:r>
        <w:t>产品方案</w:t>
      </w:r>
    </w:p>
    <w:tbl>
      <w:tblPr>
        <w:tblStyle w:val="15"/>
        <w:tblW w:w="0" w:type="auto"/>
        <w:tblInd w:w="5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1"/>
        <w:gridCol w:w="1671"/>
        <w:gridCol w:w="1671"/>
        <w:gridCol w:w="1671"/>
        <w:gridCol w:w="1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71" w:type="dxa"/>
          </w:tcPr>
          <w:p>
            <w:pPr>
              <w:pStyle w:val="19"/>
              <w:spacing w:before="78" w:line="262" w:lineRule="exact"/>
              <w:ind w:left="390" w:right="382"/>
              <w:rPr>
                <w:b/>
                <w:color w:val="0000FF"/>
                <w:sz w:val="21"/>
              </w:rPr>
            </w:pPr>
            <w:r>
              <w:rPr>
                <w:b/>
                <w:color w:val="0000FF"/>
                <w:sz w:val="21"/>
              </w:rPr>
              <w:t>序号</w:t>
            </w:r>
          </w:p>
        </w:tc>
        <w:tc>
          <w:tcPr>
            <w:tcW w:w="1671" w:type="dxa"/>
          </w:tcPr>
          <w:p>
            <w:pPr>
              <w:pStyle w:val="19"/>
              <w:spacing w:before="78" w:line="262" w:lineRule="exact"/>
              <w:ind w:left="393" w:right="381"/>
              <w:rPr>
                <w:b/>
                <w:color w:val="0000FF"/>
                <w:sz w:val="21"/>
              </w:rPr>
            </w:pPr>
            <w:r>
              <w:rPr>
                <w:b/>
                <w:color w:val="0000FF"/>
                <w:sz w:val="21"/>
              </w:rPr>
              <w:t>产品名称</w:t>
            </w:r>
          </w:p>
        </w:tc>
        <w:tc>
          <w:tcPr>
            <w:tcW w:w="1671" w:type="dxa"/>
          </w:tcPr>
          <w:p>
            <w:pPr>
              <w:pStyle w:val="19"/>
              <w:spacing w:before="78" w:line="262" w:lineRule="exact"/>
              <w:ind w:right="615"/>
              <w:jc w:val="right"/>
              <w:rPr>
                <w:b/>
                <w:color w:val="0000FF"/>
                <w:sz w:val="21"/>
              </w:rPr>
            </w:pPr>
            <w:r>
              <w:rPr>
                <w:b/>
                <w:color w:val="0000FF"/>
                <w:w w:val="95"/>
                <w:sz w:val="21"/>
              </w:rPr>
              <w:t>单位</w:t>
            </w:r>
          </w:p>
        </w:tc>
        <w:tc>
          <w:tcPr>
            <w:tcW w:w="1671" w:type="dxa"/>
          </w:tcPr>
          <w:p>
            <w:pPr>
              <w:pStyle w:val="19"/>
              <w:spacing w:before="78" w:line="262" w:lineRule="exact"/>
              <w:ind w:left="391" w:right="382"/>
              <w:rPr>
                <w:b/>
                <w:color w:val="0000FF"/>
                <w:sz w:val="21"/>
              </w:rPr>
            </w:pPr>
            <w:r>
              <w:rPr>
                <w:b/>
                <w:color w:val="0000FF"/>
                <w:sz w:val="21"/>
              </w:rPr>
              <w:t>年出栏量</w:t>
            </w:r>
          </w:p>
        </w:tc>
        <w:tc>
          <w:tcPr>
            <w:tcW w:w="1672" w:type="dxa"/>
          </w:tcPr>
          <w:p>
            <w:pPr>
              <w:pStyle w:val="19"/>
              <w:spacing w:before="78" w:line="262" w:lineRule="exact"/>
              <w:ind w:left="603" w:right="596"/>
              <w:rPr>
                <w:b/>
                <w:color w:val="0000FF"/>
                <w:sz w:val="21"/>
              </w:rPr>
            </w:pPr>
            <w:r>
              <w:rPr>
                <w:b/>
                <w:color w:val="0000FF"/>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71" w:type="dxa"/>
          </w:tcPr>
          <w:p>
            <w:pPr>
              <w:pStyle w:val="19"/>
              <w:spacing w:before="92"/>
              <w:ind w:left="9"/>
              <w:rPr>
                <w:rFonts w:ascii="Times New Roman"/>
                <w:color w:val="0000FF"/>
                <w:sz w:val="21"/>
              </w:rPr>
            </w:pPr>
            <w:r>
              <w:rPr>
                <w:rFonts w:ascii="Times New Roman"/>
                <w:color w:val="0000FF"/>
                <w:w w:val="99"/>
                <w:sz w:val="21"/>
              </w:rPr>
              <w:t>1</w:t>
            </w:r>
          </w:p>
        </w:tc>
        <w:tc>
          <w:tcPr>
            <w:tcW w:w="1671" w:type="dxa"/>
          </w:tcPr>
          <w:p>
            <w:pPr>
              <w:pStyle w:val="19"/>
              <w:spacing w:before="78" w:line="262" w:lineRule="exact"/>
              <w:ind w:left="387" w:right="382"/>
              <w:rPr>
                <w:color w:val="0000FF"/>
                <w:sz w:val="21"/>
              </w:rPr>
            </w:pPr>
            <w:r>
              <w:rPr>
                <w:color w:val="0000FF"/>
                <w:sz w:val="21"/>
              </w:rPr>
              <w:t>肉羊</w:t>
            </w:r>
          </w:p>
        </w:tc>
        <w:tc>
          <w:tcPr>
            <w:tcW w:w="1671" w:type="dxa"/>
          </w:tcPr>
          <w:p>
            <w:pPr>
              <w:pStyle w:val="19"/>
              <w:spacing w:before="78" w:line="262" w:lineRule="exact"/>
              <w:ind w:right="539"/>
              <w:jc w:val="right"/>
              <w:rPr>
                <w:rFonts w:ascii="Times New Roman" w:eastAsia="Times New Roman"/>
                <w:color w:val="0000FF"/>
                <w:sz w:val="21"/>
              </w:rPr>
            </w:pPr>
            <w:r>
              <w:rPr>
                <w:color w:val="0000FF"/>
                <w:w w:val="95"/>
                <w:sz w:val="21"/>
              </w:rPr>
              <w:t>万只</w:t>
            </w:r>
            <w:r>
              <w:rPr>
                <w:rFonts w:ascii="Times New Roman" w:eastAsia="Times New Roman"/>
                <w:color w:val="0000FF"/>
                <w:w w:val="95"/>
                <w:sz w:val="21"/>
              </w:rPr>
              <w:t>/a</w:t>
            </w:r>
          </w:p>
        </w:tc>
        <w:tc>
          <w:tcPr>
            <w:tcW w:w="1671" w:type="dxa"/>
          </w:tcPr>
          <w:p>
            <w:pPr>
              <w:pStyle w:val="19"/>
              <w:spacing w:before="92"/>
              <w:ind w:left="393" w:right="382"/>
              <w:rPr>
                <w:rFonts w:ascii="Times New Roman"/>
                <w:color w:val="0000FF"/>
                <w:sz w:val="21"/>
              </w:rPr>
            </w:pPr>
            <w:r>
              <w:rPr>
                <w:rFonts w:ascii="Times New Roman"/>
                <w:color w:val="0000FF"/>
                <w:sz w:val="21"/>
              </w:rPr>
              <w:t>4</w:t>
            </w:r>
          </w:p>
        </w:tc>
        <w:tc>
          <w:tcPr>
            <w:tcW w:w="1672" w:type="dxa"/>
          </w:tcPr>
          <w:p>
            <w:pPr>
              <w:pStyle w:val="19"/>
              <w:spacing w:before="78" w:line="262" w:lineRule="exact"/>
              <w:ind w:left="7"/>
              <w:rPr>
                <w:color w:val="0000FF"/>
                <w:sz w:val="21"/>
              </w:rPr>
            </w:pPr>
            <w:r>
              <w:rPr>
                <w:color w:val="0000FF"/>
                <w:w w:val="99"/>
                <w:sz w:val="21"/>
              </w:rPr>
              <w:t>—</w:t>
            </w:r>
          </w:p>
        </w:tc>
      </w:tr>
    </w:tbl>
    <w:p>
      <w:pPr>
        <w:tabs>
          <w:tab w:val="left" w:pos="1639"/>
        </w:tabs>
        <w:spacing w:before="158" w:after="3"/>
        <w:ind w:left="0" w:right="30" w:firstLine="0"/>
        <w:jc w:val="center"/>
        <w:rPr>
          <w:b/>
          <w:sz w:val="24"/>
        </w:rPr>
      </w:pPr>
      <w:r>
        <w:rPr>
          <w:b/>
          <w:sz w:val="24"/>
        </w:rPr>
        <w:t>表</w:t>
      </w:r>
      <w:r>
        <w:rPr>
          <w:rFonts w:ascii="Times New Roman" w:eastAsia="Times New Roman"/>
          <w:b/>
          <w:sz w:val="24"/>
        </w:rPr>
        <w:t>3.1-10</w:t>
      </w:r>
      <w:r>
        <w:rPr>
          <w:rFonts w:ascii="Times New Roman" w:eastAsia="Times New Roman"/>
          <w:b/>
          <w:sz w:val="24"/>
        </w:rPr>
        <w:tab/>
      </w:r>
      <w:r>
        <w:rPr>
          <w:b/>
          <w:sz w:val="24"/>
        </w:rPr>
        <w:t>项目养殖规模一览表</w:t>
      </w:r>
    </w:p>
    <w:tbl>
      <w:tblPr>
        <w:tblStyle w:val="15"/>
        <w:tblpPr w:leftFromText="180" w:rightFromText="180" w:vertAnchor="text" w:horzAnchor="page" w:tblpX="1798" w:tblpY="97"/>
        <w:tblOverlap w:val="never"/>
        <w:tblW w:w="8640" w:type="dxa"/>
        <w:tblInd w:w="0" w:type="dxa"/>
        <w:shd w:val="clear" w:color="auto" w:fill="auto"/>
        <w:tblLayout w:type="autofit"/>
        <w:tblCellMar>
          <w:top w:w="0" w:type="dxa"/>
          <w:left w:w="0" w:type="dxa"/>
          <w:bottom w:w="0" w:type="dxa"/>
          <w:right w:w="0" w:type="dxa"/>
        </w:tblCellMar>
      </w:tblPr>
      <w:tblGrid>
        <w:gridCol w:w="1080"/>
        <w:gridCol w:w="3240"/>
        <w:gridCol w:w="1080"/>
        <w:gridCol w:w="1080"/>
        <w:gridCol w:w="1080"/>
        <w:gridCol w:w="1080"/>
      </w:tblGrid>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bookmarkStart w:id="146" w:name="3.1.10 工程平面布置"/>
            <w:bookmarkEnd w:id="146"/>
            <w:bookmarkStart w:id="147" w:name="3.1.10 工程平面布置"/>
            <w:bookmarkEnd w:id="147"/>
            <w:r>
              <w:rPr>
                <w:rFonts w:hint="eastAsia" w:ascii="宋体" w:hAnsi="宋体" w:eastAsia="宋体" w:cs="宋体"/>
                <w:b/>
                <w:i w:val="0"/>
                <w:color w:val="0000FF"/>
                <w:kern w:val="0"/>
                <w:sz w:val="21"/>
                <w:szCs w:val="21"/>
                <w:u w:val="none"/>
                <w:lang w:val="en-US" w:eastAsia="zh-CN" w:bidi="ar"/>
              </w:rPr>
              <w:t>类别</w:t>
            </w:r>
          </w:p>
        </w:tc>
        <w:tc>
          <w:tcPr>
            <w:tcW w:w="324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内容</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数量</w:t>
            </w:r>
            <w:r>
              <w:rPr>
                <w:rFonts w:hint="eastAsia" w:ascii="宋体" w:hAnsi="宋体" w:eastAsia="宋体" w:cs="宋体"/>
                <w:b/>
                <w:i w:val="0"/>
                <w:color w:val="0000FF"/>
                <w:kern w:val="0"/>
                <w:sz w:val="21"/>
                <w:szCs w:val="21"/>
                <w:u w:val="none"/>
                <w:lang w:val="en-US" w:eastAsia="zh-CN" w:bidi="ar"/>
              </w:rPr>
              <w:br w:type="textWrapping"/>
            </w:r>
            <w:r>
              <w:rPr>
                <w:rFonts w:hint="eastAsia" w:ascii="宋体" w:hAnsi="宋体" w:eastAsia="宋体" w:cs="宋体"/>
                <w:b/>
                <w:i w:val="0"/>
                <w:color w:val="0000FF"/>
                <w:kern w:val="0"/>
                <w:sz w:val="21"/>
                <w:szCs w:val="21"/>
                <w:u w:val="none"/>
                <w:lang w:val="en-US" w:eastAsia="zh-CN" w:bidi="ar"/>
              </w:rPr>
              <w:t>万只</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折算成成年猪（万只）</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存栏时间</w:t>
            </w:r>
            <w:r>
              <w:rPr>
                <w:rFonts w:hint="eastAsia" w:ascii="宋体" w:hAnsi="宋体" w:eastAsia="宋体" w:cs="宋体"/>
                <w:b/>
                <w:i w:val="0"/>
                <w:color w:val="0000FF"/>
                <w:kern w:val="0"/>
                <w:sz w:val="21"/>
                <w:szCs w:val="21"/>
                <w:u w:val="none"/>
                <w:lang w:val="en-US" w:eastAsia="zh-CN" w:bidi="ar"/>
              </w:rPr>
              <w:br w:type="textWrapping"/>
            </w:r>
            <w:r>
              <w:rPr>
                <w:rFonts w:hint="eastAsia" w:ascii="宋体" w:hAnsi="宋体" w:eastAsia="宋体" w:cs="宋体"/>
                <w:b/>
                <w:i w:val="0"/>
                <w:color w:val="0000FF"/>
                <w:kern w:val="0"/>
                <w:sz w:val="21"/>
                <w:szCs w:val="21"/>
                <w:u w:val="none"/>
                <w:lang w:val="en-US" w:eastAsia="zh-CN" w:bidi="ar"/>
              </w:rPr>
              <w:t>（d）</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备注</w:t>
            </w:r>
          </w:p>
        </w:tc>
      </w:tr>
      <w:tr>
        <w:tblPrEx>
          <w:shd w:val="clear" w:color="auto" w:fill="auto"/>
          <w:tblCellMar>
            <w:top w:w="0" w:type="dxa"/>
            <w:left w:w="0" w:type="dxa"/>
            <w:bottom w:w="0" w:type="dxa"/>
            <w:right w:w="0" w:type="dxa"/>
          </w:tblCellMar>
        </w:tblPrEx>
        <w:trPr>
          <w:trHeight w:val="52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324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存栏量</w:t>
            </w:r>
          </w:p>
        </w:tc>
        <w:tc>
          <w:tcPr>
            <w:tcW w:w="324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繁育羊</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10</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3.3</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365</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每3只羊折算成1头猪</w:t>
            </w:r>
          </w:p>
        </w:tc>
      </w:tr>
      <w:tr>
        <w:tblPrEx>
          <w:shd w:val="clear" w:color="auto" w:fill="auto"/>
          <w:tblCellMar>
            <w:top w:w="0" w:type="dxa"/>
            <w:left w:w="0" w:type="dxa"/>
            <w:bottom w:w="0" w:type="dxa"/>
            <w:right w:w="0" w:type="dxa"/>
          </w:tblCellMar>
        </w:tblPrEx>
        <w:trPr>
          <w:trHeight w:val="200" w:hRule="atLeast"/>
        </w:trPr>
        <w:tc>
          <w:tcPr>
            <w:tcW w:w="108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324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r>
        <w:tblPrEx>
          <w:shd w:val="clear" w:color="auto" w:fill="auto"/>
          <w:tblCellMar>
            <w:top w:w="0" w:type="dxa"/>
            <w:left w:w="0" w:type="dxa"/>
            <w:bottom w:w="0" w:type="dxa"/>
            <w:right w:w="0" w:type="dxa"/>
          </w:tblCellMar>
        </w:tblPrEx>
        <w:trPr>
          <w:trHeight w:val="120" w:hRule="atLeast"/>
        </w:trPr>
        <w:tc>
          <w:tcPr>
            <w:tcW w:w="108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324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r>
        <w:tblPrEx>
          <w:shd w:val="clear" w:color="auto" w:fill="auto"/>
          <w:tblCellMar>
            <w:top w:w="0" w:type="dxa"/>
            <w:left w:w="0" w:type="dxa"/>
            <w:bottom w:w="0" w:type="dxa"/>
            <w:right w:w="0"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出栏量</w:t>
            </w:r>
          </w:p>
        </w:tc>
        <w:tc>
          <w:tcPr>
            <w:tcW w:w="3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肉羊</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4</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1.3</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365</w:t>
            </w: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bl>
    <w:p>
      <w:pPr>
        <w:pStyle w:val="18"/>
        <w:numPr>
          <w:ilvl w:val="0"/>
          <w:numId w:val="0"/>
        </w:numPr>
        <w:tabs>
          <w:tab w:val="left" w:pos="1380"/>
        </w:tabs>
        <w:spacing w:before="195" w:after="0" w:line="240" w:lineRule="auto"/>
        <w:ind w:left="540" w:leftChars="0" w:right="0" w:rightChars="0"/>
        <w:jc w:val="left"/>
        <w:rPr>
          <w:b/>
          <w:sz w:val="28"/>
        </w:rPr>
      </w:pPr>
      <w:r>
        <w:rPr>
          <w:rFonts w:hint="eastAsia"/>
          <w:b/>
          <w:sz w:val="28"/>
          <w:lang w:val="en-US" w:eastAsia="zh-CN"/>
        </w:rPr>
        <w:t>3.1.10</w:t>
      </w:r>
      <w:r>
        <w:rPr>
          <w:b/>
          <w:sz w:val="28"/>
        </w:rPr>
        <w:t>工程平面布置</w:t>
      </w:r>
    </w:p>
    <w:p>
      <w:pPr>
        <w:pStyle w:val="7"/>
        <w:spacing w:before="5"/>
        <w:ind w:left="0"/>
        <w:rPr>
          <w:b/>
          <w:sz w:val="21"/>
        </w:rPr>
      </w:pPr>
    </w:p>
    <w:p>
      <w:pPr>
        <w:pStyle w:val="18"/>
        <w:numPr>
          <w:ilvl w:val="0"/>
          <w:numId w:val="26"/>
        </w:numPr>
        <w:tabs>
          <w:tab w:val="left" w:pos="1621"/>
        </w:tabs>
        <w:spacing w:before="0" w:after="0" w:line="240" w:lineRule="auto"/>
        <w:ind w:left="1621" w:right="0" w:hanging="601"/>
        <w:jc w:val="left"/>
        <w:rPr>
          <w:sz w:val="24"/>
        </w:rPr>
      </w:pPr>
      <w:r>
        <w:rPr>
          <w:sz w:val="24"/>
        </w:rPr>
        <w:t>概述</w:t>
      </w:r>
    </w:p>
    <w:p>
      <w:pPr>
        <w:pStyle w:val="7"/>
        <w:keepNext w:val="0"/>
        <w:keepLines w:val="0"/>
        <w:pageBreakBefore w:val="0"/>
        <w:widowControl w:val="0"/>
        <w:kinsoku/>
        <w:wordWrap/>
        <w:overflowPunct/>
        <w:topLinePunct w:val="0"/>
        <w:autoSpaceDE w:val="0"/>
        <w:autoSpaceDN w:val="0"/>
        <w:bidi w:val="0"/>
        <w:adjustRightInd/>
        <w:snapToGrid/>
        <w:spacing w:before="143" w:line="400" w:lineRule="exact"/>
        <w:ind w:left="539" w:firstLine="480" w:firstLineChars="200"/>
        <w:textAlignment w:val="auto"/>
        <w:rPr>
          <w:color w:val="0000FF"/>
        </w:rPr>
      </w:pPr>
      <w:r>
        <w:rPr>
          <w:color w:val="0000FF"/>
        </w:rPr>
        <w:t>本项目新建年出栏</w:t>
      </w:r>
      <w:r>
        <w:rPr>
          <w:rFonts w:ascii="Times New Roman" w:eastAsia="Times New Roman"/>
          <w:color w:val="0000FF"/>
        </w:rPr>
        <w:t>4</w:t>
      </w:r>
      <w:r>
        <w:rPr>
          <w:color w:val="0000FF"/>
        </w:rPr>
        <w:t>万只羊养殖场</w:t>
      </w:r>
      <w:r>
        <w:rPr>
          <w:rFonts w:ascii="Times New Roman" w:eastAsia="Times New Roman"/>
          <w:color w:val="0000FF"/>
        </w:rPr>
        <w:t>1</w:t>
      </w:r>
      <w:r>
        <w:rPr>
          <w:color w:val="0000FF"/>
        </w:rPr>
        <w:t>座，包括养殖区、饲料贮存及相应的附属配套设施设备。建设项目总占地面积</w:t>
      </w:r>
      <w:r>
        <w:rPr>
          <w:rFonts w:hint="eastAsia"/>
          <w:color w:val="0000FF"/>
          <w:lang w:val="en-US" w:eastAsia="zh-CN"/>
        </w:rPr>
        <w:t>2.073</w:t>
      </w:r>
      <w:r>
        <w:rPr>
          <w:rFonts w:ascii="Times New Roman" w:eastAsia="Times New Roman"/>
          <w:color w:val="0000FF"/>
        </w:rPr>
        <w:t>hm</w:t>
      </w:r>
      <w:r>
        <w:rPr>
          <w:rFonts w:ascii="Times New Roman" w:eastAsia="Times New Roman"/>
          <w:color w:val="0000FF"/>
          <w:position w:val="8"/>
          <w:sz w:val="15"/>
        </w:rPr>
        <w:t>2</w:t>
      </w:r>
      <w:r>
        <w:rPr>
          <w:color w:val="0000FF"/>
        </w:rPr>
        <w:t>（</w:t>
      </w:r>
      <w:r>
        <w:rPr>
          <w:rFonts w:hint="eastAsia"/>
          <w:color w:val="0000FF"/>
          <w:lang w:val="en-US" w:eastAsia="zh-CN"/>
        </w:rPr>
        <w:t>31.095</w:t>
      </w:r>
      <w:r>
        <w:rPr>
          <w:color w:val="0000FF"/>
        </w:rPr>
        <w:t>亩），总建筑面积为</w:t>
      </w:r>
      <w:r>
        <w:rPr>
          <w:rFonts w:hint="eastAsia" w:ascii="Times New Roman" w:eastAsia="宋体"/>
          <w:color w:val="0000FF"/>
          <w:lang w:val="en-US" w:eastAsia="zh-CN"/>
        </w:rPr>
        <w:t>20730.00</w:t>
      </w:r>
      <w:r>
        <w:rPr>
          <w:rFonts w:ascii="Times New Roman" w:eastAsia="Times New Roman"/>
          <w:color w:val="0000FF"/>
        </w:rPr>
        <w:t>m</w:t>
      </w:r>
      <w:r>
        <w:rPr>
          <w:rFonts w:ascii="Times New Roman" w:eastAsia="Times New Roman"/>
          <w:color w:val="0000FF"/>
          <w:position w:val="8"/>
          <w:sz w:val="15"/>
        </w:rPr>
        <w:t>2</w:t>
      </w:r>
      <w:r>
        <w:rPr>
          <w:color w:val="0000FF"/>
        </w:rPr>
        <w:t>，绿化面积为</w:t>
      </w:r>
      <w:r>
        <w:rPr>
          <w:rFonts w:hint="eastAsia"/>
          <w:color w:val="0000FF"/>
          <w:lang w:val="en-US" w:eastAsia="zh-CN"/>
        </w:rPr>
        <w:t>3109.5</w:t>
      </w:r>
      <w:r>
        <w:rPr>
          <w:rFonts w:ascii="Times New Roman" w:eastAsia="Times New Roman"/>
          <w:color w:val="0000FF"/>
        </w:rPr>
        <w:t>m</w:t>
      </w:r>
      <w:r>
        <w:rPr>
          <w:rFonts w:ascii="Times New Roman" w:eastAsia="Times New Roman"/>
          <w:color w:val="0000FF"/>
          <w:position w:val="8"/>
          <w:sz w:val="15"/>
        </w:rPr>
        <w:t>2</w:t>
      </w:r>
      <w:r>
        <w:rPr>
          <w:color w:val="0000FF"/>
        </w:rPr>
        <w:t>（</w:t>
      </w:r>
      <w:r>
        <w:rPr>
          <w:rFonts w:hint="eastAsia"/>
          <w:color w:val="0000FF"/>
          <w:lang w:val="en-US" w:eastAsia="zh-CN"/>
        </w:rPr>
        <w:t>4.66</w:t>
      </w:r>
      <w:r>
        <w:rPr>
          <w:color w:val="0000FF"/>
        </w:rPr>
        <w:t>亩）。</w:t>
      </w:r>
    </w:p>
    <w:p>
      <w:pPr>
        <w:pStyle w:val="18"/>
        <w:numPr>
          <w:ilvl w:val="0"/>
          <w:numId w:val="26"/>
        </w:numPr>
        <w:tabs>
          <w:tab w:val="left" w:pos="1621"/>
        </w:tabs>
        <w:spacing w:before="161" w:after="0" w:line="240" w:lineRule="auto"/>
        <w:ind w:left="1621" w:right="0" w:hanging="601"/>
        <w:jc w:val="left"/>
        <w:rPr>
          <w:sz w:val="24"/>
        </w:rPr>
      </w:pPr>
      <w:r>
        <w:rPr>
          <w:sz w:val="24"/>
        </w:rPr>
        <w:t>场地选择的基本要求</w:t>
      </w:r>
    </w:p>
    <w:p>
      <w:pPr>
        <w:pStyle w:val="7"/>
        <w:spacing w:before="160" w:line="364" w:lineRule="auto"/>
        <w:ind w:right="577" w:firstLine="480"/>
      </w:pPr>
      <w:r>
        <w:rPr>
          <w:rFonts w:ascii="Times New Roman" w:eastAsia="Times New Roman"/>
        </w:rPr>
        <w:t>a</w:t>
      </w:r>
      <w:r>
        <w:t>、选择地势较高、向阳、背风、干燥、水源充足、水质良好、地段平坦且排水良好之处。</w:t>
      </w:r>
    </w:p>
    <w:p>
      <w:pPr>
        <w:pStyle w:val="7"/>
        <w:spacing w:before="1" w:line="364" w:lineRule="auto"/>
        <w:ind w:left="1020" w:right="3018"/>
      </w:pPr>
      <w:r>
        <w:rPr>
          <w:rFonts w:ascii="Times New Roman" w:eastAsia="Times New Roman"/>
        </w:rPr>
        <w:t>b</w:t>
      </w:r>
      <w:r>
        <w:t>、避开冬季风口、低洼易涝、泥流冲积的地段。</w:t>
      </w:r>
      <w:r>
        <w:rPr>
          <w:rFonts w:ascii="Times New Roman" w:eastAsia="Times New Roman"/>
        </w:rPr>
        <w:t>c</w:t>
      </w:r>
      <w:r>
        <w:rPr>
          <w:spacing w:val="-1"/>
        </w:rPr>
        <w:t>、离交通要道、集市应有一定距离，有利于防疫。</w:t>
      </w:r>
      <w:r>
        <w:rPr>
          <w:rFonts w:ascii="Times New Roman" w:eastAsia="Times New Roman"/>
        </w:rPr>
        <w:t>d</w:t>
      </w:r>
      <w:r>
        <w:t>、养殖场区周围建有围墙。</w:t>
      </w:r>
    </w:p>
    <w:p>
      <w:pPr>
        <w:pStyle w:val="7"/>
        <w:spacing w:before="2"/>
        <w:ind w:left="1020"/>
      </w:pPr>
      <w:r>
        <w:rPr>
          <w:rFonts w:ascii="Times New Roman" w:eastAsia="Times New Roman"/>
        </w:rPr>
        <w:t>e</w:t>
      </w:r>
      <w:r>
        <w:t>、养殖场区出入口处设置与门同宽，长</w:t>
      </w:r>
      <w:r>
        <w:rPr>
          <w:rFonts w:ascii="Times New Roman" w:eastAsia="Times New Roman"/>
        </w:rPr>
        <w:t>4</w:t>
      </w:r>
      <w:r>
        <w:t>米、深</w:t>
      </w:r>
      <w:r>
        <w:rPr>
          <w:rFonts w:ascii="Times New Roman" w:eastAsia="Times New Roman"/>
        </w:rPr>
        <w:t>0.3</w:t>
      </w:r>
      <w:r>
        <w:t>米以上的消毒池。</w:t>
      </w:r>
    </w:p>
    <w:p>
      <w:pPr>
        <w:pStyle w:val="7"/>
        <w:spacing w:before="161"/>
        <w:ind w:left="1020"/>
      </w:pPr>
      <w:r>
        <w:rPr>
          <w:rFonts w:ascii="Times New Roman" w:eastAsia="Times New Roman"/>
        </w:rPr>
        <w:t>f</w:t>
      </w:r>
      <w:r>
        <w:t>、养殖场生产区与生活办公区分开，并有隔离设施。</w:t>
      </w:r>
    </w:p>
    <w:p>
      <w:pPr>
        <w:pStyle w:val="7"/>
        <w:spacing w:before="160" w:line="364" w:lineRule="auto"/>
        <w:ind w:right="580" w:firstLine="480"/>
      </w:pPr>
      <w:r>
        <w:rPr>
          <w:rFonts w:ascii="Times New Roman" w:eastAsia="Times New Roman"/>
        </w:rPr>
        <w:t>g</w:t>
      </w:r>
      <w:r>
        <w:t>、养殖场生产区入口处设置更衣消毒室，各栋羊舍出入口设置消毒池或者消毒垫。</w:t>
      </w:r>
    </w:p>
    <w:p>
      <w:pPr>
        <w:pStyle w:val="7"/>
        <w:spacing w:before="1"/>
        <w:ind w:left="1020"/>
      </w:pPr>
      <w:r>
        <w:rPr>
          <w:rFonts w:ascii="Times New Roman" w:eastAsia="Times New Roman"/>
        </w:rPr>
        <w:t>h</w:t>
      </w:r>
      <w:r>
        <w:t>、养殖场生产区内清洁道、污染道分设。</w:t>
      </w:r>
    </w:p>
    <w:p>
      <w:pPr>
        <w:pStyle w:val="7"/>
        <w:spacing w:before="161"/>
        <w:ind w:left="1020"/>
        <w:jc w:val="both"/>
      </w:pPr>
      <w:r>
        <w:rPr>
          <w:rFonts w:ascii="Times New Roman" w:eastAsia="Times New Roman"/>
        </w:rPr>
        <w:t>j</w:t>
      </w:r>
      <w:r>
        <w:t>、养殖场生产区内各养殖栋舍之间距离在</w:t>
      </w:r>
      <w:r>
        <w:rPr>
          <w:rFonts w:ascii="Times New Roman" w:eastAsia="Times New Roman"/>
        </w:rPr>
        <w:t>5</w:t>
      </w:r>
      <w:r>
        <w:t>米以上或者有隔离。</w:t>
      </w:r>
    </w:p>
    <w:p>
      <w:pPr>
        <w:pStyle w:val="7"/>
        <w:spacing w:before="160" w:line="364" w:lineRule="auto"/>
        <w:ind w:right="575" w:firstLine="480"/>
        <w:jc w:val="both"/>
        <w:rPr>
          <w:color w:val="0000FF"/>
        </w:rPr>
      </w:pPr>
      <w:r>
        <w:rPr>
          <w:color w:val="0000FF"/>
          <w:spacing w:val="-3"/>
        </w:rPr>
        <w:t>项目建设地点位于</w:t>
      </w:r>
      <w:r>
        <w:rPr>
          <w:rFonts w:hint="eastAsia"/>
          <w:color w:val="0000FF"/>
          <w:spacing w:val="-3"/>
          <w:lang w:val="en-US" w:eastAsia="zh-CN"/>
        </w:rPr>
        <w:t>莎车</w:t>
      </w:r>
      <w:r>
        <w:rPr>
          <w:color w:val="0000FF"/>
          <w:spacing w:val="-3"/>
        </w:rPr>
        <w:t>县，项目周围</w:t>
      </w:r>
      <w:r>
        <w:rPr>
          <w:rFonts w:ascii="Times New Roman" w:eastAsia="Times New Roman"/>
          <w:color w:val="0000FF"/>
        </w:rPr>
        <w:t>1000m</w:t>
      </w:r>
      <w:r>
        <w:rPr>
          <w:color w:val="0000FF"/>
        </w:rPr>
        <w:t>内无大型化工厂、矿厂、皮革</w:t>
      </w:r>
      <w:r>
        <w:rPr>
          <w:color w:val="0000FF"/>
          <w:spacing w:val="-8"/>
        </w:rPr>
        <w:t>厂、肉品加工厂、屠宰场或其它污染源；距西侧的</w:t>
      </w:r>
      <w:r>
        <w:rPr>
          <w:rFonts w:hint="eastAsia"/>
          <w:color w:val="0000FF"/>
          <w:spacing w:val="-8"/>
          <w:lang w:val="en-US" w:eastAsia="zh-CN"/>
        </w:rPr>
        <w:t>萨依吾斯塘村</w:t>
      </w:r>
      <w:r>
        <w:rPr>
          <w:color w:val="0000FF"/>
          <w:spacing w:val="-8"/>
        </w:rPr>
        <w:t>村</w:t>
      </w:r>
      <w:r>
        <w:rPr>
          <w:rFonts w:hint="eastAsia" w:ascii="Times New Roman" w:eastAsia="宋体"/>
          <w:color w:val="0000FF"/>
          <w:lang w:val="en-US" w:eastAsia="zh-CN"/>
        </w:rPr>
        <w:t>1.6</w:t>
      </w:r>
      <w:r>
        <w:rPr>
          <w:rFonts w:ascii="Times New Roman" w:eastAsia="Times New Roman"/>
          <w:color w:val="0000FF"/>
        </w:rPr>
        <w:t>km</w:t>
      </w:r>
      <w:r>
        <w:rPr>
          <w:color w:val="0000FF"/>
          <w:spacing w:val="-6"/>
        </w:rPr>
        <w:t>，项目的选址符合羊养殖区选址中的相关要求。整个场区地势相对平坦，羊产业养殖场</w:t>
      </w:r>
      <w:r>
        <w:rPr>
          <w:color w:val="0000FF"/>
        </w:rPr>
        <w:t>主入口正对乡村公路，其他面为</w:t>
      </w:r>
      <w:r>
        <w:rPr>
          <w:rFonts w:hint="eastAsia"/>
          <w:color w:val="0000FF"/>
          <w:lang w:val="en-US" w:eastAsia="zh-CN"/>
        </w:rPr>
        <w:t>萨依吾斯塘村</w:t>
      </w:r>
      <w:r>
        <w:rPr>
          <w:color w:val="0000FF"/>
        </w:rPr>
        <w:t>农田，隔离条件较好。</w:t>
      </w:r>
    </w:p>
    <w:p>
      <w:pPr>
        <w:pStyle w:val="18"/>
        <w:numPr>
          <w:ilvl w:val="0"/>
          <w:numId w:val="26"/>
        </w:numPr>
        <w:tabs>
          <w:tab w:val="left" w:pos="1621"/>
        </w:tabs>
        <w:spacing w:before="3" w:after="0" w:line="240" w:lineRule="auto"/>
        <w:ind w:left="1621" w:right="0" w:hanging="601"/>
        <w:jc w:val="left"/>
        <w:rPr>
          <w:sz w:val="24"/>
        </w:rPr>
      </w:pPr>
      <w:r>
        <w:rPr>
          <w:sz w:val="24"/>
        </w:rPr>
        <w:t>设计要求</w:t>
      </w:r>
    </w:p>
    <w:p>
      <w:pPr>
        <w:pStyle w:val="7"/>
        <w:spacing w:before="160" w:line="364" w:lineRule="auto"/>
        <w:ind w:right="485" w:firstLine="480"/>
      </w:pPr>
      <w:r>
        <w:t>总平面选址符合建设规划要求，充分利用地形、空地现状，并能保证安全、疏散、防火等需要。</w:t>
      </w:r>
    </w:p>
    <w:p>
      <w:pPr>
        <w:pStyle w:val="18"/>
        <w:numPr>
          <w:ilvl w:val="0"/>
          <w:numId w:val="26"/>
        </w:numPr>
        <w:tabs>
          <w:tab w:val="left" w:pos="1621"/>
        </w:tabs>
        <w:spacing w:before="2" w:after="0" w:line="240" w:lineRule="auto"/>
        <w:ind w:left="1621" w:right="0" w:hanging="601"/>
        <w:jc w:val="left"/>
        <w:rPr>
          <w:sz w:val="24"/>
        </w:rPr>
      </w:pPr>
      <w:r>
        <w:rPr>
          <w:sz w:val="24"/>
        </w:rPr>
        <w:t>总平面布局</w:t>
      </w:r>
    </w:p>
    <w:p>
      <w:pPr>
        <w:pStyle w:val="7"/>
        <w:spacing w:before="160" w:line="364" w:lineRule="auto"/>
        <w:ind w:right="457" w:firstLine="480"/>
        <w:jc w:val="both"/>
      </w:pPr>
      <w:r>
        <w:rPr>
          <w:spacing w:val="-7"/>
        </w:rPr>
        <w:t>项目总平面布置原则：按照饲养的操作流程布置羊舍和粪污处理等设施，做</w:t>
      </w:r>
      <w:r>
        <w:rPr>
          <w:spacing w:val="-13"/>
        </w:rPr>
        <w:t>到功能分区明确合理，保证养殖场内物料运输距离短捷顺畅，干净道和污染道尽</w:t>
      </w:r>
      <w:r>
        <w:rPr>
          <w:spacing w:val="-16"/>
        </w:rPr>
        <w:t>量不交叉，搞好绿化工作，使养殖场内部环境优美，空气清新，有利于人畜生活。</w:t>
      </w:r>
    </w:p>
    <w:p>
      <w:pPr>
        <w:pStyle w:val="7"/>
        <w:spacing w:before="2" w:line="364" w:lineRule="auto"/>
        <w:ind w:right="457" w:firstLine="480"/>
      </w:pPr>
      <w:r>
        <w:rPr>
          <w:spacing w:val="-6"/>
        </w:rPr>
        <w:t>场内根据生产流程和工作要求，严格实行分区和分散布局管理，养殖场内按生产工艺流程划分为养殖区、粪污处理区和饲料贮存区三个不同生产功能分区，</w:t>
      </w:r>
      <w:r>
        <w:rPr>
          <w:spacing w:val="-17"/>
        </w:rPr>
        <w:t>羊舍之间、羊舍与饲料贮存区之间、粪污处理区与羊舍之间保持相应的防疫间距。</w:t>
      </w:r>
    </w:p>
    <w:p>
      <w:pPr>
        <w:pStyle w:val="7"/>
        <w:spacing w:before="143" w:line="364" w:lineRule="auto"/>
        <w:ind w:right="457" w:firstLine="480"/>
      </w:pPr>
      <w:r>
        <w:t>①养殖区</w:t>
      </w:r>
    </w:p>
    <w:p>
      <w:pPr>
        <w:pStyle w:val="7"/>
        <w:spacing w:before="143" w:line="364" w:lineRule="auto"/>
        <w:ind w:right="457" w:firstLine="480"/>
      </w:pPr>
      <w:r>
        <w:rPr>
          <w:spacing w:val="-7"/>
        </w:rPr>
        <w:t>养殖区位于项目区西南侧，占场区大部分面积。根据有利防疫、便于管理和</w:t>
      </w:r>
      <w:r>
        <w:rPr>
          <w:spacing w:val="-12"/>
        </w:rPr>
        <w:t>方便转运的原则，将整个养殖区分为配种羊舍和标准化羊舍，形成一条完整的流</w:t>
      </w:r>
      <w:r>
        <w:rPr>
          <w:spacing w:val="-13"/>
        </w:rPr>
        <w:t>水养殖线。同时，将无害化车间布置在场地东北侧，尽可能远离场区养殖区，并</w:t>
      </w:r>
      <w:r>
        <w:rPr>
          <w:spacing w:val="-15"/>
        </w:rPr>
        <w:t>种植林木实施隔离，以最大程度防止疫情、恶臭对整个场区的影响。按照农业循</w:t>
      </w:r>
      <w:r>
        <w:rPr>
          <w:spacing w:val="-14"/>
        </w:rPr>
        <w:t>环经济的规律，按照节约用地、保护环境、保护生态平衡、废物资源化利用的原</w:t>
      </w:r>
      <w:r>
        <w:rPr>
          <w:spacing w:val="-17"/>
        </w:rPr>
        <w:t>则，在各羊舍区间种植树木作为隔离林带，用草本花卉作为绿化地带作为隔离带，</w:t>
      </w:r>
      <w:r>
        <w:t>以达到恶臭净化的目的，减少对环境的影响。</w:t>
      </w:r>
    </w:p>
    <w:p>
      <w:pPr>
        <w:pStyle w:val="7"/>
        <w:spacing w:before="4"/>
        <w:ind w:left="1020"/>
      </w:pPr>
      <w:r>
        <w:t>②饲料贮存区</w:t>
      </w:r>
    </w:p>
    <w:p>
      <w:pPr>
        <w:pStyle w:val="7"/>
        <w:spacing w:before="160" w:line="364" w:lineRule="auto"/>
        <w:ind w:right="485" w:firstLine="480"/>
      </w:pPr>
      <w:r>
        <w:rPr>
          <w:spacing w:val="-6"/>
        </w:rPr>
        <w:t>本项目饲料贮存区设在场址北侧，位于养殖区和粪污处理区的上风向，并设</w:t>
      </w:r>
      <w:r>
        <w:rPr>
          <w:spacing w:val="-7"/>
        </w:rPr>
        <w:t>通道通向厂外。同时，饲料贮存区和养殖区、粪污处理区之间均有一定的距离，</w:t>
      </w:r>
      <w:r>
        <w:t>饲料贮存区和粪污处理区之间设置绿化隔离带。</w:t>
      </w:r>
    </w:p>
    <w:p>
      <w:pPr>
        <w:pStyle w:val="7"/>
        <w:spacing w:before="2"/>
        <w:ind w:left="1020"/>
      </w:pPr>
      <w:r>
        <w:t>③粪污处理区</w:t>
      </w:r>
    </w:p>
    <w:p>
      <w:pPr>
        <w:pStyle w:val="7"/>
        <w:spacing w:before="161" w:line="364" w:lineRule="auto"/>
        <w:ind w:right="577" w:firstLine="480"/>
        <w:jc w:val="both"/>
      </w:pPr>
      <w:r>
        <w:rPr>
          <w:spacing w:val="-7"/>
        </w:rPr>
        <w:t>项目区主导风向为西北偏北风，本项目区常年主导方向为西北风，项目堆肥</w:t>
      </w:r>
      <w:r>
        <w:rPr>
          <w:spacing w:val="-10"/>
        </w:rPr>
        <w:t>厂、无害化处理车间等设施均位于场区东北角，属于常年主导风向的侧风向，且</w:t>
      </w:r>
      <w:r>
        <w:t>与养殖区相距较远，因此，粪污处理区平面布置对周围环境影响较小。</w:t>
      </w:r>
    </w:p>
    <w:p>
      <w:pPr>
        <w:pStyle w:val="7"/>
        <w:spacing w:before="2" w:line="364" w:lineRule="auto"/>
        <w:ind w:right="485" w:firstLine="480"/>
      </w:pPr>
      <w:r>
        <w:t>④结合养殖区内的功能，厂区内道路按照净道和污道不交叉的原则进行布</w:t>
      </w:r>
      <w:r>
        <w:rPr>
          <w:spacing w:val="-7"/>
        </w:rPr>
        <w:t>置，厂区北侧设置</w:t>
      </w:r>
      <w:r>
        <w:rPr>
          <w:rFonts w:ascii="Times New Roman" w:hAnsi="Times New Roman" w:eastAsia="Times New Roman"/>
        </w:rPr>
        <w:t>1</w:t>
      </w:r>
      <w:r>
        <w:rPr>
          <w:spacing w:val="-1"/>
        </w:rPr>
        <w:t>个污路出入口，南侧设置一个出入口，一个为养殖区大门，</w:t>
      </w:r>
      <w:r>
        <w:rPr>
          <w:spacing w:val="-7"/>
        </w:rPr>
        <w:t>直通项目养殖生产区，主要为运输饲料等，另一个为人员进出大门，主要为人员流通，如此布置可以实现人流、物流分开出入，符合卫生防疫等相关的要求。</w:t>
      </w:r>
    </w:p>
    <w:p>
      <w:pPr>
        <w:pStyle w:val="7"/>
        <w:spacing w:before="2" w:line="364" w:lineRule="auto"/>
        <w:ind w:right="485" w:firstLine="480"/>
      </w:pPr>
      <w:r>
        <w:rPr>
          <w:spacing w:val="-2"/>
        </w:rPr>
        <w:t>⑤场区周围建有围墙；场区出入口处设置与门同宽，长</w:t>
      </w:r>
      <w:r>
        <w:rPr>
          <w:rFonts w:ascii="Times New Roman" w:hAnsi="Times New Roman" w:eastAsia="Times New Roman"/>
        </w:rPr>
        <w:t>4</w:t>
      </w:r>
      <w:r>
        <w:rPr>
          <w:spacing w:val="-13"/>
        </w:rPr>
        <w:t>米、深</w:t>
      </w:r>
      <w:r>
        <w:rPr>
          <w:rFonts w:ascii="Times New Roman" w:hAnsi="Times New Roman" w:eastAsia="Times New Roman"/>
        </w:rPr>
        <w:t>0.3</w:t>
      </w:r>
      <w:r>
        <w:t>米以</w:t>
      </w:r>
      <w:r>
        <w:rPr>
          <w:spacing w:val="-10"/>
        </w:rPr>
        <w:t>上的消毒池；生产区与办公区分开，并有隔离设施；生产区入口处设置更衣消毒</w:t>
      </w:r>
      <w:r>
        <w:rPr>
          <w:spacing w:val="-11"/>
        </w:rPr>
        <w:t>室，各养殖栋舍出入口设置消毒池或者消毒垫；生产区内清洁道、污染道分设；</w:t>
      </w:r>
      <w:r>
        <w:rPr>
          <w:spacing w:val="-4"/>
        </w:rPr>
        <w:t>生产区内各养殖栋舍之间距离在</w:t>
      </w:r>
      <w:r>
        <w:rPr>
          <w:rFonts w:ascii="Times New Roman" w:hAnsi="Times New Roman" w:eastAsia="Times New Roman"/>
        </w:rPr>
        <w:t>5</w:t>
      </w:r>
      <w:r>
        <w:t>米以上或者有隔离。</w:t>
      </w:r>
    </w:p>
    <w:p>
      <w:pPr>
        <w:pStyle w:val="7"/>
        <w:spacing w:before="143" w:line="364" w:lineRule="auto"/>
        <w:ind w:right="485" w:firstLine="480"/>
      </w:pPr>
      <w:r>
        <w:rPr>
          <w:spacing w:val="-1"/>
        </w:rPr>
        <w:t>⑥基地内道路采用戈壁石路面，基地内外形成环状道路，并与消防车道相</w:t>
      </w:r>
      <w:r>
        <w:rPr>
          <w:spacing w:val="-7"/>
        </w:rPr>
        <w:t>结合。道路宽度</w:t>
      </w:r>
      <w:r>
        <w:rPr>
          <w:rFonts w:ascii="Times New Roman" w:hAnsi="Times New Roman" w:eastAsia="Times New Roman"/>
        </w:rPr>
        <w:t>6</w:t>
      </w:r>
      <w:r>
        <w:rPr>
          <w:spacing w:val="-11"/>
        </w:rPr>
        <w:t>米，纵坡</w:t>
      </w:r>
      <w:r>
        <w:rPr>
          <w:rFonts w:ascii="Times New Roman" w:hAnsi="Times New Roman" w:eastAsia="Times New Roman"/>
        </w:rPr>
        <w:t>0.55</w:t>
      </w:r>
      <w:r>
        <w:rPr>
          <w:spacing w:val="-8"/>
        </w:rPr>
        <w:t>％，最小纵坡</w:t>
      </w:r>
      <w:r>
        <w:rPr>
          <w:rFonts w:ascii="Times New Roman" w:hAnsi="Times New Roman" w:eastAsia="Times New Roman"/>
        </w:rPr>
        <w:t>0.2</w:t>
      </w:r>
      <w:r>
        <w:rPr>
          <w:spacing w:val="-1"/>
        </w:rPr>
        <w:t>％。地表雨水均排入周围绿化</w:t>
      </w:r>
      <w:r>
        <w:rPr>
          <w:spacing w:val="-11"/>
        </w:rPr>
        <w:t>带。根据养殖场内地形，基地场地排水采用无组织排水。在施工中将场地适当填</w:t>
      </w:r>
      <w:r>
        <w:rPr>
          <w:spacing w:val="-10"/>
        </w:rPr>
        <w:t>方，略高于周围地坪，以使建筑有良好的视角，并为污水、雨水的排放提供便利</w:t>
      </w:r>
      <w:r>
        <w:t>条件。</w:t>
      </w:r>
    </w:p>
    <w:p>
      <w:pPr>
        <w:pStyle w:val="7"/>
        <w:spacing w:before="143" w:line="364" w:lineRule="auto"/>
        <w:ind w:right="485" w:firstLine="480"/>
      </w:pPr>
      <w:r>
        <w:rPr>
          <w:spacing w:val="-1"/>
        </w:rPr>
        <w:t>本项目总平面布置根据现有地形和主导风向，考虑周围环境，并兼顾防疫、</w:t>
      </w:r>
      <w:r>
        <w:rPr>
          <w:spacing w:val="-9"/>
        </w:rPr>
        <w:t>消防、环境卫生等要求，符合工艺流程，充分考虑自然地形地貌条件，满足生产</w:t>
      </w:r>
      <w:r>
        <w:rPr>
          <w:spacing w:val="-13"/>
        </w:rPr>
        <w:t>要求和方便管理，合理布置场区的建筑物、运输线路，使场内的物料运输路径短</w:t>
      </w:r>
      <w:r>
        <w:rPr>
          <w:spacing w:val="-15"/>
        </w:rPr>
        <w:t>捷，提高了生产效率，降低了运输成本。项目的总平面布置见图</w:t>
      </w:r>
      <w:r>
        <w:rPr>
          <w:rFonts w:ascii="Times New Roman" w:eastAsia="Times New Roman"/>
        </w:rPr>
        <w:t>3.1-9</w:t>
      </w:r>
      <w:r>
        <w:t>。</w:t>
      </w:r>
    </w:p>
    <w:p>
      <w:pPr>
        <w:pStyle w:val="18"/>
        <w:numPr>
          <w:ilvl w:val="0"/>
          <w:numId w:val="26"/>
        </w:numPr>
        <w:tabs>
          <w:tab w:val="left" w:pos="1621"/>
        </w:tabs>
        <w:spacing w:before="2" w:after="0" w:line="240" w:lineRule="auto"/>
        <w:ind w:left="1621" w:right="0" w:hanging="601"/>
        <w:jc w:val="left"/>
        <w:rPr>
          <w:sz w:val="24"/>
        </w:rPr>
      </w:pPr>
      <w:r>
        <w:rPr>
          <w:sz w:val="24"/>
        </w:rPr>
        <w:t>平面布置合理性分析</w:t>
      </w:r>
    </w:p>
    <w:p>
      <w:pPr>
        <w:pStyle w:val="7"/>
        <w:spacing w:before="161" w:line="364" w:lineRule="auto"/>
        <w:ind w:right="577" w:firstLine="480"/>
        <w:jc w:val="both"/>
      </w:pPr>
      <w:r>
        <w:rPr>
          <w:spacing w:val="-8"/>
        </w:rPr>
        <w:t>根据项目总平面布置，项目场区按生产工艺分区布置，做到了清洁区与污物</w:t>
      </w:r>
      <w:r>
        <w:rPr>
          <w:spacing w:val="-10"/>
        </w:rPr>
        <w:t>区分开、粪污处理区与养殖区分开，</w:t>
      </w:r>
      <w:r>
        <w:rPr>
          <w:rFonts w:hint="eastAsia"/>
          <w:spacing w:val="-10"/>
          <w:lang w:val="en-US" w:eastAsia="zh-CN"/>
        </w:rPr>
        <w:t>莎车</w:t>
      </w:r>
      <w:r>
        <w:rPr>
          <w:spacing w:val="-10"/>
        </w:rPr>
        <w:t>县常年主导风向为西风，粪污处理区布</w:t>
      </w:r>
      <w:r>
        <w:rPr>
          <w:spacing w:val="18"/>
        </w:rPr>
        <w:t>置</w:t>
      </w:r>
      <w:r>
        <w:rPr>
          <w:rFonts w:hint="eastAsia"/>
          <w:spacing w:val="18"/>
          <w:lang w:val="en-US" w:eastAsia="zh-CN"/>
        </w:rPr>
        <w:t>莎车</w:t>
      </w:r>
      <w:r>
        <w:rPr>
          <w:spacing w:val="18"/>
        </w:rPr>
        <w:t>县常年主导风的侧风向，符合《畜禽养殖业污染防治技术规范》</w:t>
      </w:r>
    </w:p>
    <w:p>
      <w:pPr>
        <w:pStyle w:val="7"/>
        <w:spacing w:before="1" w:line="364" w:lineRule="auto"/>
        <w:ind w:right="575"/>
        <w:jc w:val="both"/>
      </w:pPr>
      <w:r>
        <w:t>（</w:t>
      </w:r>
      <w:r>
        <w:rPr>
          <w:rFonts w:ascii="Times New Roman" w:hAnsi="Times New Roman" w:eastAsia="Times New Roman"/>
        </w:rPr>
        <w:t>HJ/T81-2001</w:t>
      </w:r>
      <w:r>
        <w:t>）的规定，畜禽养殖场场区布局应“新建、改建、扩建的畜禽养</w:t>
      </w:r>
      <w:r>
        <w:rPr>
          <w:spacing w:val="-8"/>
        </w:rPr>
        <w:t>殖场应实现生产区、生活管理区的隔离；粪便污水处理设施和畜禽尸体填埋，应</w:t>
      </w:r>
      <w:r>
        <w:rPr>
          <w:spacing w:val="-7"/>
        </w:rPr>
        <w:t>设在养殖场的生产区、生活管理区的常年主导风向的下风向或侧风向处。”的要</w:t>
      </w:r>
      <w:r>
        <w:t>求。因此，从环境保护角度来看，项目总平面图布置方案较合理，是可行的。</w:t>
      </w:r>
    </w:p>
    <w:p>
      <w:pPr>
        <w:pStyle w:val="18"/>
        <w:numPr>
          <w:ilvl w:val="0"/>
          <w:numId w:val="26"/>
        </w:numPr>
        <w:tabs>
          <w:tab w:val="left" w:pos="1621"/>
        </w:tabs>
        <w:spacing w:before="3" w:after="0" w:line="240" w:lineRule="auto"/>
        <w:ind w:left="1621" w:right="0" w:hanging="601"/>
        <w:jc w:val="left"/>
        <w:rPr>
          <w:sz w:val="24"/>
        </w:rPr>
      </w:pPr>
      <w:r>
        <w:rPr>
          <w:sz w:val="24"/>
        </w:rPr>
        <w:t>平面布置与相关规范符合性分析</w:t>
      </w:r>
    </w:p>
    <w:p>
      <w:pPr>
        <w:pStyle w:val="7"/>
        <w:spacing w:before="160"/>
        <w:ind w:left="1020"/>
      </w:pPr>
      <w:r>
        <w:t>①与《畜禽养殖业污染防治技术规范》（</w:t>
      </w:r>
      <w:r>
        <w:rPr>
          <w:rFonts w:ascii="Times New Roman" w:hAnsi="Times New Roman" w:eastAsia="Times New Roman"/>
        </w:rPr>
        <w:t>HJ/T81-2001</w:t>
      </w:r>
      <w:r>
        <w:t>）符合性</w:t>
      </w:r>
    </w:p>
    <w:p>
      <w:pPr>
        <w:pStyle w:val="7"/>
        <w:spacing w:before="161" w:line="364" w:lineRule="auto"/>
        <w:ind w:right="575" w:firstLine="480"/>
      </w:pPr>
      <w:r>
        <w:t>根据《畜禽养殖业污染防治技术规范》（</w:t>
      </w:r>
      <w:r>
        <w:rPr>
          <w:rFonts w:ascii="Times New Roman" w:eastAsia="Times New Roman"/>
        </w:rPr>
        <w:t>HJ/T81-2001</w:t>
      </w:r>
      <w:r>
        <w:t>）中场区布局有关要求，本项目场区平面布置与其符合性分析见表</w:t>
      </w:r>
      <w:r>
        <w:rPr>
          <w:rFonts w:ascii="Times New Roman" w:eastAsia="Times New Roman"/>
        </w:rPr>
        <w:t>3.1-11</w:t>
      </w:r>
      <w:r>
        <w:t>。</w:t>
      </w:r>
    </w:p>
    <w:p>
      <w:pPr>
        <w:pStyle w:val="7"/>
        <w:bidi w:val="0"/>
      </w:pPr>
      <w:r>
        <w:t>表</w:t>
      </w:r>
      <w:r>
        <w:rPr>
          <w:rFonts w:ascii="Times New Roman" w:eastAsia="Times New Roman"/>
        </w:rPr>
        <w:t>3.1-11</w:t>
      </w:r>
      <w:r>
        <w:t>场区布局与《畜禽养殖业污染防治技术规范》（</w:t>
      </w:r>
      <w:r>
        <w:rPr>
          <w:rFonts w:ascii="Times New Roman" w:eastAsia="Times New Roman"/>
        </w:rPr>
        <w:t>HJ/T81-2001</w:t>
      </w:r>
      <w:r>
        <w:t>）符合性</w:t>
      </w:r>
    </w:p>
    <w:tbl>
      <w:tblPr>
        <w:tblStyle w:val="15"/>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8"/>
        <w:gridCol w:w="4350"/>
        <w:gridCol w:w="2651"/>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8" w:type="dxa"/>
          </w:tcPr>
          <w:p>
            <w:pPr>
              <w:pStyle w:val="19"/>
              <w:spacing w:before="35"/>
              <w:ind w:left="92" w:right="84"/>
              <w:rPr>
                <w:b/>
                <w:sz w:val="21"/>
              </w:rPr>
            </w:pPr>
            <w:r>
              <w:rPr>
                <w:b/>
                <w:sz w:val="21"/>
              </w:rPr>
              <w:t>序号</w:t>
            </w:r>
          </w:p>
        </w:tc>
        <w:tc>
          <w:tcPr>
            <w:tcW w:w="4350" w:type="dxa"/>
          </w:tcPr>
          <w:p>
            <w:pPr>
              <w:pStyle w:val="19"/>
              <w:spacing w:before="35"/>
              <w:ind w:left="180"/>
              <w:jc w:val="left"/>
              <w:rPr>
                <w:b/>
                <w:sz w:val="21"/>
              </w:rPr>
            </w:pPr>
            <w:r>
              <w:rPr>
                <w:b/>
                <w:sz w:val="21"/>
              </w:rPr>
              <w:t>《畜禽养殖业污染防治技术规范》有关要求</w:t>
            </w:r>
          </w:p>
        </w:tc>
        <w:tc>
          <w:tcPr>
            <w:tcW w:w="2651" w:type="dxa"/>
          </w:tcPr>
          <w:p>
            <w:pPr>
              <w:pStyle w:val="19"/>
              <w:spacing w:before="35"/>
              <w:ind w:left="589"/>
              <w:jc w:val="left"/>
              <w:rPr>
                <w:b/>
                <w:sz w:val="21"/>
              </w:rPr>
            </w:pPr>
            <w:r>
              <w:rPr>
                <w:b/>
                <w:sz w:val="21"/>
              </w:rPr>
              <w:t>本项目场区布局</w:t>
            </w:r>
          </w:p>
        </w:tc>
        <w:tc>
          <w:tcPr>
            <w:tcW w:w="879" w:type="dxa"/>
          </w:tcPr>
          <w:p>
            <w:pPr>
              <w:pStyle w:val="19"/>
              <w:spacing w:before="35"/>
              <w:ind w:left="101" w:right="94"/>
              <w:rPr>
                <w:b/>
                <w:sz w:val="21"/>
              </w:rPr>
            </w:pPr>
            <w:r>
              <w:rPr>
                <w:b/>
                <w:sz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648" w:type="dxa"/>
          </w:tcPr>
          <w:p>
            <w:pPr>
              <w:pStyle w:val="19"/>
              <w:jc w:val="left"/>
              <w:rPr>
                <w:b/>
                <w:sz w:val="22"/>
              </w:rPr>
            </w:pPr>
          </w:p>
          <w:p>
            <w:pPr>
              <w:pStyle w:val="19"/>
              <w:spacing w:before="7"/>
              <w:jc w:val="left"/>
              <w:rPr>
                <w:b/>
                <w:sz w:val="24"/>
              </w:rPr>
            </w:pPr>
          </w:p>
          <w:p>
            <w:pPr>
              <w:pStyle w:val="19"/>
              <w:ind w:left="9"/>
              <w:rPr>
                <w:rFonts w:ascii="Times New Roman"/>
                <w:sz w:val="21"/>
              </w:rPr>
            </w:pPr>
            <w:r>
              <w:rPr>
                <w:rFonts w:ascii="Times New Roman"/>
                <w:w w:val="99"/>
                <w:sz w:val="21"/>
              </w:rPr>
              <w:t>1</w:t>
            </w:r>
          </w:p>
        </w:tc>
        <w:tc>
          <w:tcPr>
            <w:tcW w:w="4350" w:type="dxa"/>
          </w:tcPr>
          <w:p>
            <w:pPr>
              <w:pStyle w:val="19"/>
              <w:spacing w:before="2"/>
              <w:jc w:val="left"/>
              <w:rPr>
                <w:b/>
                <w:sz w:val="19"/>
              </w:rPr>
            </w:pPr>
          </w:p>
          <w:p>
            <w:pPr>
              <w:pStyle w:val="19"/>
              <w:spacing w:before="1" w:line="213" w:lineRule="auto"/>
              <w:ind w:left="108" w:right="-15"/>
              <w:jc w:val="left"/>
              <w:rPr>
                <w:sz w:val="21"/>
              </w:rPr>
            </w:pPr>
            <w:r>
              <w:rPr>
                <w:spacing w:val="-14"/>
                <w:sz w:val="21"/>
              </w:rPr>
              <w:t>新建、改建、扩建的畜禽养殖场应实现生产区、生活管理区的隔离，粪便污水处理设施和畜禽</w:t>
            </w:r>
            <w:r>
              <w:rPr>
                <w:spacing w:val="-17"/>
                <w:sz w:val="21"/>
              </w:rPr>
              <w:t>尸体焚烧炉应设在养殖场的生产区、生活管理区的常年主导风向的下风向或侧风向处</w:t>
            </w:r>
          </w:p>
        </w:tc>
        <w:tc>
          <w:tcPr>
            <w:tcW w:w="2651" w:type="dxa"/>
          </w:tcPr>
          <w:p>
            <w:pPr>
              <w:pStyle w:val="19"/>
              <w:spacing w:before="1" w:line="240" w:lineRule="exact"/>
              <w:ind w:left="107" w:right="11"/>
              <w:jc w:val="left"/>
              <w:rPr>
                <w:sz w:val="21"/>
              </w:rPr>
            </w:pPr>
            <w:r>
              <w:rPr>
                <w:sz w:val="21"/>
              </w:rPr>
              <w:t>本项目实现了养殖区、生活管理区的隔离，病死羊运至场区无害化处理车间处理。堆肥厂和无害化处理车间均位于场区东北角，在常年主导风向的侧风向处。</w:t>
            </w:r>
          </w:p>
        </w:tc>
        <w:tc>
          <w:tcPr>
            <w:tcW w:w="879" w:type="dxa"/>
          </w:tcPr>
          <w:p>
            <w:pPr>
              <w:pStyle w:val="19"/>
              <w:jc w:val="left"/>
              <w:rPr>
                <w:b/>
                <w:sz w:val="20"/>
              </w:rPr>
            </w:pPr>
          </w:p>
          <w:p>
            <w:pPr>
              <w:pStyle w:val="19"/>
              <w:spacing w:before="6"/>
              <w:jc w:val="left"/>
              <w:rPr>
                <w:b/>
                <w:sz w:val="25"/>
              </w:rPr>
            </w:pPr>
          </w:p>
          <w:p>
            <w:pPr>
              <w:pStyle w:val="19"/>
              <w:ind w:left="99" w:right="94"/>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48" w:type="dxa"/>
          </w:tcPr>
          <w:p>
            <w:pPr>
              <w:pStyle w:val="19"/>
              <w:spacing w:before="9"/>
              <w:jc w:val="left"/>
              <w:rPr>
                <w:b/>
                <w:sz w:val="27"/>
              </w:rPr>
            </w:pPr>
          </w:p>
          <w:p>
            <w:pPr>
              <w:pStyle w:val="19"/>
              <w:spacing w:before="1"/>
              <w:ind w:left="9"/>
              <w:rPr>
                <w:rFonts w:ascii="Times New Roman"/>
                <w:sz w:val="21"/>
              </w:rPr>
            </w:pPr>
            <w:r>
              <w:rPr>
                <w:rFonts w:ascii="Times New Roman"/>
                <w:w w:val="99"/>
                <w:sz w:val="21"/>
              </w:rPr>
              <w:t>2</w:t>
            </w:r>
          </w:p>
        </w:tc>
        <w:tc>
          <w:tcPr>
            <w:tcW w:w="4350" w:type="dxa"/>
          </w:tcPr>
          <w:p>
            <w:pPr>
              <w:pStyle w:val="19"/>
              <w:spacing w:before="5" w:line="213" w:lineRule="auto"/>
              <w:ind w:left="108" w:right="31"/>
              <w:jc w:val="left"/>
              <w:rPr>
                <w:sz w:val="21"/>
              </w:rPr>
            </w:pPr>
            <w:r>
              <w:rPr>
                <w:spacing w:val="-9"/>
                <w:sz w:val="21"/>
              </w:rPr>
              <w:t>新建、改建、扩建的畜禽养殖场应采取干法清</w:t>
            </w:r>
            <w:r>
              <w:rPr>
                <w:spacing w:val="-9"/>
                <w:w w:val="95"/>
                <w:sz w:val="21"/>
              </w:rPr>
              <w:t>粪工艺，采取有效措施将粪及时、单独清出，</w:t>
            </w:r>
            <w:r>
              <w:rPr>
                <w:spacing w:val="-11"/>
                <w:sz w:val="21"/>
              </w:rPr>
              <w:t>不可与尿、污水混合排出，并将产生的粪渣及</w:t>
            </w:r>
          </w:p>
          <w:p>
            <w:pPr>
              <w:pStyle w:val="19"/>
              <w:spacing w:line="216" w:lineRule="exact"/>
              <w:ind w:left="108"/>
              <w:jc w:val="left"/>
              <w:rPr>
                <w:sz w:val="21"/>
              </w:rPr>
            </w:pPr>
            <w:r>
              <w:rPr>
                <w:sz w:val="21"/>
              </w:rPr>
              <w:t>时运至贮存或处理场所，实现日产日清</w:t>
            </w:r>
          </w:p>
        </w:tc>
        <w:tc>
          <w:tcPr>
            <w:tcW w:w="2651" w:type="dxa"/>
          </w:tcPr>
          <w:p>
            <w:pPr>
              <w:pStyle w:val="19"/>
              <w:spacing w:before="125" w:line="213" w:lineRule="auto"/>
              <w:ind w:left="107" w:right="98"/>
              <w:jc w:val="both"/>
              <w:rPr>
                <w:sz w:val="21"/>
              </w:rPr>
            </w:pPr>
            <w:r>
              <w:rPr>
                <w:spacing w:val="-9"/>
                <w:sz w:val="21"/>
              </w:rPr>
              <w:t>本项目采用干清粪工艺，粪</w:t>
            </w:r>
            <w:r>
              <w:rPr>
                <w:spacing w:val="-11"/>
                <w:sz w:val="21"/>
              </w:rPr>
              <w:t>便人工清理，日产日清，用</w:t>
            </w:r>
            <w:r>
              <w:rPr>
                <w:sz w:val="21"/>
              </w:rPr>
              <w:t>于生产有机肥。</w:t>
            </w:r>
          </w:p>
        </w:tc>
        <w:tc>
          <w:tcPr>
            <w:tcW w:w="879" w:type="dxa"/>
          </w:tcPr>
          <w:p>
            <w:pPr>
              <w:pStyle w:val="19"/>
              <w:spacing w:before="8"/>
              <w:jc w:val="left"/>
              <w:rPr>
                <w:b/>
                <w:sz w:val="26"/>
              </w:rPr>
            </w:pPr>
          </w:p>
          <w:p>
            <w:pPr>
              <w:pStyle w:val="19"/>
              <w:ind w:left="99" w:right="94"/>
              <w:rPr>
                <w:sz w:val="21"/>
              </w:rPr>
            </w:pPr>
            <w:r>
              <w:rPr>
                <w:sz w:val="21"/>
              </w:rPr>
              <w:t>符合</w:t>
            </w:r>
          </w:p>
        </w:tc>
      </w:tr>
    </w:tbl>
    <w:p>
      <w:pPr>
        <w:pStyle w:val="7"/>
        <w:spacing w:before="7"/>
        <w:ind w:left="0"/>
        <w:rPr>
          <w:b/>
          <w:sz w:val="18"/>
        </w:rPr>
      </w:pPr>
    </w:p>
    <w:p>
      <w:pPr>
        <w:pStyle w:val="7"/>
        <w:spacing w:line="364" w:lineRule="auto"/>
        <w:ind w:right="579" w:firstLine="480"/>
      </w:pPr>
      <w:r>
        <w:rPr>
          <w:spacing w:val="-13"/>
        </w:rPr>
        <w:t>因此，本项目场区平面布置符合《畜禽养殖业污染防治技术规范》</w:t>
      </w:r>
      <w:r>
        <w:rPr>
          <w:spacing w:val="-3"/>
        </w:rPr>
        <w:t>（</w:t>
      </w:r>
      <w:r>
        <w:rPr>
          <w:rFonts w:ascii="Times New Roman" w:eastAsia="Times New Roman"/>
          <w:spacing w:val="-3"/>
        </w:rPr>
        <w:t>HJ/T81-</w:t>
      </w:r>
      <w:r>
        <w:rPr>
          <w:rFonts w:ascii="Times New Roman" w:eastAsia="Times New Roman"/>
        </w:rPr>
        <w:t>2001</w:t>
      </w:r>
      <w:r>
        <w:t>）中相关要求。</w:t>
      </w:r>
    </w:p>
    <w:p>
      <w:pPr>
        <w:pStyle w:val="7"/>
        <w:bidi w:val="0"/>
      </w:pPr>
      <w:r>
        <w:rPr>
          <w:b w:val="0"/>
        </w:rPr>
        <w:t>②</w:t>
      </w:r>
      <w:r>
        <w:t>与《畜禽场场区设计技术规范》（</w:t>
      </w:r>
      <w:r>
        <w:rPr>
          <w:rFonts w:ascii="Times New Roman" w:hAnsi="Times New Roman" w:eastAsia="Times New Roman"/>
        </w:rPr>
        <w:t>NY/T682-2003</w:t>
      </w:r>
      <w:r>
        <w:t>）符合性</w:t>
      </w:r>
    </w:p>
    <w:p>
      <w:pPr>
        <w:pStyle w:val="7"/>
        <w:spacing w:before="161" w:line="364" w:lineRule="auto"/>
        <w:ind w:right="575" w:firstLine="480"/>
      </w:pPr>
      <w:r>
        <w:t>根据《畜禽场场区设计技术规范》（</w:t>
      </w:r>
      <w:r>
        <w:rPr>
          <w:rFonts w:ascii="Times New Roman" w:eastAsia="Times New Roman"/>
        </w:rPr>
        <w:t>NY/T682-2003</w:t>
      </w:r>
      <w:r>
        <w:t>）中畜禽养殖场总平面布置要求，本项目场区平面布置与其符合性分析见表</w:t>
      </w:r>
      <w:r>
        <w:rPr>
          <w:rFonts w:ascii="Times New Roman" w:eastAsia="Times New Roman"/>
        </w:rPr>
        <w:t>3.1-12</w:t>
      </w:r>
      <w:r>
        <w:t>。</w:t>
      </w:r>
    </w:p>
    <w:p>
      <w:pPr>
        <w:pStyle w:val="7"/>
        <w:bidi w:val="0"/>
        <w:jc w:val="both"/>
      </w:pPr>
      <w:r>
        <w:t>表</w:t>
      </w:r>
      <w:r>
        <w:rPr>
          <w:rFonts w:ascii="Times New Roman" w:eastAsia="Times New Roman"/>
        </w:rPr>
        <w:t>3.1-12</w:t>
      </w:r>
      <w:r>
        <w:rPr>
          <w:rFonts w:ascii="Times New Roman" w:eastAsia="Times New Roman"/>
        </w:rPr>
        <w:tab/>
      </w:r>
      <w:r>
        <w:t>场区布局与《畜禽场场区设计技术规范》（</w:t>
      </w:r>
      <w:r>
        <w:rPr>
          <w:rFonts w:ascii="Times New Roman" w:eastAsia="Times New Roman"/>
        </w:rPr>
        <w:t>NY/T682-2003</w:t>
      </w:r>
      <w:r>
        <w:t>）符合性</w:t>
      </w:r>
    </w:p>
    <w:p>
      <w:pPr>
        <w:pStyle w:val="7"/>
        <w:spacing w:before="11"/>
        <w:ind w:left="0"/>
        <w:rPr>
          <w:b/>
          <w:sz w:val="4"/>
        </w:rPr>
      </w:pP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4095"/>
        <w:gridCol w:w="2704"/>
        <w:gridCol w:w="1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4" w:type="dxa"/>
          </w:tcPr>
          <w:p>
            <w:pPr>
              <w:pStyle w:val="19"/>
              <w:spacing w:before="35"/>
              <w:ind w:left="103" w:right="95"/>
              <w:rPr>
                <w:b/>
                <w:sz w:val="21"/>
              </w:rPr>
            </w:pPr>
            <w:r>
              <w:rPr>
                <w:b/>
                <w:sz w:val="21"/>
              </w:rPr>
              <w:t>序号</w:t>
            </w:r>
          </w:p>
        </w:tc>
        <w:tc>
          <w:tcPr>
            <w:tcW w:w="4095" w:type="dxa"/>
          </w:tcPr>
          <w:p>
            <w:pPr>
              <w:pStyle w:val="19"/>
              <w:spacing w:before="35"/>
              <w:ind w:left="262"/>
              <w:jc w:val="left"/>
              <w:rPr>
                <w:b/>
                <w:sz w:val="21"/>
              </w:rPr>
            </w:pPr>
            <w:r>
              <w:rPr>
                <w:b/>
                <w:sz w:val="21"/>
              </w:rPr>
              <w:t>《畜禽场场区设计技术规范》有关要求</w:t>
            </w:r>
          </w:p>
        </w:tc>
        <w:tc>
          <w:tcPr>
            <w:tcW w:w="2704" w:type="dxa"/>
          </w:tcPr>
          <w:p>
            <w:pPr>
              <w:pStyle w:val="19"/>
              <w:spacing w:before="35"/>
              <w:ind w:left="616"/>
              <w:jc w:val="left"/>
              <w:rPr>
                <w:b/>
                <w:sz w:val="21"/>
              </w:rPr>
            </w:pPr>
            <w:r>
              <w:rPr>
                <w:b/>
                <w:sz w:val="21"/>
              </w:rPr>
              <w:t>本项目场区布局</w:t>
            </w:r>
          </w:p>
        </w:tc>
        <w:tc>
          <w:tcPr>
            <w:tcW w:w="1005" w:type="dxa"/>
          </w:tcPr>
          <w:p>
            <w:pPr>
              <w:pStyle w:val="19"/>
              <w:spacing w:before="35"/>
              <w:ind w:left="164" w:right="157"/>
              <w:rPr>
                <w:b/>
                <w:sz w:val="21"/>
              </w:rPr>
            </w:pPr>
            <w:r>
              <w:rPr>
                <w:b/>
                <w:sz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724" w:type="dxa"/>
          </w:tcPr>
          <w:p>
            <w:pPr>
              <w:pStyle w:val="19"/>
              <w:jc w:val="left"/>
              <w:rPr>
                <w:b/>
                <w:sz w:val="22"/>
              </w:rPr>
            </w:pPr>
          </w:p>
          <w:p>
            <w:pPr>
              <w:pStyle w:val="19"/>
              <w:spacing w:before="197"/>
              <w:ind w:left="9"/>
              <w:rPr>
                <w:rFonts w:ascii="Times New Roman"/>
                <w:sz w:val="21"/>
              </w:rPr>
            </w:pPr>
            <w:r>
              <w:rPr>
                <w:rFonts w:ascii="Times New Roman"/>
                <w:w w:val="99"/>
                <w:sz w:val="21"/>
              </w:rPr>
              <w:t>1</w:t>
            </w:r>
          </w:p>
        </w:tc>
        <w:tc>
          <w:tcPr>
            <w:tcW w:w="4095" w:type="dxa"/>
          </w:tcPr>
          <w:p>
            <w:pPr>
              <w:pStyle w:val="19"/>
              <w:spacing w:before="1" w:line="240" w:lineRule="exact"/>
              <w:ind w:left="108" w:right="95"/>
              <w:jc w:val="both"/>
              <w:rPr>
                <w:sz w:val="21"/>
              </w:rPr>
            </w:pPr>
            <w:r>
              <w:rPr>
                <w:w w:val="95"/>
                <w:sz w:val="21"/>
              </w:rPr>
              <w:t>根据畜禽场的生产工艺要求，按功能分区布置各个建（构）筑物的位置，为畜禽生产提供一个良好的生产环境。畜禽场一般应划分为生活管理区、辅助生产区、生产</w:t>
            </w:r>
            <w:r>
              <w:rPr>
                <w:sz w:val="21"/>
              </w:rPr>
              <w:t>区和隔离区</w:t>
            </w:r>
          </w:p>
        </w:tc>
        <w:tc>
          <w:tcPr>
            <w:tcW w:w="2704" w:type="dxa"/>
          </w:tcPr>
          <w:p>
            <w:pPr>
              <w:pStyle w:val="19"/>
              <w:spacing w:before="126" w:line="213" w:lineRule="auto"/>
              <w:ind w:left="107" w:right="97"/>
              <w:jc w:val="both"/>
              <w:rPr>
                <w:sz w:val="21"/>
              </w:rPr>
            </w:pPr>
            <w:r>
              <w:rPr>
                <w:spacing w:val="-5"/>
                <w:sz w:val="21"/>
              </w:rPr>
              <w:t>本项目分为养殖区、辅助生</w:t>
            </w:r>
            <w:r>
              <w:rPr>
                <w:spacing w:val="13"/>
                <w:sz w:val="21"/>
              </w:rPr>
              <w:t>产区和粪污治理区三个功</w:t>
            </w:r>
            <w:r>
              <w:rPr>
                <w:spacing w:val="-7"/>
                <w:sz w:val="21"/>
              </w:rPr>
              <w:t>能区，提供了良好的畜禽生</w:t>
            </w:r>
            <w:r>
              <w:rPr>
                <w:sz w:val="21"/>
              </w:rPr>
              <w:t>产场所</w:t>
            </w:r>
          </w:p>
        </w:tc>
        <w:tc>
          <w:tcPr>
            <w:tcW w:w="1005" w:type="dxa"/>
          </w:tcPr>
          <w:p>
            <w:pPr>
              <w:pStyle w:val="19"/>
              <w:jc w:val="left"/>
              <w:rPr>
                <w:b/>
                <w:sz w:val="20"/>
              </w:rPr>
            </w:pPr>
          </w:p>
          <w:p>
            <w:pPr>
              <w:pStyle w:val="19"/>
              <w:spacing w:before="1"/>
              <w:jc w:val="left"/>
              <w:rPr>
                <w:b/>
                <w:sz w:val="16"/>
              </w:rPr>
            </w:pPr>
          </w:p>
          <w:p>
            <w:pPr>
              <w:pStyle w:val="19"/>
              <w:spacing w:before="1"/>
              <w:ind w:left="162" w:right="157"/>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724" w:type="dxa"/>
          </w:tcPr>
          <w:p>
            <w:pPr>
              <w:pStyle w:val="19"/>
              <w:spacing w:before="7"/>
              <w:jc w:val="left"/>
              <w:rPr>
                <w:b/>
                <w:sz w:val="18"/>
              </w:rPr>
            </w:pPr>
          </w:p>
          <w:p>
            <w:pPr>
              <w:pStyle w:val="19"/>
              <w:ind w:left="9"/>
              <w:rPr>
                <w:rFonts w:ascii="Times New Roman"/>
                <w:sz w:val="21"/>
              </w:rPr>
            </w:pPr>
            <w:r>
              <w:rPr>
                <w:rFonts w:ascii="Times New Roman"/>
                <w:w w:val="99"/>
                <w:sz w:val="21"/>
              </w:rPr>
              <w:t>2</w:t>
            </w:r>
          </w:p>
        </w:tc>
        <w:tc>
          <w:tcPr>
            <w:tcW w:w="4095" w:type="dxa"/>
          </w:tcPr>
          <w:p>
            <w:pPr>
              <w:pStyle w:val="19"/>
              <w:spacing w:before="5" w:line="213" w:lineRule="auto"/>
              <w:ind w:left="108" w:right="95"/>
              <w:jc w:val="left"/>
              <w:rPr>
                <w:sz w:val="21"/>
              </w:rPr>
            </w:pPr>
            <w:r>
              <w:rPr>
                <w:w w:val="95"/>
                <w:sz w:val="21"/>
              </w:rPr>
              <w:t>生活管理区一般应位于场区全年主导风向上风向或侧风向处，并应在紧邻场区大门</w:t>
            </w:r>
          </w:p>
          <w:p>
            <w:pPr>
              <w:pStyle w:val="19"/>
              <w:spacing w:line="215" w:lineRule="exact"/>
              <w:ind w:left="108"/>
              <w:jc w:val="left"/>
              <w:rPr>
                <w:sz w:val="21"/>
              </w:rPr>
            </w:pPr>
            <w:r>
              <w:rPr>
                <w:sz w:val="21"/>
              </w:rPr>
              <w:t>内侧集中布置</w:t>
            </w:r>
          </w:p>
        </w:tc>
        <w:tc>
          <w:tcPr>
            <w:tcW w:w="2704" w:type="dxa"/>
          </w:tcPr>
          <w:p>
            <w:pPr>
              <w:pStyle w:val="19"/>
              <w:spacing w:before="5" w:line="213" w:lineRule="auto"/>
              <w:ind w:left="107" w:right="42"/>
              <w:jc w:val="left"/>
              <w:rPr>
                <w:sz w:val="21"/>
              </w:rPr>
            </w:pPr>
            <w:r>
              <w:rPr>
                <w:sz w:val="21"/>
              </w:rPr>
              <w:t>生活管理区位于场区全年主导风向的侧风向处，并靠</w:t>
            </w:r>
          </w:p>
          <w:p>
            <w:pPr>
              <w:pStyle w:val="19"/>
              <w:spacing w:line="215" w:lineRule="exact"/>
              <w:ind w:left="107"/>
              <w:jc w:val="left"/>
              <w:rPr>
                <w:sz w:val="21"/>
              </w:rPr>
            </w:pPr>
            <w:r>
              <w:rPr>
                <w:sz w:val="21"/>
              </w:rPr>
              <w:t>近场区大门集中布置</w:t>
            </w:r>
          </w:p>
        </w:tc>
        <w:tc>
          <w:tcPr>
            <w:tcW w:w="1005" w:type="dxa"/>
          </w:tcPr>
          <w:p>
            <w:pPr>
              <w:pStyle w:val="19"/>
              <w:spacing w:before="3"/>
              <w:jc w:val="left"/>
              <w:rPr>
                <w:b/>
                <w:sz w:val="17"/>
              </w:rPr>
            </w:pPr>
          </w:p>
          <w:p>
            <w:pPr>
              <w:pStyle w:val="19"/>
              <w:spacing w:before="1"/>
              <w:ind w:left="162" w:right="157"/>
              <w:rPr>
                <w:sz w:val="21"/>
              </w:rPr>
            </w:pPr>
            <w:r>
              <w:rPr>
                <w:sz w:val="21"/>
              </w:rPr>
              <w:t>符合</w:t>
            </w:r>
          </w:p>
        </w:tc>
      </w:tr>
    </w:tbl>
    <w:p>
      <w:pPr>
        <w:pStyle w:val="7"/>
        <w:spacing w:before="6"/>
        <w:ind w:left="0"/>
        <w:rPr>
          <w:b/>
          <w:sz w:val="13"/>
        </w:rPr>
      </w:pPr>
    </w:p>
    <w:p>
      <w:pPr>
        <w:pStyle w:val="7"/>
        <w:spacing w:before="66"/>
        <w:ind w:left="1020"/>
      </w:pPr>
      <w:r>
        <w:t>因此，本项目场区平面布置符合《畜禽场场区设计技术规范》</w:t>
      </w:r>
    </w:p>
    <w:p>
      <w:pPr>
        <w:pStyle w:val="7"/>
        <w:spacing w:before="160"/>
      </w:pPr>
      <w:r>
        <w:t>（</w:t>
      </w:r>
      <w:r>
        <w:rPr>
          <w:rFonts w:ascii="Times New Roman" w:eastAsia="Times New Roman"/>
        </w:rPr>
        <w:t>NY/T682-2003</w:t>
      </w:r>
      <w:r>
        <w:t>）中相关要求。</w:t>
      </w:r>
    </w:p>
    <w:p>
      <w:pPr>
        <w:pStyle w:val="7"/>
        <w:spacing w:before="161" w:line="364" w:lineRule="auto"/>
        <w:ind w:right="457" w:firstLine="480"/>
      </w:pPr>
      <w:r>
        <w:rPr>
          <w:spacing w:val="-16"/>
        </w:rPr>
        <w:t>综上所述，本项目总平面布置功能分区明确，合理规划布局，工艺流程顺畅；</w:t>
      </w:r>
      <w:r>
        <w:rPr>
          <w:spacing w:val="-7"/>
        </w:rPr>
        <w:t>净道和污道分开设置，减少不必要的交叉，切断疫病的传播途径；在羊舍周围和</w:t>
      </w:r>
      <w:r>
        <w:rPr>
          <w:spacing w:val="-13"/>
        </w:rPr>
        <w:t>道路两边栽种树木，有利于净化空气，绿化环境。同时，场区布局符合《畜禽养</w:t>
      </w:r>
      <w:r>
        <w:rPr>
          <w:spacing w:val="19"/>
        </w:rPr>
        <w:t>殖业污染防治技术规范》</w:t>
      </w:r>
      <w:r>
        <w:t>（</w:t>
      </w:r>
      <w:r>
        <w:rPr>
          <w:rFonts w:ascii="Times New Roman" w:eastAsia="Times New Roman"/>
          <w:spacing w:val="2"/>
        </w:rPr>
        <w:t>HJ/T81-2001</w:t>
      </w:r>
      <w:r>
        <w:rPr>
          <w:spacing w:val="2"/>
        </w:rPr>
        <w:t>）</w:t>
      </w:r>
      <w:r>
        <w:rPr>
          <w:spacing w:val="17"/>
        </w:rPr>
        <w:t>和《畜禽场场区设计技术规范》</w:t>
      </w:r>
    </w:p>
    <w:p>
      <w:pPr>
        <w:pStyle w:val="7"/>
        <w:spacing w:before="2"/>
      </w:pPr>
      <w:r>
        <w:t>（</w:t>
      </w:r>
      <w:r>
        <w:rPr>
          <w:rFonts w:ascii="Times New Roman" w:eastAsia="Times New Roman"/>
        </w:rPr>
        <w:t>NY/T682-2003</w:t>
      </w:r>
      <w:r>
        <w:t>）等法规要求，从环保角度而言，本项目总平面布置是合理的。</w:t>
      </w:r>
    </w:p>
    <w:p>
      <w:pPr>
        <w:pStyle w:val="7"/>
        <w:spacing w:before="5"/>
        <w:ind w:left="0"/>
        <w:rPr>
          <w:sz w:val="21"/>
        </w:rPr>
      </w:pPr>
    </w:p>
    <w:p>
      <w:pPr>
        <w:pStyle w:val="5"/>
        <w:numPr>
          <w:ilvl w:val="0"/>
          <w:numId w:val="0"/>
        </w:numPr>
        <w:tabs>
          <w:tab w:val="left" w:pos="1364"/>
        </w:tabs>
        <w:spacing w:before="0" w:after="0" w:line="240" w:lineRule="auto"/>
        <w:ind w:left="539" w:leftChars="0" w:right="0" w:rightChars="0"/>
        <w:jc w:val="left"/>
      </w:pPr>
      <w:bookmarkStart w:id="148" w:name="3.1.11 卫生防疫"/>
      <w:bookmarkEnd w:id="148"/>
      <w:bookmarkStart w:id="149" w:name="3.1.11 卫生防疫"/>
      <w:bookmarkEnd w:id="149"/>
      <w:r>
        <w:rPr>
          <w:rFonts w:hint="eastAsia"/>
          <w:spacing w:val="-1"/>
          <w:w w:val="95"/>
          <w:lang w:val="en-US" w:eastAsia="zh-CN"/>
        </w:rPr>
        <w:t xml:space="preserve">3.1.8  </w:t>
      </w:r>
      <w:r>
        <w:rPr>
          <w:spacing w:val="-1"/>
          <w:w w:val="95"/>
        </w:rPr>
        <w:t>卫生防疫</w:t>
      </w:r>
    </w:p>
    <w:p>
      <w:pPr>
        <w:pStyle w:val="7"/>
        <w:spacing w:before="2"/>
        <w:ind w:left="0"/>
        <w:rPr>
          <w:b/>
          <w:sz w:val="22"/>
        </w:rPr>
      </w:pPr>
    </w:p>
    <w:p>
      <w:pPr>
        <w:pStyle w:val="18"/>
        <w:numPr>
          <w:ilvl w:val="3"/>
          <w:numId w:val="27"/>
        </w:numPr>
        <w:tabs>
          <w:tab w:val="left" w:pos="1431"/>
        </w:tabs>
        <w:spacing w:before="0" w:after="0" w:line="240" w:lineRule="auto"/>
        <w:ind w:left="1430" w:right="0" w:hanging="891"/>
        <w:jc w:val="left"/>
        <w:rPr>
          <w:sz w:val="24"/>
        </w:rPr>
      </w:pPr>
      <w:bookmarkStart w:id="150" w:name="3.1.11.1 疫病防治"/>
      <w:bookmarkEnd w:id="150"/>
      <w:bookmarkStart w:id="151" w:name="3.1.11.1 疫病防治"/>
      <w:bookmarkEnd w:id="151"/>
      <w:r>
        <w:rPr>
          <w:sz w:val="24"/>
        </w:rPr>
        <w:t>疫病防治</w:t>
      </w:r>
    </w:p>
    <w:p>
      <w:pPr>
        <w:pStyle w:val="7"/>
        <w:spacing w:before="168"/>
        <w:ind w:left="1020"/>
      </w:pPr>
      <w:r>
        <w:t>采取预防为主措施，要把饲养管理与防病治病结合起来。</w:t>
      </w:r>
    </w:p>
    <w:p>
      <w:pPr>
        <w:pStyle w:val="7"/>
        <w:spacing w:before="160" w:line="364" w:lineRule="auto"/>
        <w:ind w:right="577" w:firstLine="480"/>
        <w:jc w:val="both"/>
      </w:pPr>
      <w:r>
        <w:rPr>
          <w:spacing w:val="-1"/>
        </w:rPr>
        <w:t>①要做好饲养卫生和消毒工作。日常喂给的饲料、饮水必须保持清洁。不</w:t>
      </w:r>
      <w:r>
        <w:rPr>
          <w:spacing w:val="-11"/>
        </w:rPr>
        <w:t>喂发霉、变质、有毒及夹杂异物的饲料。饲喂用具经常保持干净。畜禽舍、运动</w:t>
      </w:r>
      <w:r>
        <w:t>场要经常打扫，并定期消毒。</w:t>
      </w:r>
    </w:p>
    <w:p>
      <w:pPr>
        <w:pStyle w:val="7"/>
        <w:spacing w:before="2" w:line="364" w:lineRule="auto"/>
        <w:ind w:right="577" w:firstLine="480"/>
        <w:jc w:val="both"/>
      </w:pPr>
      <w:r>
        <w:t>②要严格检疫制度，至少经过</w:t>
      </w:r>
      <w:r>
        <w:rPr>
          <w:rFonts w:ascii="Times New Roman" w:hAnsi="Times New Roman" w:eastAsia="Times New Roman"/>
        </w:rPr>
        <w:t>10-15</w:t>
      </w:r>
      <w:r>
        <w:t>小时隔离观察，并经兽医检查确认无病后方可合群。</w:t>
      </w:r>
    </w:p>
    <w:p>
      <w:pPr>
        <w:pStyle w:val="7"/>
        <w:spacing w:before="1" w:line="364" w:lineRule="auto"/>
        <w:ind w:right="580" w:firstLine="480"/>
        <w:jc w:val="both"/>
      </w:pPr>
      <w:r>
        <w:t>③定期进行预防注射，要注射口蹄疫等疫苗，注射时要逐只点清，做好查漏补注。</w:t>
      </w:r>
    </w:p>
    <w:p>
      <w:pPr>
        <w:pStyle w:val="7"/>
        <w:spacing w:before="2" w:line="364" w:lineRule="auto"/>
        <w:ind w:right="577" w:firstLine="480"/>
        <w:jc w:val="both"/>
      </w:pPr>
      <w:r>
        <w:rPr>
          <w:spacing w:val="-1"/>
        </w:rPr>
        <w:t>④要定期驱虫，每年春秋两季要对羊驱虫一次。育肥期间，由于牲畜活动</w:t>
      </w:r>
      <w:r>
        <w:rPr>
          <w:spacing w:val="-10"/>
        </w:rPr>
        <w:t>范围变小，容易造成圈舍的潮湿和环境不良，往往会引起寄生虫病的发生，因此</w:t>
      </w:r>
      <w:r>
        <w:t>要注意畜禽舍的环境卫生、通风和防潮，做好寄生虫病的防治。</w:t>
      </w:r>
    </w:p>
    <w:p>
      <w:pPr>
        <w:pStyle w:val="7"/>
        <w:spacing w:before="1" w:line="364" w:lineRule="auto"/>
        <w:ind w:right="485" w:firstLine="480"/>
        <w:jc w:val="both"/>
      </w:pPr>
      <w:r>
        <w:t>⑤坚持健康检查，在日常饲养管理中，注意观察每只畜禽的精神、食欲、</w:t>
      </w:r>
      <w:r>
        <w:rPr>
          <w:spacing w:val="-10"/>
        </w:rPr>
        <w:t>运动、呼吸、粪便等状况，发现异常及时检查，如有疾病，及时治疗。当发生传</w:t>
      </w:r>
      <w:r>
        <w:rPr>
          <w:spacing w:val="-11"/>
        </w:rPr>
        <w:t>染病或疑似传染病时，应立即隔离，观察治疗并根据疫情和流行范围采取封锁、隔离、消毒等紧急措施，对尸体要妥善处理，深埋或焚烧，做到切断病原，控制</w:t>
      </w:r>
      <w:r>
        <w:t>流行及时扑灭。</w:t>
      </w:r>
    </w:p>
    <w:p>
      <w:pPr>
        <w:pStyle w:val="7"/>
        <w:spacing w:before="1" w:line="364" w:lineRule="auto"/>
        <w:ind w:right="455" w:firstLine="480"/>
      </w:pPr>
      <w:r>
        <w:rPr>
          <w:spacing w:val="-7"/>
        </w:rPr>
        <w:t>⑥严格遵守《畜禽养殖业污染物排放标准</w:t>
      </w:r>
      <w:r>
        <w:t>（</w:t>
      </w:r>
      <w:r>
        <w:rPr>
          <w:rFonts w:ascii="Times New Roman" w:hAnsi="Times New Roman" w:eastAsia="Times New Roman"/>
        </w:rPr>
        <w:t>GB 18596-2001</w:t>
      </w:r>
      <w:r>
        <w:t>）</w:t>
      </w:r>
      <w:r>
        <w:rPr>
          <w:spacing w:val="-8"/>
        </w:rPr>
        <w:t>》要求，虽然</w:t>
      </w:r>
      <w:r>
        <w:rPr>
          <w:spacing w:val="-12"/>
        </w:rPr>
        <w:t>本项目污染物排放标准不在强制排放等级内，但为了保护环境，必须合理处理粪</w:t>
      </w:r>
      <w:r>
        <w:rPr>
          <w:spacing w:val="-17"/>
        </w:rPr>
        <w:t>污。因育肥畜为草食，小区内的粪尿以固体为主，采用生物自然堆盖腐熟的方法。</w:t>
      </w:r>
      <w:r>
        <w:t>要求在堆肥前的预处理过程中掺入锯末、碎草、泥碳等，以调整水分和碳氮比，</w:t>
      </w:r>
      <w:r>
        <w:rPr>
          <w:spacing w:val="-7"/>
        </w:rPr>
        <w:t>并使粪尿疏松、易通气，在</w:t>
      </w:r>
      <w:r>
        <w:rPr>
          <w:rFonts w:ascii="Times New Roman" w:hAnsi="Times New Roman" w:eastAsia="Times New Roman"/>
        </w:rPr>
        <w:t>20</w:t>
      </w:r>
      <w:r>
        <w:rPr>
          <w:spacing w:val="-2"/>
        </w:rPr>
        <w:t>℃、</w:t>
      </w:r>
      <w:r>
        <w:rPr>
          <w:rFonts w:ascii="Times New Roman" w:hAnsi="Times New Roman" w:eastAsia="Times New Roman"/>
        </w:rPr>
        <w:t>15-20</w:t>
      </w:r>
      <w:r>
        <w:rPr>
          <w:spacing w:val="-6"/>
        </w:rPr>
        <w:t>天的腐熟期内，翻倒</w:t>
      </w:r>
      <w:r>
        <w:rPr>
          <w:rFonts w:ascii="Times New Roman" w:hAnsi="Times New Roman" w:eastAsia="Times New Roman"/>
        </w:rPr>
        <w:t>1-2</w:t>
      </w:r>
      <w:r>
        <w:rPr>
          <w:spacing w:val="-2"/>
        </w:rPr>
        <w:t>次，待完全腐熟后送至田间作农家肥料。</w:t>
      </w:r>
    </w:p>
    <w:p>
      <w:pPr>
        <w:pStyle w:val="18"/>
        <w:numPr>
          <w:ilvl w:val="3"/>
          <w:numId w:val="27"/>
        </w:numPr>
        <w:tabs>
          <w:tab w:val="left" w:pos="1431"/>
        </w:tabs>
        <w:spacing w:before="13" w:after="0" w:line="240" w:lineRule="auto"/>
        <w:ind w:left="1430" w:right="0" w:hanging="891"/>
        <w:jc w:val="left"/>
        <w:rPr>
          <w:sz w:val="24"/>
        </w:rPr>
      </w:pPr>
      <w:bookmarkStart w:id="152" w:name="3.1.11.2 防疫技术设施与保障体系"/>
      <w:bookmarkEnd w:id="152"/>
      <w:bookmarkStart w:id="153" w:name="3.1.11.2 防疫技术设施与保障体系"/>
      <w:bookmarkEnd w:id="153"/>
      <w:r>
        <w:rPr>
          <w:sz w:val="24"/>
        </w:rPr>
        <w:t>防疫技术设施与保障体系</w:t>
      </w:r>
    </w:p>
    <w:p>
      <w:pPr>
        <w:pStyle w:val="18"/>
        <w:numPr>
          <w:ilvl w:val="4"/>
          <w:numId w:val="27"/>
        </w:numPr>
        <w:tabs>
          <w:tab w:val="left" w:pos="1730"/>
          <w:tab w:val="left" w:pos="1731"/>
        </w:tabs>
        <w:spacing w:before="168" w:after="0" w:line="240" w:lineRule="auto"/>
        <w:ind w:left="1730" w:right="0" w:hanging="1191"/>
        <w:jc w:val="left"/>
        <w:rPr>
          <w:sz w:val="24"/>
        </w:rPr>
      </w:pPr>
      <w:r>
        <w:rPr>
          <w:sz w:val="24"/>
        </w:rPr>
        <w:t>防疫体系的建设目标</w:t>
      </w:r>
    </w:p>
    <w:p>
      <w:pPr>
        <w:pStyle w:val="7"/>
        <w:spacing w:before="160" w:line="364" w:lineRule="auto"/>
        <w:ind w:right="577" w:firstLine="480"/>
      </w:pPr>
      <w:r>
        <w:rPr>
          <w:spacing w:val="-5"/>
        </w:rPr>
        <w:t>本项目防疫技术设施和保障体系的建设目标是通过兽医卫生防疫体系，达到</w:t>
      </w:r>
      <w:r>
        <w:t>健康养殖的目标，提高羊的繁殖性能，保证生产质量安全，具体包括：</w:t>
      </w:r>
    </w:p>
    <w:p>
      <w:pPr>
        <w:pStyle w:val="18"/>
        <w:numPr>
          <w:ilvl w:val="5"/>
          <w:numId w:val="27"/>
        </w:numPr>
        <w:tabs>
          <w:tab w:val="left" w:pos="1621"/>
        </w:tabs>
        <w:spacing w:before="2" w:after="0" w:line="364" w:lineRule="auto"/>
        <w:ind w:left="540" w:right="577" w:firstLine="480"/>
        <w:jc w:val="both"/>
        <w:rPr>
          <w:sz w:val="24"/>
        </w:rPr>
      </w:pPr>
      <w:r>
        <w:rPr>
          <w:spacing w:val="-1"/>
          <w:sz w:val="24"/>
        </w:rPr>
        <w:t>根据动物防疫法规定，完善兽医防疫体系的软硬件建设，按照标准化</w:t>
      </w:r>
      <w:r>
        <w:rPr>
          <w:spacing w:val="-10"/>
          <w:sz w:val="24"/>
        </w:rPr>
        <w:t>养殖，合理匹配防疫机构、设施、设备和人员等基础条件。完善机构运转制度建</w:t>
      </w:r>
      <w:r>
        <w:rPr>
          <w:sz w:val="24"/>
        </w:rPr>
        <w:t>设，加强专业技术队伍的培养与建设，依法管理动物弊病预防工作。</w:t>
      </w:r>
    </w:p>
    <w:p>
      <w:pPr>
        <w:pStyle w:val="18"/>
        <w:numPr>
          <w:ilvl w:val="5"/>
          <w:numId w:val="27"/>
        </w:numPr>
        <w:tabs>
          <w:tab w:val="left" w:pos="1621"/>
        </w:tabs>
        <w:spacing w:before="1" w:after="0" w:line="364" w:lineRule="auto"/>
        <w:ind w:left="540" w:right="577" w:firstLine="480"/>
        <w:jc w:val="both"/>
        <w:rPr>
          <w:sz w:val="24"/>
        </w:rPr>
      </w:pPr>
      <w:r>
        <w:rPr>
          <w:spacing w:val="-1"/>
          <w:sz w:val="24"/>
        </w:rPr>
        <w:t>建立预防疾控体系、动物检疫监督体系、动物疫情监测预警体系、防</w:t>
      </w:r>
      <w:r>
        <w:rPr>
          <w:spacing w:val="-8"/>
          <w:sz w:val="24"/>
        </w:rPr>
        <w:t>疫技术支撑体系等，形成重大动物疫病的快速诊断、预警、防控和应急四大保障</w:t>
      </w:r>
      <w:r>
        <w:rPr>
          <w:sz w:val="24"/>
        </w:rPr>
        <w:t>能力。</w:t>
      </w:r>
    </w:p>
    <w:p>
      <w:pPr>
        <w:pStyle w:val="18"/>
        <w:numPr>
          <w:ilvl w:val="5"/>
          <w:numId w:val="27"/>
        </w:numPr>
        <w:tabs>
          <w:tab w:val="left" w:pos="1621"/>
        </w:tabs>
        <w:spacing w:before="2" w:after="0" w:line="240" w:lineRule="auto"/>
        <w:ind w:left="1621" w:right="0" w:hanging="601"/>
        <w:jc w:val="left"/>
        <w:rPr>
          <w:sz w:val="24"/>
        </w:rPr>
      </w:pPr>
      <w:r>
        <w:rPr>
          <w:sz w:val="24"/>
        </w:rPr>
        <w:t>确保常年无重大疫情发生，减少常规疫病的发生率。</w:t>
      </w:r>
    </w:p>
    <w:p>
      <w:pPr>
        <w:pStyle w:val="18"/>
        <w:numPr>
          <w:ilvl w:val="4"/>
          <w:numId w:val="27"/>
        </w:numPr>
        <w:tabs>
          <w:tab w:val="left" w:pos="1611"/>
        </w:tabs>
        <w:spacing w:before="161" w:after="0" w:line="240" w:lineRule="auto"/>
        <w:ind w:left="1610" w:right="0" w:hanging="1071"/>
        <w:jc w:val="left"/>
        <w:rPr>
          <w:sz w:val="24"/>
        </w:rPr>
      </w:pPr>
      <w:r>
        <w:rPr>
          <w:sz w:val="24"/>
        </w:rPr>
        <w:t>防疫体系的构建</w:t>
      </w:r>
    </w:p>
    <w:p>
      <w:pPr>
        <w:pStyle w:val="7"/>
        <w:spacing w:before="160" w:line="364" w:lineRule="auto"/>
        <w:ind w:right="575" w:firstLine="480"/>
        <w:jc w:val="both"/>
      </w:pPr>
      <w:r>
        <w:t>根据</w:t>
      </w:r>
      <w:r>
        <w:rPr>
          <w:rFonts w:ascii="Times New Roman" w:eastAsia="Times New Roman"/>
        </w:rPr>
        <w:t>NY/T 1596-2007</w:t>
      </w:r>
      <w:r>
        <w:t>《畜禽养殖场质量管理体系建设通则》的要求建立完整的养殖档案和管理制度。</w:t>
      </w:r>
    </w:p>
    <w:p>
      <w:pPr>
        <w:pStyle w:val="7"/>
        <w:spacing w:before="1" w:line="364" w:lineRule="auto"/>
        <w:ind w:right="577" w:firstLine="480"/>
        <w:jc w:val="both"/>
      </w:pPr>
      <w:r>
        <w:rPr>
          <w:spacing w:val="-11"/>
        </w:rPr>
        <w:t>防疫机构的建设：充分发挥</w:t>
      </w:r>
      <w:r>
        <w:rPr>
          <w:rFonts w:hint="eastAsia"/>
          <w:spacing w:val="-11"/>
          <w:lang w:val="en-US" w:eastAsia="zh-CN"/>
        </w:rPr>
        <w:t>莎车</w:t>
      </w:r>
      <w:r>
        <w:rPr>
          <w:spacing w:val="-11"/>
        </w:rPr>
        <w:t>县农业农村局和项目所在乡镇兽医站以及村</w:t>
      </w:r>
      <w:r>
        <w:rPr>
          <w:spacing w:val="-7"/>
        </w:rPr>
        <w:t>级防疫中在养殖工作的作用，负责标准化羊产业养殖场的日常防疫工作；</w:t>
      </w:r>
      <w:r>
        <w:rPr>
          <w:rFonts w:hint="eastAsia"/>
          <w:spacing w:val="-7"/>
          <w:lang w:eastAsia="zh-CN"/>
        </w:rPr>
        <w:t>莎车</w:t>
      </w:r>
      <w:r>
        <w:rPr>
          <w:spacing w:val="-7"/>
        </w:rPr>
        <w:t>县</w:t>
      </w:r>
      <w:r>
        <w:t>农业农村局作为技术指导单位，负责羊产业养殖场的全局防疫工作。</w:t>
      </w:r>
    </w:p>
    <w:p>
      <w:pPr>
        <w:pStyle w:val="18"/>
        <w:numPr>
          <w:ilvl w:val="0"/>
          <w:numId w:val="28"/>
        </w:numPr>
        <w:tabs>
          <w:tab w:val="left" w:pos="1621"/>
        </w:tabs>
        <w:spacing w:before="2" w:after="0" w:line="240" w:lineRule="auto"/>
        <w:ind w:left="1621" w:right="0" w:hanging="601"/>
        <w:jc w:val="left"/>
        <w:rPr>
          <w:sz w:val="24"/>
        </w:rPr>
      </w:pPr>
      <w:r>
        <w:rPr>
          <w:sz w:val="24"/>
        </w:rPr>
        <w:t>设立疫病防控中心</w:t>
      </w:r>
    </w:p>
    <w:p>
      <w:pPr>
        <w:pStyle w:val="7"/>
        <w:spacing w:before="161"/>
        <w:ind w:left="1020"/>
      </w:pPr>
      <w:r>
        <w:t>人员配置：高级兽医师</w:t>
      </w:r>
      <w:r>
        <w:rPr>
          <w:rFonts w:ascii="Times New Roman" w:eastAsia="Times New Roman"/>
        </w:rPr>
        <w:t>1</w:t>
      </w:r>
      <w:r>
        <w:t>人，兽医师</w:t>
      </w:r>
      <w:r>
        <w:rPr>
          <w:rFonts w:ascii="Times New Roman" w:eastAsia="Times New Roman"/>
        </w:rPr>
        <w:t>1</w:t>
      </w:r>
      <w:r>
        <w:t>人，防疫员</w:t>
      </w:r>
      <w:r>
        <w:rPr>
          <w:rFonts w:ascii="Times New Roman" w:eastAsia="Times New Roman"/>
        </w:rPr>
        <w:t>3</w:t>
      </w:r>
      <w:r>
        <w:t>人。</w:t>
      </w:r>
    </w:p>
    <w:p>
      <w:pPr>
        <w:pStyle w:val="18"/>
        <w:numPr>
          <w:ilvl w:val="0"/>
          <w:numId w:val="28"/>
        </w:numPr>
        <w:tabs>
          <w:tab w:val="left" w:pos="1621"/>
        </w:tabs>
        <w:spacing w:before="160" w:after="0" w:line="240" w:lineRule="auto"/>
        <w:ind w:left="1621" w:right="0" w:hanging="601"/>
        <w:jc w:val="left"/>
        <w:rPr>
          <w:sz w:val="24"/>
        </w:rPr>
      </w:pPr>
      <w:r>
        <w:rPr>
          <w:sz w:val="24"/>
        </w:rPr>
        <w:t>防疫技术人员队伍的建设</w:t>
      </w:r>
    </w:p>
    <w:p>
      <w:pPr>
        <w:pStyle w:val="7"/>
        <w:spacing w:before="143" w:line="364" w:lineRule="auto"/>
        <w:ind w:right="485" w:firstLine="480"/>
      </w:pPr>
      <w:r>
        <w:rPr>
          <w:rFonts w:hint="eastAsia"/>
          <w:lang w:val="en-US" w:eastAsia="zh-CN"/>
        </w:rPr>
        <w:t>莎车</w:t>
      </w:r>
      <w:r>
        <w:t>县农业农村局隶属</w:t>
      </w:r>
      <w:r>
        <w:rPr>
          <w:rFonts w:hint="eastAsia"/>
          <w:lang w:eastAsia="zh-CN"/>
        </w:rPr>
        <w:t>莎车</w:t>
      </w:r>
      <w:r>
        <w:t>县人民政府，为全县农业、畜牧业生产的政府职能部门。设行政办公室、党组办公室、农业办公室、农村能源办公室、项目办、检疫化验室、财务室。</w:t>
      </w:r>
    </w:p>
    <w:p>
      <w:pPr>
        <w:pStyle w:val="18"/>
        <w:numPr>
          <w:ilvl w:val="4"/>
          <w:numId w:val="27"/>
        </w:numPr>
        <w:tabs>
          <w:tab w:val="left" w:pos="1611"/>
        </w:tabs>
        <w:spacing w:before="2" w:after="0" w:line="240" w:lineRule="auto"/>
        <w:ind w:left="1610" w:right="0" w:hanging="1071"/>
        <w:jc w:val="left"/>
        <w:rPr>
          <w:sz w:val="24"/>
        </w:rPr>
      </w:pPr>
      <w:r>
        <w:rPr>
          <w:sz w:val="24"/>
        </w:rPr>
        <w:t>卫生防疫</w:t>
      </w:r>
    </w:p>
    <w:p>
      <w:pPr>
        <w:pStyle w:val="7"/>
        <w:spacing w:before="160" w:line="364" w:lineRule="auto"/>
        <w:ind w:right="577" w:firstLine="480"/>
      </w:pPr>
      <w:r>
        <w:rPr>
          <w:spacing w:val="-6"/>
        </w:rPr>
        <w:t>羊产业养殖场的有效防疫至关重要，它不仅关系养殖基地的安全生产，也关</w:t>
      </w:r>
      <w:r>
        <w:t>系着产品的市场竞争力，是养殖成败的关键。</w:t>
      </w:r>
    </w:p>
    <w:p>
      <w:pPr>
        <w:pStyle w:val="7"/>
        <w:spacing w:before="1" w:line="364" w:lineRule="auto"/>
        <w:ind w:right="577" w:firstLine="480"/>
        <w:jc w:val="both"/>
      </w:pPr>
      <w:r>
        <w:rPr>
          <w:spacing w:val="-10"/>
        </w:rPr>
        <w:t>从工艺流程、基地规划及圈舍的环境管理设施均有利于防疫，诸如分批次的</w:t>
      </w:r>
      <w:r>
        <w:rPr>
          <w:spacing w:val="-9"/>
        </w:rPr>
        <w:t>周转工艺流程，按批次对分区空舍冲洗消毒，场区周边及场区空地充分绿化，粪</w:t>
      </w:r>
      <w:r>
        <w:rPr>
          <w:spacing w:val="-5"/>
        </w:rPr>
        <w:t>场位于场区下风口，并将其高度低于场内污道末端</w:t>
      </w:r>
      <w:r>
        <w:rPr>
          <w:rFonts w:ascii="Times New Roman" w:eastAsia="Times New Roman"/>
        </w:rPr>
        <w:t>1.5</w:t>
      </w:r>
      <w:r>
        <w:rPr>
          <w:spacing w:val="-6"/>
        </w:rPr>
        <w:t>米，生产区进口处设车轮</w:t>
      </w:r>
      <w:r>
        <w:rPr>
          <w:spacing w:val="-7"/>
        </w:rPr>
        <w:t>消毒池及进场消毒更衣室，以便饲养工作人员出入养殖区彻底消毒；使养殖场经</w:t>
      </w:r>
      <w:r>
        <w:t>常处于对安全生产有利的工作环境。</w:t>
      </w:r>
    </w:p>
    <w:p>
      <w:pPr>
        <w:pStyle w:val="18"/>
        <w:numPr>
          <w:ilvl w:val="0"/>
          <w:numId w:val="29"/>
        </w:numPr>
        <w:tabs>
          <w:tab w:val="left" w:pos="1621"/>
        </w:tabs>
        <w:spacing w:before="3" w:after="0" w:line="364" w:lineRule="auto"/>
        <w:ind w:left="540" w:right="577" w:firstLine="480"/>
        <w:jc w:val="both"/>
        <w:rPr>
          <w:sz w:val="24"/>
        </w:rPr>
      </w:pPr>
      <w:r>
        <w:rPr>
          <w:spacing w:val="-1"/>
          <w:sz w:val="24"/>
        </w:rPr>
        <w:t>养殖场分隔：养殖区以地势及风向分区规划，以有利于防疫要求为原</w:t>
      </w:r>
      <w:r>
        <w:rPr>
          <w:spacing w:val="-10"/>
          <w:sz w:val="24"/>
        </w:rPr>
        <w:t>则，圈舍布置是以突出防疫安排的，对生产有危险性的粪污场设在下风向。使生</w:t>
      </w:r>
      <w:r>
        <w:rPr>
          <w:sz w:val="24"/>
        </w:rPr>
        <w:t>产区处于有利的防疫分割，形成阻隔传播的工程防疫条件，有利于环境净化。</w:t>
      </w:r>
    </w:p>
    <w:p>
      <w:pPr>
        <w:pStyle w:val="18"/>
        <w:numPr>
          <w:ilvl w:val="0"/>
          <w:numId w:val="29"/>
        </w:numPr>
        <w:tabs>
          <w:tab w:val="left" w:pos="1621"/>
        </w:tabs>
        <w:spacing w:before="2" w:after="0" w:line="364" w:lineRule="auto"/>
        <w:ind w:left="540" w:right="580" w:firstLine="480"/>
        <w:jc w:val="left"/>
        <w:rPr>
          <w:sz w:val="24"/>
        </w:rPr>
      </w:pPr>
      <w:r>
        <w:rPr>
          <w:spacing w:val="-1"/>
          <w:sz w:val="24"/>
        </w:rPr>
        <w:t>培训有能力农户饲养：以乡镇为饲养单位，选择具有养殖能力的贫困</w:t>
      </w:r>
      <w:r>
        <w:rPr>
          <w:sz w:val="24"/>
        </w:rPr>
        <w:t>对象进行饲养，减少死亡率。</w:t>
      </w:r>
    </w:p>
    <w:p>
      <w:pPr>
        <w:pStyle w:val="18"/>
        <w:numPr>
          <w:ilvl w:val="0"/>
          <w:numId w:val="29"/>
        </w:numPr>
        <w:tabs>
          <w:tab w:val="left" w:pos="1621"/>
        </w:tabs>
        <w:spacing w:before="1" w:after="0" w:line="364" w:lineRule="auto"/>
        <w:ind w:left="540" w:right="580" w:firstLine="480"/>
        <w:jc w:val="left"/>
        <w:rPr>
          <w:sz w:val="24"/>
        </w:rPr>
      </w:pPr>
      <w:r>
        <w:rPr>
          <w:spacing w:val="-1"/>
          <w:sz w:val="24"/>
        </w:rPr>
        <w:t>供水、排水系统对两套分流严格区分，饮用水、冲洗水各成系统；地</w:t>
      </w:r>
      <w:r>
        <w:rPr>
          <w:sz w:val="24"/>
        </w:rPr>
        <w:t>面径流与生产废水分别排放，经过物理、生物等处理达标后加以循环利用。</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 w:after="0" w:line="360" w:lineRule="auto"/>
        <w:ind w:leftChars="100" w:right="0" w:rightChars="0" w:firstLine="480" w:firstLineChars="200"/>
        <w:jc w:val="left"/>
        <w:textAlignment w:val="auto"/>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生产流程为单向流程的工艺流程，防止逆向迂回。</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61" w:after="0" w:line="360" w:lineRule="auto"/>
        <w:ind w:leftChars="100" w:right="0" w:rightChars="0" w:firstLine="480" w:firstLineChars="200"/>
        <w:jc w:val="left"/>
        <w:textAlignment w:val="auto"/>
        <w:rPr>
          <w:sz w:val="24"/>
        </w:rPr>
      </w:pPr>
      <w:r>
        <w:rPr>
          <w:rFonts w:hint="eastAsia"/>
          <w:sz w:val="24"/>
          <w:lang w:eastAsia="zh-CN"/>
        </w:rPr>
        <w:t>（</w:t>
      </w:r>
      <w:r>
        <w:rPr>
          <w:rFonts w:hint="eastAsia"/>
          <w:sz w:val="24"/>
          <w:lang w:val="en-US" w:eastAsia="zh-CN"/>
        </w:rPr>
        <w:t>5</w:t>
      </w:r>
      <w:r>
        <w:rPr>
          <w:rFonts w:hint="eastAsia"/>
          <w:sz w:val="24"/>
          <w:lang w:eastAsia="zh-CN"/>
        </w:rPr>
        <w:t>）</w:t>
      </w:r>
      <w:r>
        <w:rPr>
          <w:sz w:val="24"/>
        </w:rPr>
        <w:t>道路和出口严格分工，净污分道，防止交叉，各有出口。</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60" w:after="0" w:line="360" w:lineRule="auto"/>
        <w:ind w:leftChars="100" w:right="0" w:rightChars="0" w:firstLine="460" w:firstLineChars="200"/>
        <w:jc w:val="left"/>
        <w:textAlignment w:val="auto"/>
        <w:rPr>
          <w:sz w:val="24"/>
        </w:rPr>
      </w:pPr>
      <w:r>
        <w:rPr>
          <w:rFonts w:hint="eastAsia"/>
          <w:spacing w:val="-5"/>
          <w:sz w:val="24"/>
          <w:lang w:eastAsia="zh-CN"/>
        </w:rPr>
        <w:t>（</w:t>
      </w:r>
      <w:r>
        <w:rPr>
          <w:rFonts w:hint="eastAsia"/>
          <w:spacing w:val="-5"/>
          <w:sz w:val="24"/>
          <w:lang w:val="en-US" w:eastAsia="zh-CN"/>
        </w:rPr>
        <w:t>6</w:t>
      </w:r>
      <w:r>
        <w:rPr>
          <w:rFonts w:hint="eastAsia"/>
          <w:spacing w:val="-5"/>
          <w:sz w:val="24"/>
          <w:lang w:eastAsia="zh-CN"/>
        </w:rPr>
        <w:t>）</w:t>
      </w:r>
      <w:r>
        <w:rPr>
          <w:spacing w:val="-5"/>
          <w:sz w:val="24"/>
        </w:rPr>
        <w:t>干粪堆放场设于污道出口处、堆肥厂地标高低于污道末端，形成落差。</w:t>
      </w:r>
    </w:p>
    <w:p>
      <w:pPr>
        <w:pStyle w:val="18"/>
        <w:keepNext w:val="0"/>
        <w:keepLines w:val="0"/>
        <w:pageBreakBefore w:val="0"/>
        <w:widowControl w:val="0"/>
        <w:numPr>
          <w:ilvl w:val="4"/>
          <w:numId w:val="27"/>
        </w:numPr>
        <w:tabs>
          <w:tab w:val="left" w:pos="1611"/>
        </w:tabs>
        <w:kinsoku/>
        <w:wordWrap/>
        <w:overflowPunct/>
        <w:topLinePunct w:val="0"/>
        <w:autoSpaceDE w:val="0"/>
        <w:autoSpaceDN w:val="0"/>
        <w:bidi w:val="0"/>
        <w:adjustRightInd/>
        <w:snapToGrid/>
        <w:spacing w:before="161" w:after="0" w:line="360" w:lineRule="auto"/>
        <w:ind w:left="1291" w:leftChars="100" w:right="0" w:hanging="1071"/>
        <w:jc w:val="left"/>
        <w:textAlignment w:val="auto"/>
        <w:rPr>
          <w:sz w:val="24"/>
        </w:rPr>
      </w:pPr>
      <w:r>
        <w:rPr>
          <w:sz w:val="24"/>
        </w:rPr>
        <w:t>疫病防控措施</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60" w:after="0" w:line="360" w:lineRule="auto"/>
        <w:ind w:leftChars="100" w:right="0" w:rightChars="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养殖场入场须知</w:t>
      </w:r>
    </w:p>
    <w:p>
      <w:pPr>
        <w:pStyle w:val="7"/>
        <w:keepNext w:val="0"/>
        <w:keepLines w:val="0"/>
        <w:pageBreakBefore w:val="0"/>
        <w:widowControl w:val="0"/>
        <w:kinsoku/>
        <w:wordWrap/>
        <w:overflowPunct/>
        <w:topLinePunct w:val="0"/>
        <w:autoSpaceDE w:val="0"/>
        <w:autoSpaceDN w:val="0"/>
        <w:bidi w:val="0"/>
        <w:adjustRightInd/>
        <w:snapToGrid/>
        <w:spacing w:before="161" w:line="360" w:lineRule="auto"/>
        <w:ind w:left="220" w:leftChars="100" w:right="577" w:firstLine="480"/>
        <w:textAlignment w:val="auto"/>
      </w:pPr>
      <w:r>
        <w:rPr>
          <w:spacing w:val="-6"/>
        </w:rPr>
        <w:t>为确保羊产业养殖场的防疫安全和环境卫生，凡需进入养殖场的人员和车辆</w:t>
      </w:r>
      <w:r>
        <w:t>必须遵守以下规定要求：</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580" w:firstLine="480"/>
        <w:textAlignment w:val="auto"/>
      </w:pPr>
      <w:r>
        <w:t>①本养殖场分为工作、生活区和养殖区，来访人员统一在工作、生活区开展相关活动。</w:t>
      </w:r>
    </w:p>
    <w:p>
      <w:pPr>
        <w:pStyle w:val="7"/>
        <w:keepNext w:val="0"/>
        <w:keepLines w:val="0"/>
        <w:pageBreakBefore w:val="0"/>
        <w:widowControl w:val="0"/>
        <w:kinsoku/>
        <w:wordWrap/>
        <w:overflowPunct/>
        <w:topLinePunct w:val="0"/>
        <w:autoSpaceDE w:val="0"/>
        <w:autoSpaceDN w:val="0"/>
        <w:bidi w:val="0"/>
        <w:adjustRightInd/>
        <w:snapToGrid/>
        <w:spacing w:before="143" w:line="360" w:lineRule="auto"/>
        <w:ind w:left="220" w:leftChars="100" w:right="457" w:firstLine="480"/>
        <w:textAlignment w:val="auto"/>
      </w:pPr>
      <w:r>
        <w:t>②因工作需要进入养殖区的，必须向养殖场工作人员请批。</w:t>
      </w:r>
    </w:p>
    <w:p>
      <w:pPr>
        <w:pStyle w:val="7"/>
        <w:keepNext w:val="0"/>
        <w:keepLines w:val="0"/>
        <w:pageBreakBefore w:val="0"/>
        <w:widowControl w:val="0"/>
        <w:kinsoku/>
        <w:wordWrap/>
        <w:overflowPunct/>
        <w:topLinePunct w:val="0"/>
        <w:autoSpaceDE w:val="0"/>
        <w:autoSpaceDN w:val="0"/>
        <w:bidi w:val="0"/>
        <w:adjustRightInd/>
        <w:snapToGrid/>
        <w:spacing w:before="143" w:line="360" w:lineRule="auto"/>
        <w:ind w:left="220" w:leftChars="100" w:right="457" w:firstLine="480"/>
        <w:textAlignment w:val="auto"/>
      </w:pPr>
      <w:r>
        <w:t>③在进入养殖场入口处设消毒池及消毒、更衣间。经批准进入的，车辆应</w:t>
      </w:r>
      <w:r>
        <w:rPr>
          <w:spacing w:val="-16"/>
        </w:rPr>
        <w:t>经过消毒池，对整车时行全面消毒，人员也要进行全身消毒处理，更换进场衣物。</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580" w:firstLine="480"/>
        <w:textAlignment w:val="auto"/>
      </w:pPr>
      <w:r>
        <w:t>④非养殖场工作人员在养殖区工作结束应立即按照指示路线离开，不得逗留。</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457" w:firstLine="480"/>
        <w:textAlignment w:val="auto"/>
      </w:pPr>
      <w:r>
        <w:rPr>
          <w:spacing w:val="-7"/>
        </w:rPr>
        <w:t>⑤未经同意批准或者私自进入养殖区的人员、车辆若引发动物疾病或疫情，</w:t>
      </w:r>
      <w:r>
        <w:t>除经济处罚外，还将追究法律责任。</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577" w:firstLine="480"/>
        <w:jc w:val="both"/>
        <w:textAlignment w:val="auto"/>
      </w:pPr>
      <w:r>
        <w:rPr>
          <w:spacing w:val="-1"/>
        </w:rPr>
        <w:t>⑥养殖场的员工也不得随便出入，特别是饲养人员、技术人员、直接管理</w:t>
      </w:r>
      <w:r>
        <w:rPr>
          <w:spacing w:val="-11"/>
        </w:rPr>
        <w:t>人员，因事外出回来时，仍须经过严格消毒防疫处理，到生活区换上专用工作服</w:t>
      </w:r>
      <w:r>
        <w:t>后，方可上岗工作。</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220" w:leftChars="100" w:right="580" w:firstLine="480"/>
        <w:jc w:val="both"/>
        <w:textAlignment w:val="auto"/>
      </w:pPr>
      <w:r>
        <w:t>⑦进入养殖场的人员不得随意丢弃垃圾及其他废弃物，确保良繁中心环境卫生安全。</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1" w:after="0" w:line="360" w:lineRule="auto"/>
        <w:ind w:right="0" w:rightChars="0"/>
        <w:jc w:val="left"/>
        <w:textAlignment w:val="auto"/>
        <w:rPr>
          <w:sz w:val="24"/>
        </w:rPr>
      </w:pPr>
      <w:r>
        <w:rPr>
          <w:rFonts w:hint="eastAsia"/>
          <w:sz w:val="24"/>
          <w:lang w:val="en-US" w:eastAsia="zh-CN"/>
        </w:rPr>
        <w:t>(2)</w:t>
      </w:r>
      <w:r>
        <w:rPr>
          <w:sz w:val="24"/>
        </w:rPr>
        <w:t>养殖场消毒要求</w:t>
      </w:r>
    </w:p>
    <w:p>
      <w:pPr>
        <w:pStyle w:val="7"/>
        <w:keepNext w:val="0"/>
        <w:keepLines w:val="0"/>
        <w:pageBreakBefore w:val="0"/>
        <w:widowControl w:val="0"/>
        <w:kinsoku/>
        <w:wordWrap/>
        <w:overflowPunct/>
        <w:topLinePunct w:val="0"/>
        <w:autoSpaceDE w:val="0"/>
        <w:autoSpaceDN w:val="0"/>
        <w:bidi w:val="0"/>
        <w:adjustRightInd/>
        <w:snapToGrid/>
        <w:spacing w:before="161" w:line="360" w:lineRule="auto"/>
        <w:ind w:left="220" w:leftChars="100"/>
        <w:textAlignment w:val="auto"/>
      </w:pPr>
      <w:r>
        <w:t>①羊舍内地面、墙壁、顶棚消毒</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220" w:leftChars="100" w:right="457" w:firstLine="480"/>
        <w:textAlignment w:val="auto"/>
      </w:pPr>
      <w:r>
        <w:rPr>
          <w:spacing w:val="-16"/>
        </w:rPr>
        <w:t>羊舍内地面、墙壁和顶棚必须保持清洁卫生。饲养员每天必须至少清扫一次，</w:t>
      </w:r>
      <w:r>
        <w:rPr>
          <w:spacing w:val="-5"/>
        </w:rPr>
        <w:t>地面可以用清水进行冲洗，将粪尿、污物以及杂物等冲洗干净。然后每周用</w:t>
      </w:r>
      <w:r>
        <w:rPr>
          <w:rFonts w:ascii="Times New Roman" w:eastAsia="Times New Roman"/>
        </w:rPr>
        <w:t>2</w:t>
      </w:r>
      <w:r>
        <w:t>％</w:t>
      </w:r>
      <w:r>
        <w:rPr>
          <w:spacing w:val="-8"/>
        </w:rPr>
        <w:t>氢氧化钠水溶液进行喷洒消毒一次。如果带羊消毒，可用</w:t>
      </w:r>
      <w:r>
        <w:rPr>
          <w:rFonts w:ascii="Times New Roman" w:eastAsia="Times New Roman"/>
        </w:rPr>
        <w:t>0.1</w:t>
      </w:r>
      <w:r>
        <w:rPr>
          <w:spacing w:val="-9"/>
        </w:rPr>
        <w:t>％过氧乙酸或</w:t>
      </w:r>
      <w:r>
        <w:rPr>
          <w:rFonts w:ascii="Times New Roman" w:eastAsia="Times New Roman"/>
        </w:rPr>
        <w:t>0.1</w:t>
      </w:r>
      <w:r>
        <w:t>％</w:t>
      </w:r>
      <w:r>
        <w:rPr>
          <w:spacing w:val="-4"/>
        </w:rPr>
        <w:t>百毒杀溶液等进行喷洒消毒，每周</w:t>
      </w:r>
      <w:r>
        <w:rPr>
          <w:rFonts w:ascii="Times New Roman" w:eastAsia="Times New Roman"/>
        </w:rPr>
        <w:t>1</w:t>
      </w:r>
      <w:r>
        <w:t>～</w:t>
      </w:r>
      <w:r>
        <w:rPr>
          <w:rFonts w:ascii="Times New Roman" w:eastAsia="Times New Roman"/>
        </w:rPr>
        <w:t>2</w:t>
      </w:r>
      <w:r>
        <w:t>次。</w:t>
      </w:r>
    </w:p>
    <w:p>
      <w:pPr>
        <w:pStyle w:val="7"/>
        <w:keepNext w:val="0"/>
        <w:keepLines w:val="0"/>
        <w:pageBreakBefore w:val="0"/>
        <w:widowControl w:val="0"/>
        <w:kinsoku/>
        <w:wordWrap/>
        <w:overflowPunct/>
        <w:topLinePunct w:val="0"/>
        <w:autoSpaceDE w:val="0"/>
        <w:autoSpaceDN w:val="0"/>
        <w:bidi w:val="0"/>
        <w:adjustRightInd/>
        <w:snapToGrid/>
        <w:spacing w:before="3" w:line="360" w:lineRule="auto"/>
        <w:ind w:left="220" w:leftChars="100"/>
        <w:textAlignment w:val="auto"/>
      </w:pPr>
      <w:r>
        <w:t>②水、料槽、草架的消毒</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220" w:leftChars="100" w:right="523" w:firstLine="480"/>
        <w:textAlignment w:val="auto"/>
      </w:pPr>
      <w:r>
        <w:t>水、料槽、草架必须定期清洗消毒，保持清洁。一般可用</w:t>
      </w:r>
      <w:r>
        <w:rPr>
          <w:rFonts w:ascii="Times New Roman" w:eastAsia="Times New Roman"/>
        </w:rPr>
        <w:t>0.1</w:t>
      </w:r>
      <w:r>
        <w:t>％高锰酸钾溶液进行浸泡</w:t>
      </w:r>
      <w:r>
        <w:rPr>
          <w:rFonts w:ascii="Times New Roman" w:eastAsia="Times New Roman"/>
        </w:rPr>
        <w:t>5</w:t>
      </w:r>
      <w:r>
        <w:t>～</w:t>
      </w:r>
      <w:r>
        <w:rPr>
          <w:rFonts w:ascii="Times New Roman" w:eastAsia="Times New Roman"/>
        </w:rPr>
        <w:t>15min</w:t>
      </w:r>
      <w:r>
        <w:t>，每两周消毒一次。</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textAlignment w:val="auto"/>
      </w:pPr>
      <w:r>
        <w:t>③羊舍内空气清洁、消毒</w:t>
      </w:r>
    </w:p>
    <w:p>
      <w:pPr>
        <w:pStyle w:val="7"/>
        <w:keepNext w:val="0"/>
        <w:keepLines w:val="0"/>
        <w:pageBreakBefore w:val="0"/>
        <w:widowControl w:val="0"/>
        <w:kinsoku/>
        <w:wordWrap/>
        <w:overflowPunct/>
        <w:topLinePunct w:val="0"/>
        <w:autoSpaceDE w:val="0"/>
        <w:autoSpaceDN w:val="0"/>
        <w:bidi w:val="0"/>
        <w:adjustRightInd/>
        <w:snapToGrid/>
        <w:spacing w:before="161" w:line="360" w:lineRule="auto"/>
        <w:ind w:left="220" w:leftChars="100" w:right="577" w:firstLine="480"/>
        <w:textAlignment w:val="auto"/>
      </w:pPr>
      <w:r>
        <w:t>羊舍内空气的洁净程度对羊的健康会产生很大影响，必须对空气进行定期清洁消毒。具体如下：</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485" w:firstLine="480"/>
        <w:textAlignment w:val="auto"/>
      </w:pPr>
      <w:r>
        <w:rPr>
          <w:rFonts w:ascii="Times New Roman" w:eastAsia="Times New Roman"/>
        </w:rPr>
        <w:t>a</w:t>
      </w:r>
      <w:r>
        <w:t>、通风换气。在羊舍内必须留有充足的通风口，将通风口留在背风处以防止强风进入。羊舍较大的要安装排风扇，定时定点开启排风扇，进行通风换气。特别在冬季夜间，更要做好通风换气工作。</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textAlignment w:val="auto"/>
        <w:rPr>
          <w:sz w:val="9"/>
        </w:rPr>
      </w:pPr>
      <w:r>
        <w:rPr>
          <w:rFonts w:ascii="Times New Roman" w:eastAsia="Times New Roman"/>
        </w:rPr>
        <w:t>b</w:t>
      </w:r>
      <w:r>
        <w:rPr>
          <w:spacing w:val="-12"/>
        </w:rPr>
        <w:t>、水雾洗涤。向羊舍空气中喷洒水雾，一方面可以减少舍内空气中的尘埃，</w:t>
      </w:r>
      <w:r>
        <w:t>使舍内空气清洁；另一方面还可以降温和增加空气湿度，特别是在炎热的夏季，通过增加舍内湿度以防止过于干燥而导致呼吸道疾病发生。</w:t>
      </w:r>
    </w:p>
    <w:p>
      <w:pPr>
        <w:pStyle w:val="7"/>
        <w:keepNext w:val="0"/>
        <w:keepLines w:val="0"/>
        <w:pageBreakBefore w:val="0"/>
        <w:widowControl w:val="0"/>
        <w:kinsoku/>
        <w:wordWrap/>
        <w:overflowPunct/>
        <w:topLinePunct w:val="0"/>
        <w:autoSpaceDE w:val="0"/>
        <w:autoSpaceDN w:val="0"/>
        <w:bidi w:val="0"/>
        <w:adjustRightInd/>
        <w:snapToGrid/>
        <w:spacing w:before="74" w:line="360" w:lineRule="auto"/>
        <w:ind w:left="220" w:leftChars="100"/>
        <w:textAlignment w:val="auto"/>
      </w:pPr>
      <w:r>
        <w:rPr>
          <w:rFonts w:ascii="Times New Roman" w:eastAsia="Times New Roman"/>
        </w:rPr>
        <w:t>c</w:t>
      </w:r>
      <w:r>
        <w:t>、过道、走廊、庭院、路面消毒</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7" w:firstLine="480"/>
        <w:jc w:val="both"/>
        <w:textAlignment w:val="auto"/>
      </w:pPr>
      <w:r>
        <w:rPr>
          <w:spacing w:val="-6"/>
        </w:rPr>
        <w:t>为了防止外界病原微生物进入羊舍，应对过道、走廊、庭院、路面等地点应</w:t>
      </w:r>
      <w:r>
        <w:t>该定期进行消毒。一般可用生石灰消毒或用</w:t>
      </w:r>
      <w:r>
        <w:rPr>
          <w:rFonts w:ascii="Times New Roman" w:eastAsia="Times New Roman"/>
          <w:spacing w:val="7"/>
        </w:rPr>
        <w:t>2</w:t>
      </w:r>
      <w:r>
        <w:rPr>
          <w:spacing w:val="3"/>
        </w:rPr>
        <w:t>％氢氧化钠溶液进行喷洒效果很</w:t>
      </w:r>
      <w:r>
        <w:rPr>
          <w:spacing w:val="-13"/>
        </w:rPr>
        <w:t>好，每</w:t>
      </w:r>
      <w:r>
        <w:rPr>
          <w:rFonts w:ascii="Times New Roman" w:eastAsia="Times New Roman"/>
        </w:rPr>
        <w:t>2</w:t>
      </w:r>
      <w:r>
        <w:t>周一次。</w:t>
      </w:r>
    </w:p>
    <w:p>
      <w:pPr>
        <w:pStyle w:val="7"/>
        <w:keepNext w:val="0"/>
        <w:keepLines w:val="0"/>
        <w:pageBreakBefore w:val="0"/>
        <w:widowControl w:val="0"/>
        <w:kinsoku/>
        <w:wordWrap/>
        <w:overflowPunct/>
        <w:topLinePunct w:val="0"/>
        <w:autoSpaceDE w:val="0"/>
        <w:autoSpaceDN w:val="0"/>
        <w:bidi w:val="0"/>
        <w:adjustRightInd/>
        <w:snapToGrid/>
        <w:spacing w:before="5" w:line="360" w:lineRule="auto"/>
        <w:ind w:left="220" w:leftChars="100"/>
        <w:textAlignment w:val="auto"/>
      </w:pPr>
      <w:r>
        <w:rPr>
          <w:rFonts w:ascii="Times New Roman" w:eastAsia="Times New Roman"/>
        </w:rPr>
        <w:t>d</w:t>
      </w:r>
      <w:r>
        <w:t>、进场、羊舍人员及车辆消毒</w:t>
      </w:r>
    </w:p>
    <w:p>
      <w:pPr>
        <w:pStyle w:val="7"/>
        <w:keepNext w:val="0"/>
        <w:keepLines w:val="0"/>
        <w:pageBreakBefore w:val="0"/>
        <w:widowControl w:val="0"/>
        <w:kinsoku/>
        <w:wordWrap/>
        <w:overflowPunct/>
        <w:topLinePunct w:val="0"/>
        <w:autoSpaceDE w:val="0"/>
        <w:autoSpaceDN w:val="0"/>
        <w:bidi w:val="0"/>
        <w:adjustRightInd/>
        <w:snapToGrid/>
        <w:spacing w:before="154" w:line="360" w:lineRule="auto"/>
        <w:ind w:left="220" w:leftChars="100" w:right="575" w:firstLine="480"/>
        <w:jc w:val="both"/>
        <w:textAlignment w:val="auto"/>
      </w:pPr>
      <w:r>
        <w:rPr>
          <w:spacing w:val="-8"/>
        </w:rPr>
        <w:t>进入羊舍</w:t>
      </w:r>
      <w:r>
        <w:t>（生产区</w:t>
      </w:r>
      <w:r>
        <w:rPr>
          <w:spacing w:val="-32"/>
        </w:rPr>
        <w:t>）</w:t>
      </w:r>
      <w:r>
        <w:rPr>
          <w:spacing w:val="-4"/>
        </w:rPr>
        <w:t>的工作人员必须经过消毒更衣室，更换已消过毒的工作</w:t>
      </w:r>
      <w:r>
        <w:rPr>
          <w:spacing w:val="-12"/>
        </w:rPr>
        <w:t>服、卫生帽和胶鞋，严禁不换衣服而进入生产区。饲养人员的工作服必须保持清</w:t>
      </w:r>
      <w:r>
        <w:rPr>
          <w:spacing w:val="-5"/>
        </w:rPr>
        <w:t>洁卫生，定期洗涤，洗净后用</w:t>
      </w:r>
      <w:r>
        <w:rPr>
          <w:rFonts w:ascii="Times New Roman" w:eastAsia="Times New Roman"/>
        </w:rPr>
        <w:t>0.1</w:t>
      </w:r>
      <w:r>
        <w:rPr>
          <w:spacing w:val="-4"/>
        </w:rPr>
        <w:t>％新洁尔灭等消毒液进行浸泡</w:t>
      </w:r>
      <w:r>
        <w:rPr>
          <w:rFonts w:ascii="Times New Roman" w:eastAsia="Times New Roman"/>
        </w:rPr>
        <w:t>20min</w:t>
      </w:r>
      <w:r>
        <w:rPr>
          <w:spacing w:val="-4"/>
        </w:rPr>
        <w:t>后捞出晾</w:t>
      </w:r>
      <w:r>
        <w:rPr>
          <w:spacing w:val="-5"/>
        </w:rPr>
        <w:t>干。一般每周洗涤、消毒</w:t>
      </w:r>
      <w:r>
        <w:rPr>
          <w:rFonts w:ascii="Times New Roman" w:eastAsia="Times New Roman"/>
        </w:rPr>
        <w:t>1</w:t>
      </w:r>
      <w:r>
        <w:t>～</w:t>
      </w:r>
      <w:r>
        <w:rPr>
          <w:rFonts w:ascii="Times New Roman" w:eastAsia="Times New Roman"/>
        </w:rPr>
        <w:t>2</w:t>
      </w:r>
      <w:r>
        <w:t>次。在消毒更衣室地面必须放置浸满消毒液的消毒垫，用于胶鞋底的消毒。</w:t>
      </w:r>
    </w:p>
    <w:p>
      <w:pPr>
        <w:pStyle w:val="7"/>
        <w:keepNext w:val="0"/>
        <w:keepLines w:val="0"/>
        <w:pageBreakBefore w:val="0"/>
        <w:widowControl w:val="0"/>
        <w:kinsoku/>
        <w:wordWrap/>
        <w:overflowPunct/>
        <w:topLinePunct w:val="0"/>
        <w:autoSpaceDE w:val="0"/>
        <w:autoSpaceDN w:val="0"/>
        <w:bidi w:val="0"/>
        <w:adjustRightInd/>
        <w:snapToGrid/>
        <w:spacing w:before="8" w:line="360" w:lineRule="auto"/>
        <w:ind w:left="220" w:leftChars="100" w:right="577" w:firstLine="480"/>
        <w:jc w:val="both"/>
        <w:textAlignment w:val="auto"/>
      </w:pPr>
      <w:r>
        <w:rPr>
          <w:spacing w:val="-5"/>
        </w:rPr>
        <w:t>外来人员进入场区，必须经过场区大门旁侧的消毒室进行消毒</w:t>
      </w:r>
      <w:r>
        <w:t>（</w:t>
      </w:r>
      <w:r>
        <w:rPr>
          <w:spacing w:val="-11"/>
        </w:rPr>
        <w:t>方法：可用</w:t>
      </w:r>
      <w:r>
        <w:rPr>
          <w:spacing w:val="-3"/>
        </w:rPr>
        <w:t>紫外线照射</w:t>
      </w:r>
      <w:r>
        <w:rPr>
          <w:rFonts w:ascii="Times New Roman" w:eastAsia="Times New Roman"/>
        </w:rPr>
        <w:t>5</w:t>
      </w:r>
      <w:r>
        <w:t>～</w:t>
      </w:r>
      <w:r>
        <w:rPr>
          <w:rFonts w:ascii="Times New Roman" w:eastAsia="Times New Roman"/>
        </w:rPr>
        <w:t>15min</w:t>
      </w:r>
      <w:r>
        <w:t>，脚底踏踩消毒垫）后方可进入，但绝对禁止未经消毒更</w:t>
      </w:r>
      <w:r>
        <w:rPr>
          <w:spacing w:val="-8"/>
        </w:rPr>
        <w:t>衣人员进入生产区。禁止一切外来车辆进入生产区，进入场区的外来车辆，必须</w:t>
      </w:r>
      <w:r>
        <w:rPr>
          <w:spacing w:val="-5"/>
        </w:rPr>
        <w:t>经过大门门下置满消毒液的消毒池，对轮胎进行消毒，车体可用</w:t>
      </w:r>
      <w:r>
        <w:rPr>
          <w:rFonts w:ascii="Times New Roman" w:eastAsia="Times New Roman"/>
        </w:rPr>
        <w:t>2</w:t>
      </w:r>
      <w:r>
        <w:rPr>
          <w:spacing w:val="-3"/>
        </w:rPr>
        <w:t>％氢氧化钠或</w:t>
      </w:r>
      <w:r>
        <w:rPr>
          <w:rFonts w:ascii="Times New Roman" w:eastAsia="Times New Roman"/>
        </w:rPr>
        <w:t>0.1</w:t>
      </w:r>
      <w:r>
        <w:t>％过氧乙酸等进行喷雾消毒后方可进入。</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0" w:after="0" w:line="360" w:lineRule="auto"/>
        <w:ind w:leftChars="100" w:right="0" w:rightChars="0"/>
        <w:jc w:val="left"/>
        <w:textAlignment w:val="auto"/>
        <w:rPr>
          <w:sz w:val="24"/>
        </w:rPr>
      </w:pPr>
      <w:r>
        <w:rPr>
          <w:rFonts w:hint="eastAsia"/>
          <w:sz w:val="24"/>
          <w:lang w:val="en-US" w:eastAsia="zh-CN"/>
        </w:rPr>
        <w:t>(1)</w:t>
      </w:r>
      <w:r>
        <w:rPr>
          <w:sz w:val="24"/>
        </w:rPr>
        <w:t>养殖场防疫要求</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textAlignment w:val="auto"/>
      </w:pPr>
      <w:r>
        <w:t>①严格投入品控制</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right="485" w:firstLine="480"/>
        <w:textAlignment w:val="auto"/>
      </w:pPr>
      <w:r>
        <w:rPr>
          <w:spacing w:val="-7"/>
        </w:rPr>
        <w:t>要根据羊只不同品种、年龄、用途喂给全价配合饲料，蛋白质、维生素、微</w:t>
      </w:r>
      <w:r>
        <w:rPr>
          <w:spacing w:val="-12"/>
        </w:rPr>
        <w:t>量元素等营养成分要满足羊只生长、发育、繁殖等需要，饮水要充足、清洁、卫</w:t>
      </w:r>
      <w:r>
        <w:rPr>
          <w:spacing w:val="-11"/>
        </w:rPr>
        <w:t>生。同时，可以在饲料中添加微生态制剂等绿色饲料添加剂来提高羊只自身免疫</w:t>
      </w:r>
      <w:r>
        <w:rPr>
          <w:spacing w:val="-12"/>
        </w:rPr>
        <w:t>力和抗病力。还可以适当投放一些预防性药物，对羊群进行疫病的预防和控制，</w:t>
      </w:r>
      <w:r>
        <w:t>如利用恩诺沙星或环内沙星可有效预防羔羊腹泻等。</w:t>
      </w:r>
    </w:p>
    <w:p>
      <w:pPr>
        <w:pStyle w:val="7"/>
        <w:keepNext w:val="0"/>
        <w:keepLines w:val="0"/>
        <w:pageBreakBefore w:val="0"/>
        <w:widowControl w:val="0"/>
        <w:kinsoku/>
        <w:wordWrap/>
        <w:overflowPunct/>
        <w:topLinePunct w:val="0"/>
        <w:autoSpaceDE w:val="0"/>
        <w:autoSpaceDN w:val="0"/>
        <w:bidi w:val="0"/>
        <w:adjustRightInd/>
        <w:snapToGrid/>
        <w:spacing w:before="9" w:line="360" w:lineRule="auto"/>
        <w:ind w:left="220" w:leftChars="100"/>
        <w:textAlignment w:val="auto"/>
      </w:pPr>
      <w:r>
        <w:t>②落实隔离制度</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right="455" w:firstLine="480"/>
        <w:textAlignment w:val="auto"/>
      </w:pPr>
      <w:r>
        <w:rPr>
          <w:spacing w:val="-6"/>
        </w:rPr>
        <w:t>如需外购羔羊补栏或种羊，要严格隔离饲养观察，严禁从疫区购买羊只。在</w:t>
      </w:r>
      <w:r>
        <w:rPr>
          <w:spacing w:val="-16"/>
        </w:rPr>
        <w:t>此期间进行临床和实验室检查，确认健康无病后，再经预防接种、驱虫、消毒后，</w:t>
      </w:r>
      <w:r>
        <w:rPr>
          <w:spacing w:val="-8"/>
        </w:rPr>
        <w:t>才可进入生产区。不同批次、不同种源场的羔羊尽量分舍独立饲养，降低疫病互相传染的风险。</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pPr>
      <w:r>
        <w:t>③完善免疫程序</w:t>
      </w:r>
    </w:p>
    <w:p>
      <w:pPr>
        <w:pStyle w:val="7"/>
        <w:keepNext w:val="0"/>
        <w:keepLines w:val="0"/>
        <w:pageBreakBefore w:val="0"/>
        <w:widowControl w:val="0"/>
        <w:kinsoku/>
        <w:wordWrap/>
        <w:overflowPunct/>
        <w:topLinePunct w:val="0"/>
        <w:autoSpaceDE w:val="0"/>
        <w:autoSpaceDN w:val="0"/>
        <w:bidi w:val="0"/>
        <w:adjustRightInd/>
        <w:snapToGrid/>
        <w:spacing w:before="153" w:line="360" w:lineRule="auto"/>
        <w:ind w:left="220" w:leftChars="100" w:right="577" w:firstLine="480"/>
        <w:textAlignment w:val="auto"/>
      </w:pPr>
      <w:r>
        <w:rPr>
          <w:spacing w:val="-8"/>
        </w:rPr>
        <w:t>制定完善羊场免疫程序，加强规模羊场防疫技术指导，规模羊场要结合本场</w:t>
      </w:r>
      <w:r>
        <w:rPr>
          <w:spacing w:val="-9"/>
        </w:rPr>
        <w:t>羊只发病特点、羊只年龄、品种等实际情况，优化免疫程序，严格配合各级动物</w:t>
      </w:r>
      <w:r>
        <w:rPr>
          <w:spacing w:val="-10"/>
        </w:rPr>
        <w:t>防疫机构，做好羊群免疫接种及补防工作，确保免疫效果。一般每年的春秋两季</w:t>
      </w:r>
      <w:r>
        <w:t>对全群羊只进行疫苗免疫注射，重点预防口蹄疫、羊痘、小反刍兽疫等疫病。</w:t>
      </w:r>
    </w:p>
    <w:p>
      <w:pPr>
        <w:pStyle w:val="7"/>
        <w:spacing w:line="307" w:lineRule="exact"/>
        <w:ind w:left="1020"/>
      </w:pPr>
      <w:r>
        <w:t>④开展动物检疫</w:t>
      </w:r>
    </w:p>
    <w:p>
      <w:pPr>
        <w:pStyle w:val="7"/>
        <w:spacing w:before="151" w:line="360" w:lineRule="auto"/>
        <w:ind w:right="485" w:firstLine="480"/>
      </w:pPr>
      <w:r>
        <w:t>从外地购买羔羊补栏或种羊时，必须首先调查了解产地羊传染病流行情况，经当地动物检疫机构检疫合格后方可启运回场。尤其是对一些危害较大和一些新的疫病如羊口蹄疫、羊痘、小反刍兽疫等更要严格检疫。</w:t>
      </w:r>
    </w:p>
    <w:p>
      <w:pPr>
        <w:pStyle w:val="7"/>
        <w:spacing w:line="304" w:lineRule="exact"/>
        <w:ind w:left="1020"/>
      </w:pPr>
      <w:r>
        <w:t>⑤强化驱虫制度</w:t>
      </w:r>
    </w:p>
    <w:p>
      <w:pPr>
        <w:pStyle w:val="7"/>
        <w:spacing w:before="154" w:line="360" w:lineRule="auto"/>
        <w:ind w:right="577" w:firstLine="480"/>
        <w:jc w:val="both"/>
      </w:pPr>
      <w:r>
        <w:rPr>
          <w:spacing w:val="-8"/>
        </w:rPr>
        <w:t>驱虫分体内驱虫、体外驱虫及环境灭虫，羊场要遵循“强化虫检、适时驱虫</w:t>
      </w:r>
      <w:r>
        <w:rPr>
          <w:spacing w:val="-7"/>
        </w:rPr>
        <w:t>“的原则做好此项工作。体内驱虫主要驱除山羊体内绦虫、球虫等寄生虫，常用</w:t>
      </w:r>
      <w:r>
        <w:rPr>
          <w:spacing w:val="-10"/>
        </w:rPr>
        <w:t>左旋咪唑、丙硫苯咪唑等驱虫药。体外驱虫主要驱除山羊体表的螨虫、虱子等寄生虫，常用药物有敌百虫、螨净等。同时要定期对整个圈舍、粪池及周围环境进</w:t>
      </w:r>
      <w:r>
        <w:t>行喷药灭虫。</w:t>
      </w:r>
    </w:p>
    <w:p>
      <w:pPr>
        <w:pStyle w:val="7"/>
        <w:spacing w:line="300" w:lineRule="exact"/>
        <w:ind w:left="1020"/>
        <w:jc w:val="both"/>
      </w:pPr>
      <w:r>
        <w:t>⑥加强诊疗控制</w:t>
      </w:r>
    </w:p>
    <w:p>
      <w:pPr>
        <w:pStyle w:val="7"/>
        <w:spacing w:before="153" w:line="360" w:lineRule="auto"/>
        <w:ind w:right="455" w:firstLine="480"/>
      </w:pPr>
      <w:r>
        <w:rPr>
          <w:spacing w:val="-7"/>
        </w:rPr>
        <w:t>发现羊只传染病、疑似传染病时，要做好患病和疑似羊只隔离工作，并立即</w:t>
      </w:r>
      <w:r>
        <w:rPr>
          <w:spacing w:val="-13"/>
        </w:rPr>
        <w:t>向当地动物防疫机构报告，采取防制措施。对有治疗价值的患病羊只，及时对症</w:t>
      </w:r>
      <w:r>
        <w:rPr>
          <w:spacing w:val="-15"/>
        </w:rPr>
        <w:t>治疗；没有治疗价值或烈性传染病的患病羊只，按照“早、快、严、小”的原则，</w:t>
      </w:r>
      <w:r>
        <w:t>迅速采取封锁措施，以防止传染病向安全地区传播蔓延。</w:t>
      </w:r>
    </w:p>
    <w:p>
      <w:pPr>
        <w:pStyle w:val="7"/>
        <w:spacing w:line="303" w:lineRule="exact"/>
        <w:ind w:left="1020"/>
      </w:pPr>
      <w:r>
        <w:t>⑦严格落实无害化处理制度</w:t>
      </w:r>
    </w:p>
    <w:p>
      <w:pPr>
        <w:pStyle w:val="7"/>
        <w:spacing w:before="151" w:line="360" w:lineRule="auto"/>
        <w:ind w:right="575" w:firstLine="480"/>
        <w:jc w:val="both"/>
      </w:pPr>
      <w:r>
        <w:rPr>
          <w:spacing w:val="-9"/>
        </w:rPr>
        <w:t>病死羊及羊粪、污水需进行无害化处理，以消灭依附其中的病原微生物、寄</w:t>
      </w:r>
      <w:r>
        <w:rPr>
          <w:spacing w:val="-11"/>
        </w:rPr>
        <w:t>生虫等。羊粪一般采用生物热消毒法，利用堆积发酵时产生的生物热杀灭病原微</w:t>
      </w:r>
      <w:r>
        <w:rPr>
          <w:spacing w:val="-10"/>
        </w:rPr>
        <w:t>生物和虫卵，然后用作有机肥还田。污水一般采用沉淀法、过滤法和化学品处理法，比较实用的是化学药品处理法，污水池内加入漂白粉或生石灰进行消毒。病</w:t>
      </w:r>
      <w:r>
        <w:t>死羊无害化处理一般有化制、掩埋、焚烧三种方式。</w:t>
      </w:r>
    </w:p>
    <w:p>
      <w:pPr>
        <w:pStyle w:val="5"/>
        <w:numPr>
          <w:ilvl w:val="0"/>
          <w:numId w:val="0"/>
        </w:numPr>
        <w:tabs>
          <w:tab w:val="left" w:pos="1380"/>
        </w:tabs>
        <w:spacing w:before="61" w:after="0" w:line="240" w:lineRule="auto"/>
        <w:ind w:left="540" w:leftChars="0" w:right="0" w:rightChars="0"/>
        <w:jc w:val="left"/>
      </w:pPr>
      <w:bookmarkStart w:id="154" w:name="3.1.12 施工组织方案"/>
      <w:bookmarkEnd w:id="154"/>
      <w:bookmarkStart w:id="155" w:name="3.1.12 施工组织方案"/>
      <w:bookmarkEnd w:id="155"/>
      <w:r>
        <w:rPr>
          <w:rFonts w:hint="eastAsia"/>
          <w:lang w:val="en-US" w:eastAsia="zh-CN"/>
        </w:rPr>
        <w:t xml:space="preserve">3.1.9  </w:t>
      </w:r>
      <w:r>
        <w:t>施工组织方案</w:t>
      </w:r>
    </w:p>
    <w:p>
      <w:pPr>
        <w:pStyle w:val="7"/>
        <w:spacing w:before="1"/>
        <w:ind w:left="0"/>
        <w:rPr>
          <w:b/>
          <w:sz w:val="22"/>
        </w:rPr>
      </w:pPr>
    </w:p>
    <w:p>
      <w:pPr>
        <w:pStyle w:val="18"/>
        <w:numPr>
          <w:ilvl w:val="3"/>
          <w:numId w:val="30"/>
        </w:numPr>
        <w:tabs>
          <w:tab w:val="left" w:pos="1440"/>
        </w:tabs>
        <w:spacing w:before="1" w:after="0" w:line="240" w:lineRule="auto"/>
        <w:ind w:left="1440" w:right="0" w:hanging="900"/>
        <w:jc w:val="left"/>
        <w:rPr>
          <w:sz w:val="24"/>
        </w:rPr>
      </w:pPr>
      <w:bookmarkStart w:id="156" w:name="3.1.12.1 总体施工方案"/>
      <w:bookmarkEnd w:id="156"/>
      <w:bookmarkStart w:id="157" w:name="3.1.12.1 总体施工方案"/>
      <w:bookmarkEnd w:id="157"/>
      <w:r>
        <w:rPr>
          <w:sz w:val="24"/>
        </w:rPr>
        <w:t>总体施工方案</w:t>
      </w:r>
    </w:p>
    <w:p>
      <w:pPr>
        <w:pStyle w:val="7"/>
        <w:spacing w:before="167"/>
        <w:ind w:left="1020"/>
      </w:pPr>
      <w:r>
        <w:t>本项目由</w:t>
      </w:r>
      <w:r>
        <w:rPr>
          <w:rFonts w:hint="eastAsia"/>
          <w:lang w:val="en-US" w:eastAsia="zh-CN"/>
        </w:rPr>
        <w:t>8</w:t>
      </w:r>
      <w:r>
        <w:t>栋羊舍及以及相应的附属配套设施设备组成。</w:t>
      </w:r>
    </w:p>
    <w:p>
      <w:pPr>
        <w:pStyle w:val="18"/>
        <w:numPr>
          <w:ilvl w:val="3"/>
          <w:numId w:val="30"/>
        </w:numPr>
        <w:tabs>
          <w:tab w:val="left" w:pos="1440"/>
        </w:tabs>
        <w:spacing w:before="168" w:after="0" w:line="240" w:lineRule="auto"/>
        <w:ind w:left="1440" w:right="0" w:hanging="900"/>
        <w:jc w:val="left"/>
        <w:rPr>
          <w:sz w:val="24"/>
        </w:rPr>
      </w:pPr>
      <w:bookmarkStart w:id="158" w:name="3.1.12.2 主要施工工序安排"/>
      <w:bookmarkEnd w:id="158"/>
      <w:bookmarkStart w:id="159" w:name="3.1.12.2 主要施工工序安排"/>
      <w:bookmarkEnd w:id="159"/>
      <w:r>
        <w:rPr>
          <w:sz w:val="24"/>
        </w:rPr>
        <w:t>主要施工工序安排</w:t>
      </w:r>
    </w:p>
    <w:p>
      <w:pPr>
        <w:pStyle w:val="7"/>
        <w:spacing w:before="168"/>
        <w:ind w:left="1020"/>
      </w:pPr>
      <w:r>
        <w:t>①工程基础施工完毕后进行基础隐蔽验收备案；</w:t>
      </w:r>
    </w:p>
    <w:p>
      <w:pPr>
        <w:pStyle w:val="7"/>
        <w:spacing w:before="160"/>
        <w:ind w:left="1020"/>
      </w:pPr>
      <w:r>
        <w:t>②主体结构完成后进行主体结构隐蔽验收备案。</w:t>
      </w:r>
    </w:p>
    <w:p>
      <w:pPr>
        <w:pStyle w:val="7"/>
        <w:spacing w:before="160"/>
        <w:ind w:left="1020"/>
      </w:pPr>
      <w:r>
        <w:t>③屋顶施工完后从上至下进行外墙装饰。</w:t>
      </w:r>
    </w:p>
    <w:p>
      <w:pPr>
        <w:pStyle w:val="7"/>
        <w:spacing w:before="160"/>
        <w:ind w:left="1020"/>
      </w:pPr>
      <w:r>
        <w:t>④内墙抹灰需待屋顶施工完后方能进行，楼地面紧随内墙抹灰施工。</w:t>
      </w:r>
    </w:p>
    <w:p>
      <w:pPr>
        <w:pStyle w:val="7"/>
        <w:spacing w:before="161"/>
        <w:ind w:left="1020"/>
      </w:pPr>
      <w:r>
        <w:t>⑤室外工程如场地硬化、等池待外装饰完工后再施工。</w:t>
      </w:r>
    </w:p>
    <w:p>
      <w:pPr>
        <w:pStyle w:val="7"/>
        <w:spacing w:before="160"/>
        <w:ind w:left="1020"/>
      </w:pPr>
      <w:r>
        <w:t>⑥安装工程应随主体结构施工进度进行配合预留、预埋。</w:t>
      </w:r>
    </w:p>
    <w:p>
      <w:pPr>
        <w:pStyle w:val="18"/>
        <w:numPr>
          <w:ilvl w:val="3"/>
          <w:numId w:val="30"/>
        </w:numPr>
        <w:tabs>
          <w:tab w:val="left" w:pos="1440"/>
        </w:tabs>
        <w:spacing w:before="170" w:after="0" w:line="240" w:lineRule="auto"/>
        <w:ind w:left="1440" w:right="0" w:hanging="900"/>
        <w:jc w:val="left"/>
        <w:rPr>
          <w:sz w:val="24"/>
        </w:rPr>
      </w:pPr>
      <w:bookmarkStart w:id="160" w:name="3.1.12.3 工程方案"/>
      <w:bookmarkEnd w:id="160"/>
      <w:bookmarkStart w:id="161" w:name="3.1.12.3 工程方案"/>
      <w:bookmarkEnd w:id="161"/>
      <w:r>
        <w:rPr>
          <w:sz w:val="24"/>
        </w:rPr>
        <w:t>工程方案</w:t>
      </w:r>
    </w:p>
    <w:p>
      <w:pPr>
        <w:pStyle w:val="7"/>
        <w:spacing w:before="168" w:line="364" w:lineRule="auto"/>
        <w:ind w:right="577" w:firstLine="480"/>
      </w:pPr>
      <w:r>
        <w:t>基础工程按照土方开挖</w:t>
      </w:r>
      <w:r>
        <w:rPr>
          <w:rFonts w:ascii="Times New Roman" w:hAnsi="Times New Roman" w:eastAsia="Times New Roman"/>
        </w:rPr>
        <w:t>→</w:t>
      </w:r>
      <w:r>
        <w:t>清底</w:t>
      </w:r>
      <w:r>
        <w:rPr>
          <w:rFonts w:ascii="Times New Roman" w:hAnsi="Times New Roman" w:eastAsia="Times New Roman"/>
        </w:rPr>
        <w:t>→</w:t>
      </w:r>
      <w:r>
        <w:rPr>
          <w:spacing w:val="-9"/>
        </w:rPr>
        <w:t>勘察、设计、监理等部门验槽</w:t>
      </w:r>
      <w:r>
        <w:rPr>
          <w:rFonts w:ascii="Times New Roman" w:hAnsi="Times New Roman" w:eastAsia="Times New Roman"/>
        </w:rPr>
        <w:t>→</w:t>
      </w:r>
      <w:r>
        <w:rPr>
          <w:spacing w:val="-11"/>
        </w:rPr>
        <w:t>砼、水泥土</w:t>
      </w:r>
      <w:r>
        <w:t>垫层</w:t>
      </w:r>
      <w:r>
        <w:rPr>
          <w:rFonts w:ascii="Times New Roman" w:hAnsi="Times New Roman" w:eastAsia="Times New Roman"/>
        </w:rPr>
        <w:t>→</w:t>
      </w:r>
      <w:r>
        <w:t>土方回填顺序进行。</w:t>
      </w:r>
    </w:p>
    <w:p>
      <w:pPr>
        <w:pStyle w:val="7"/>
        <w:spacing w:before="1" w:line="364" w:lineRule="auto"/>
        <w:ind w:right="455" w:firstLine="480"/>
      </w:pPr>
      <w:r>
        <w:t>主体结构中使用的钢筋运到工地后，必须严格按分批同等级、牌号、直径、长度分别挂牌堆放，不得混淆，存放钢筋场地要进行平整夯实，并作硬化处理。</w:t>
      </w:r>
      <w:r>
        <w:rPr>
          <w:spacing w:val="-6"/>
        </w:rPr>
        <w:t>由专业人员进行钢筋翻样，完成配筋料表，配筋料表要经过技术负责人审核，项</w:t>
      </w:r>
      <w:r>
        <w:rPr>
          <w:spacing w:val="-11"/>
        </w:rPr>
        <w:t>目技术负责人审批后才能允许加工。钢筋加工成型严格按《混凝土结构工程施工</w:t>
      </w:r>
      <w:r>
        <w:rPr>
          <w:spacing w:val="-16"/>
        </w:rPr>
        <w:t>质量验收规范》</w:t>
      </w:r>
      <w:r>
        <w:t>（</w:t>
      </w:r>
      <w:r>
        <w:rPr>
          <w:rFonts w:ascii="Times New Roman" w:eastAsia="Times New Roman"/>
        </w:rPr>
        <w:t xml:space="preserve">GB </w:t>
      </w:r>
      <w:r>
        <w:rPr>
          <w:rFonts w:ascii="Times New Roman" w:eastAsia="Times New Roman"/>
          <w:spacing w:val="-3"/>
        </w:rPr>
        <w:t>50204-2002</w:t>
      </w:r>
      <w:r>
        <w:rPr>
          <w:spacing w:val="-3"/>
        </w:rPr>
        <w:t>）</w:t>
      </w:r>
      <w:r>
        <w:rPr>
          <w:spacing w:val="-4"/>
        </w:rPr>
        <w:t>和设计要求执行。现场建立严格的钢筋生产、</w:t>
      </w:r>
      <w:r>
        <w:t>质量检验制度、安全管理制度，并制定节约措施，降低材料损耗。</w:t>
      </w:r>
    </w:p>
    <w:p>
      <w:pPr>
        <w:pStyle w:val="7"/>
        <w:spacing w:before="4" w:line="364" w:lineRule="auto"/>
        <w:ind w:right="577" w:firstLine="480"/>
        <w:jc w:val="both"/>
      </w:pPr>
      <w:r>
        <w:rPr>
          <w:spacing w:val="-9"/>
        </w:rPr>
        <w:t>钢筋的锚固长度、搭接长度应符合结构施工总说明的要求。现场不能长期堆</w:t>
      </w:r>
      <w:r>
        <w:rPr>
          <w:spacing w:val="-10"/>
        </w:rPr>
        <w:t>放钢筋，钢筋原材料按计划分批进场，加工成型经检验合格后，并及时运到需要部位，避免钢筋在场地内长期堆放。下雨时半成品钢筋不应暴露在外，已绑扎好</w:t>
      </w:r>
      <w:r>
        <w:t>的钢筋要及浇筑混凝土。</w:t>
      </w:r>
    </w:p>
    <w:p>
      <w:pPr>
        <w:pStyle w:val="7"/>
        <w:spacing w:before="2"/>
        <w:ind w:left="1020"/>
      </w:pPr>
      <w:r>
        <w:t>混凝土工程按照砼运输</w:t>
      </w:r>
      <w:r>
        <w:rPr>
          <w:rFonts w:ascii="Times New Roman" w:hAnsi="Times New Roman" w:eastAsia="Times New Roman"/>
        </w:rPr>
        <w:t>→</w:t>
      </w:r>
      <w:r>
        <w:t>砼浇筑及振捣</w:t>
      </w:r>
      <w:r>
        <w:rPr>
          <w:rFonts w:ascii="Times New Roman" w:hAnsi="Times New Roman" w:eastAsia="Times New Roman"/>
        </w:rPr>
        <w:t>→</w:t>
      </w:r>
      <w:r>
        <w:t>养护顺序进行。</w:t>
      </w:r>
    </w:p>
    <w:p>
      <w:pPr>
        <w:pStyle w:val="7"/>
        <w:spacing w:before="161" w:line="364" w:lineRule="auto"/>
        <w:ind w:right="577" w:firstLine="480"/>
        <w:jc w:val="both"/>
      </w:pPr>
      <w:r>
        <w:rPr>
          <w:spacing w:val="-9"/>
        </w:rPr>
        <w:t>砼浇灌前应对模板、钢筋、预留洞的位置、标高、轴线、数量及模板系统牢固情况和各种管道、线路安装预埋，进行综合检查，并认为合格后，请质监、监</w:t>
      </w:r>
      <w:r>
        <w:rPr>
          <w:spacing w:val="-10"/>
        </w:rPr>
        <w:t>理、建设单位代表进行隐蔽验收，办理隐蔽验收记录后，方可浇筑砼。并作自检</w:t>
      </w:r>
      <w:r>
        <w:t>和工序交接记录。钢筋上的泥土、模板内的垃圾、杂物应清除干净。</w:t>
      </w:r>
    </w:p>
    <w:p>
      <w:pPr>
        <w:pStyle w:val="7"/>
        <w:spacing w:before="2" w:line="364" w:lineRule="auto"/>
        <w:ind w:right="575" w:firstLine="480"/>
        <w:jc w:val="both"/>
      </w:pPr>
      <w:r>
        <w:rPr>
          <w:spacing w:val="-1"/>
        </w:rPr>
        <w:t>砼浇筑应连续，以保证结构有良好的整体性，间歇时间不超过</w:t>
      </w:r>
      <w:r>
        <w:rPr>
          <w:rFonts w:ascii="Times New Roman" w:eastAsia="Times New Roman"/>
        </w:rPr>
        <w:t>180min</w:t>
      </w:r>
      <w:r>
        <w:t>。如</w:t>
      </w:r>
      <w:r>
        <w:rPr>
          <w:spacing w:val="-9"/>
        </w:rPr>
        <w:t>必须留设施工缝，其留置位置应在浇筑前确定，并应留设在结构受剪力较小且便</w:t>
      </w:r>
      <w:r>
        <w:rPr>
          <w:spacing w:val="10"/>
        </w:rPr>
        <w:t>于施工的部位。在施工缝处继续浇筑砼时，已浇筑的砼，其抗压强度不小于</w:t>
      </w:r>
      <w:r>
        <w:rPr>
          <w:rFonts w:ascii="Times New Roman" w:eastAsia="Times New Roman"/>
          <w:spacing w:val="10"/>
        </w:rPr>
        <w:t>12MPA</w:t>
      </w:r>
      <w:r>
        <w:rPr>
          <w:spacing w:val="-3"/>
        </w:rPr>
        <w:t>，浇筑砼前先在施工缝处铺一层与砼配合比成份相同的水泥砂浆，仔细振</w:t>
      </w:r>
      <w:r>
        <w:rPr>
          <w:spacing w:val="-11"/>
        </w:rPr>
        <w:t>捣，使新旧砼紧密结合。砼灌注后采用插入式振动器振捣，板采用平板振动器振</w:t>
      </w:r>
      <w:r>
        <w:rPr>
          <w:spacing w:val="-6"/>
        </w:rPr>
        <w:t>捣。在砼浇筑完毕后的</w:t>
      </w:r>
      <w:r>
        <w:rPr>
          <w:rFonts w:ascii="Times New Roman" w:eastAsia="Times New Roman"/>
        </w:rPr>
        <w:t>12h</w:t>
      </w:r>
      <w:r>
        <w:t>以内对砼加以覆盖和浇水养护。</w:t>
      </w:r>
    </w:p>
    <w:p>
      <w:pPr>
        <w:pStyle w:val="7"/>
        <w:spacing w:before="4"/>
        <w:ind w:left="1020"/>
        <w:rPr>
          <w:rFonts w:ascii="Times New Roman" w:hAnsi="Times New Roman" w:eastAsia="Times New Roman"/>
        </w:rPr>
      </w:pPr>
      <w:r>
        <w:t>墙体砌筑按照抄平、放线</w:t>
      </w:r>
      <w:r>
        <w:rPr>
          <w:rFonts w:ascii="Times New Roman" w:hAnsi="Times New Roman" w:eastAsia="Times New Roman"/>
        </w:rPr>
        <w:t>→</w:t>
      </w:r>
      <w:r>
        <w:t>立皮数杆</w:t>
      </w:r>
      <w:r>
        <w:rPr>
          <w:rFonts w:ascii="Times New Roman" w:hAnsi="Times New Roman" w:eastAsia="Times New Roman"/>
        </w:rPr>
        <w:t>→</w:t>
      </w:r>
      <w:r>
        <w:t>排砖撂底</w:t>
      </w:r>
      <w:r>
        <w:rPr>
          <w:rFonts w:ascii="Times New Roman" w:hAnsi="Times New Roman" w:eastAsia="Times New Roman"/>
        </w:rPr>
        <w:t>→</w:t>
      </w:r>
      <w:r>
        <w:t>盘角、挂线</w:t>
      </w:r>
      <w:r>
        <w:rPr>
          <w:rFonts w:ascii="Times New Roman" w:hAnsi="Times New Roman" w:eastAsia="Times New Roman"/>
        </w:rPr>
        <w:t>→</w:t>
      </w:r>
      <w:r>
        <w:t>铺灰砌砖</w:t>
      </w:r>
      <w:r>
        <w:rPr>
          <w:rFonts w:ascii="Times New Roman" w:hAnsi="Times New Roman" w:eastAsia="Times New Roman"/>
        </w:rPr>
        <w:t>→</w:t>
      </w:r>
    </w:p>
    <w:p>
      <w:pPr>
        <w:pStyle w:val="7"/>
        <w:spacing w:before="143"/>
      </w:pPr>
      <w:r>
        <w:t>修缝、清理顺序进行。</w:t>
      </w:r>
    </w:p>
    <w:p>
      <w:pPr>
        <w:pStyle w:val="7"/>
        <w:spacing w:before="160" w:line="364" w:lineRule="auto"/>
        <w:ind w:right="581" w:firstLine="480"/>
      </w:pPr>
      <w:r>
        <w:t>装修工程按照基层处理</w:t>
      </w:r>
      <w:r>
        <w:rPr>
          <w:rFonts w:ascii="Times New Roman" w:hAnsi="Times New Roman" w:eastAsia="Times New Roman"/>
        </w:rPr>
        <w:t>→</w:t>
      </w:r>
      <w:r>
        <w:t>湿润墙面</w:t>
      </w:r>
      <w:r>
        <w:rPr>
          <w:rFonts w:ascii="Times New Roman" w:hAnsi="Times New Roman" w:eastAsia="Times New Roman"/>
        </w:rPr>
        <w:t>→</w:t>
      </w:r>
      <w:r>
        <w:t>打巴冲筋</w:t>
      </w:r>
      <w:r>
        <w:rPr>
          <w:rFonts w:ascii="Times New Roman" w:hAnsi="Times New Roman" w:eastAsia="Times New Roman"/>
        </w:rPr>
        <w:t>→</w:t>
      </w:r>
      <w:r>
        <w:t>抹底层砂浆</w:t>
      </w:r>
      <w:r>
        <w:rPr>
          <w:rFonts w:ascii="Times New Roman" w:hAnsi="Times New Roman" w:eastAsia="Times New Roman"/>
        </w:rPr>
        <w:t>→</w:t>
      </w:r>
      <w:r>
        <w:t>抹中层灰</w:t>
      </w:r>
      <w:r>
        <w:rPr>
          <w:rFonts w:ascii="Times New Roman" w:hAnsi="Times New Roman" w:eastAsia="Times New Roman"/>
        </w:rPr>
        <w:t>→</w:t>
      </w:r>
      <w:r>
        <w:t>抹面层砂浆</w:t>
      </w:r>
      <w:r>
        <w:rPr>
          <w:rFonts w:ascii="Times New Roman" w:hAnsi="Times New Roman" w:eastAsia="Times New Roman"/>
        </w:rPr>
        <w:t>→</w:t>
      </w:r>
      <w:r>
        <w:t>质量自检进行。</w:t>
      </w:r>
    </w:p>
    <w:p>
      <w:pPr>
        <w:pStyle w:val="7"/>
        <w:spacing w:before="1"/>
        <w:ind w:left="1020"/>
      </w:pPr>
      <w:r>
        <w:t>基层处理：清除墙面的灰尘、污垢、砂浆块等附着物，要撒水浸湿。</w:t>
      </w:r>
    </w:p>
    <w:p>
      <w:pPr>
        <w:pStyle w:val="7"/>
        <w:spacing w:before="161" w:line="364" w:lineRule="auto"/>
        <w:ind w:right="457" w:firstLine="480"/>
      </w:pPr>
      <w:r>
        <w:rPr>
          <w:spacing w:val="-16"/>
        </w:rPr>
        <w:t>套方、吊直、做灰饼：抹底层灰前必须先找好规矩，即四角规方，横线找平，</w:t>
      </w:r>
      <w:r>
        <w:rPr>
          <w:spacing w:val="-9"/>
        </w:rPr>
        <w:t>立线吊直，弹出基准线、踢脚线板。可先用靠尺检查墙面平整、垂直程度，并在</w:t>
      </w:r>
      <w:r>
        <w:rPr>
          <w:spacing w:val="-11"/>
        </w:rPr>
        <w:t>控制阳角方正过曲的情况下大致确定抹灰厚度后进行挂线“打巴”</w:t>
      </w:r>
      <w:r>
        <w:rPr>
          <w:spacing w:val="-32"/>
        </w:rPr>
        <w:t>（</w:t>
      </w:r>
      <w:r>
        <w:t>打巴的厚度应不包括面层）。</w:t>
      </w:r>
    </w:p>
    <w:p>
      <w:pPr>
        <w:pStyle w:val="7"/>
        <w:spacing w:before="2" w:line="364" w:lineRule="auto"/>
        <w:ind w:right="577" w:firstLine="480"/>
        <w:jc w:val="both"/>
      </w:pPr>
      <w:r>
        <w:rPr>
          <w:spacing w:val="-10"/>
        </w:rPr>
        <w:t>墙面冲筋：待砂浆灰饼结硬后，使用与抹灰层相同的砂浆，在上下砂浆墩之间做砂浆带，以上下砂浆灰饼为准用压尺推平，冲筋完成后应待其稍干后才能进</w:t>
      </w:r>
      <w:r>
        <w:t>行墙面底层抹灰作业。</w:t>
      </w:r>
    </w:p>
    <w:p>
      <w:pPr>
        <w:pStyle w:val="7"/>
        <w:spacing w:before="2" w:line="364" w:lineRule="auto"/>
        <w:ind w:right="577" w:firstLine="480"/>
        <w:jc w:val="right"/>
      </w:pPr>
      <w:r>
        <w:rPr>
          <w:spacing w:val="-10"/>
        </w:rPr>
        <w:t>做护角：根据砂浆灰饼和门框边离墙面的空隙，用方尺规方后，分别在阳角</w:t>
      </w:r>
      <w:r>
        <w:rPr>
          <w:spacing w:val="-7"/>
        </w:rPr>
        <w:t>两边吊直和固定好靠尺，抹出水泥砂浆护角，并用阳角抹子推出小圆角，最后利</w:t>
      </w:r>
      <w:r>
        <w:rPr>
          <w:spacing w:val="-6"/>
        </w:rPr>
        <w:t>用靠尺板，在阳角两边</w:t>
      </w:r>
      <w:r>
        <w:rPr>
          <w:rFonts w:ascii="Times New Roman" w:eastAsia="Times New Roman"/>
        </w:rPr>
        <w:t>50mm</w:t>
      </w:r>
      <w:r>
        <w:rPr>
          <w:spacing w:val="-9"/>
        </w:rPr>
        <w:t>以外位置，以</w:t>
      </w:r>
      <w:r>
        <w:rPr>
          <w:rFonts w:ascii="Times New Roman" w:eastAsia="Times New Roman"/>
        </w:rPr>
        <w:t>40</w:t>
      </w:r>
      <w:r>
        <w:t>度斜角将多余砂浆切除、清挣。</w:t>
      </w:r>
    </w:p>
    <w:p>
      <w:pPr>
        <w:pStyle w:val="7"/>
        <w:spacing w:before="2" w:line="364" w:lineRule="auto"/>
        <w:ind w:right="577" w:firstLine="480"/>
        <w:jc w:val="right"/>
      </w:pPr>
      <w:r>
        <w:rPr>
          <w:spacing w:val="-7"/>
        </w:rPr>
        <w:t>抹底层灰和中层灰：在墙体湿润的情况下抹底层灰。待底层灰稍干后，再抹</w:t>
      </w:r>
    </w:p>
    <w:p>
      <w:pPr>
        <w:pStyle w:val="7"/>
        <w:spacing w:before="3" w:line="364" w:lineRule="auto"/>
        <w:ind w:right="485"/>
      </w:pPr>
      <w:r>
        <w:rPr>
          <w:spacing w:val="-1"/>
        </w:rPr>
        <w:t>中层灰。然后以冲筋为准，用压尺刮平，中层灰抹完后，应全面检查其垂直度，</w:t>
      </w:r>
      <w:r>
        <w:rPr>
          <w:spacing w:val="-11"/>
        </w:rPr>
        <w:t>平整度、阴阳角是否方正、顺直，对于后做踢脚线的上口及管道背后位置等应及时清理干净。</w:t>
      </w:r>
    </w:p>
    <w:p>
      <w:pPr>
        <w:pStyle w:val="18"/>
        <w:numPr>
          <w:ilvl w:val="3"/>
          <w:numId w:val="30"/>
        </w:numPr>
        <w:tabs>
          <w:tab w:val="left" w:pos="1440"/>
        </w:tabs>
        <w:spacing w:before="11" w:after="0" w:line="240" w:lineRule="auto"/>
        <w:ind w:left="1440" w:right="0" w:hanging="900"/>
        <w:jc w:val="left"/>
        <w:rPr>
          <w:sz w:val="24"/>
        </w:rPr>
      </w:pPr>
      <w:bookmarkStart w:id="162" w:name="3.1.12.4 劳动力分配"/>
      <w:bookmarkEnd w:id="162"/>
      <w:bookmarkStart w:id="163" w:name="3.1.12.4 劳动力分配"/>
      <w:bookmarkEnd w:id="163"/>
      <w:r>
        <w:rPr>
          <w:sz w:val="24"/>
        </w:rPr>
        <w:t>劳动力分配</w:t>
      </w:r>
    </w:p>
    <w:p>
      <w:pPr>
        <w:pStyle w:val="7"/>
        <w:spacing w:before="168" w:line="364" w:lineRule="auto"/>
        <w:ind w:right="485" w:firstLine="480"/>
        <w:jc w:val="both"/>
      </w:pPr>
      <w:r>
        <w:rPr>
          <w:spacing w:val="-6"/>
        </w:rPr>
        <w:t>施工中根据工程需要配置木工</w:t>
      </w:r>
      <w:r>
        <w:t>（</w:t>
      </w:r>
      <w:r>
        <w:rPr>
          <w:spacing w:val="-8"/>
        </w:rPr>
        <w:t>模板制作安装、屋架制作安装</w:t>
      </w:r>
      <w:r>
        <w:rPr>
          <w:spacing w:val="-70"/>
        </w:rPr>
        <w:t>）</w:t>
      </w:r>
      <w:r>
        <w:rPr>
          <w:spacing w:val="-32"/>
        </w:rPr>
        <w:t>、钢筋工</w:t>
      </w:r>
      <w:r>
        <w:t>（钢筋制作、安装、绑扎等）、架工（脚手架搭设、拆除）、泥工（</w:t>
      </w:r>
      <w:r>
        <w:rPr>
          <w:spacing w:val="-3"/>
        </w:rPr>
        <w:t>砼浇筑、砌砖、</w:t>
      </w:r>
      <w:r>
        <w:t>抹灰</w:t>
      </w:r>
      <w:r>
        <w:rPr>
          <w:spacing w:val="-10"/>
        </w:rPr>
        <w:t>）</w:t>
      </w:r>
      <w:r>
        <w:rPr>
          <w:spacing w:val="-6"/>
        </w:rPr>
        <w:t>、普工</w:t>
      </w:r>
      <w:r>
        <w:t>（</w:t>
      </w:r>
      <w:r>
        <w:rPr>
          <w:spacing w:val="-7"/>
        </w:rPr>
        <w:t>挖土，材料、砼、砂浆运输，养护，淋砖等</w:t>
      </w:r>
      <w:r>
        <w:rPr>
          <w:spacing w:val="-8"/>
        </w:rPr>
        <w:t>）</w:t>
      </w:r>
      <w:r>
        <w:rPr>
          <w:spacing w:val="-5"/>
        </w:rPr>
        <w:t>、水电工</w:t>
      </w:r>
      <w:r>
        <w:rPr>
          <w:spacing w:val="-3"/>
        </w:rPr>
        <w:t>（</w:t>
      </w:r>
      <w:r>
        <w:t>临时用</w:t>
      </w:r>
      <w:r>
        <w:rPr>
          <w:spacing w:val="-6"/>
        </w:rPr>
        <w:t>水用电、管道预埋、水电安装</w:t>
      </w:r>
      <w:r>
        <w:rPr>
          <w:spacing w:val="-17"/>
        </w:rPr>
        <w:t>）</w:t>
      </w:r>
      <w:r>
        <w:rPr>
          <w:spacing w:val="-7"/>
        </w:rPr>
        <w:t>等。每个工种按数量组成班组，每个班组由一名具有协调能力、技术能力及经验丰富的工人担任组长。</w:t>
      </w:r>
    </w:p>
    <w:p>
      <w:pPr>
        <w:pStyle w:val="4"/>
        <w:numPr>
          <w:ilvl w:val="1"/>
          <w:numId w:val="31"/>
        </w:numPr>
        <w:tabs>
          <w:tab w:val="left" w:pos="1100"/>
        </w:tabs>
        <w:spacing w:before="153" w:after="0" w:line="240" w:lineRule="auto"/>
        <w:ind w:left="1099" w:right="0" w:hanging="560"/>
        <w:jc w:val="left"/>
        <w:outlineLvl w:val="1"/>
      </w:pPr>
      <w:bookmarkStart w:id="164" w:name="3.2 工程分析"/>
      <w:bookmarkEnd w:id="164"/>
      <w:bookmarkStart w:id="165" w:name="_bookmark18"/>
      <w:bookmarkEnd w:id="165"/>
      <w:bookmarkStart w:id="166" w:name="_Toc5776"/>
      <w:r>
        <w:t>工程分析</w:t>
      </w:r>
      <w:bookmarkEnd w:id="166"/>
    </w:p>
    <w:p>
      <w:pPr>
        <w:pStyle w:val="7"/>
        <w:spacing w:before="6"/>
        <w:ind w:left="0"/>
        <w:rPr>
          <w:b/>
          <w:sz w:val="28"/>
        </w:rPr>
      </w:pPr>
    </w:p>
    <w:p>
      <w:pPr>
        <w:pStyle w:val="5"/>
        <w:numPr>
          <w:ilvl w:val="2"/>
          <w:numId w:val="31"/>
        </w:numPr>
        <w:tabs>
          <w:tab w:val="left" w:pos="1241"/>
        </w:tabs>
        <w:spacing w:before="0" w:after="0" w:line="240" w:lineRule="auto"/>
        <w:ind w:left="1240" w:right="0" w:hanging="701"/>
        <w:jc w:val="left"/>
        <w:outlineLvl w:val="2"/>
      </w:pPr>
      <w:bookmarkStart w:id="167" w:name="3.2.1 施工期工程分析"/>
      <w:bookmarkEnd w:id="167"/>
      <w:bookmarkStart w:id="168" w:name="3.2.1 施工期工程分析"/>
      <w:bookmarkEnd w:id="168"/>
      <w:bookmarkStart w:id="169" w:name="_Toc30724"/>
      <w:r>
        <w:t>施工期工程分析</w:t>
      </w:r>
      <w:bookmarkEnd w:id="169"/>
    </w:p>
    <w:p>
      <w:pPr>
        <w:pStyle w:val="7"/>
        <w:spacing w:before="7"/>
        <w:ind w:left="0"/>
        <w:rPr>
          <w:b/>
          <w:sz w:val="21"/>
        </w:rPr>
      </w:pPr>
    </w:p>
    <w:p>
      <w:pPr>
        <w:pStyle w:val="7"/>
        <w:spacing w:before="143" w:line="364" w:lineRule="auto"/>
        <w:ind w:right="455" w:firstLine="448" w:firstLineChars="200"/>
        <w:jc w:val="both"/>
      </w:pPr>
      <w:r>
        <w:rPr>
          <w:spacing w:val="-8"/>
        </w:rPr>
        <w:t>本项目施工期建设主要包括羊舍、饲料库房、青储窖、堆肥厂及相关配套设</w:t>
      </w:r>
      <w:r>
        <w:rPr>
          <w:spacing w:val="-12"/>
        </w:rPr>
        <w:t>备等。施工过程分为土方阶段</w:t>
      </w:r>
      <w:r>
        <w:rPr>
          <w:spacing w:val="-3"/>
        </w:rPr>
        <w:t>（</w:t>
      </w:r>
      <w:r>
        <w:rPr>
          <w:spacing w:val="-7"/>
        </w:rPr>
        <w:t>包括场地平整、开挖土石方</w:t>
      </w:r>
      <w:r>
        <w:rPr>
          <w:spacing w:val="-58"/>
        </w:rPr>
        <w:t>）</w:t>
      </w:r>
      <w:r>
        <w:rPr>
          <w:spacing w:val="-16"/>
        </w:rPr>
        <w:t>、基础施工阶段</w:t>
      </w:r>
      <w:r>
        <w:t>（</w:t>
      </w:r>
      <w:r>
        <w:rPr>
          <w:spacing w:val="-14"/>
        </w:rPr>
        <w:t>包</w:t>
      </w:r>
      <w:r>
        <w:rPr>
          <w:spacing w:val="-6"/>
        </w:rPr>
        <w:t>括打桩，构筑基础等</w:t>
      </w:r>
      <w:r>
        <w:rPr>
          <w:spacing w:val="-36"/>
        </w:rPr>
        <w:t>）</w:t>
      </w:r>
      <w:r>
        <w:rPr>
          <w:spacing w:val="-11"/>
        </w:rPr>
        <w:t>、主体工程阶段</w:t>
      </w:r>
      <w:r>
        <w:t>（</w:t>
      </w:r>
      <w:r>
        <w:rPr>
          <w:spacing w:val="-9"/>
        </w:rPr>
        <w:t>包括钢筋、砖混结构施工、管线施工等</w:t>
      </w:r>
      <w:r>
        <w:rPr>
          <w:spacing w:val="-17"/>
        </w:rPr>
        <w:t>）</w:t>
      </w:r>
      <w:r>
        <w:t>及装修阶段、场地清理（包括回填土石方、修路、清理场地等）。</w:t>
      </w:r>
    </w:p>
    <w:p>
      <w:pPr>
        <w:pStyle w:val="7"/>
        <w:spacing w:before="1"/>
        <w:ind w:left="1020"/>
      </w:pPr>
      <w:r>
        <w:t>本项目施工期工艺流程及产污节点间图</w:t>
      </w:r>
      <w:r>
        <w:rPr>
          <w:rFonts w:ascii="Times New Roman" w:eastAsia="Times New Roman"/>
        </w:rPr>
        <w:t>3.2-1</w:t>
      </w:r>
      <w:r>
        <w:t>。</w:t>
      </w:r>
    </w:p>
    <w:p>
      <w:pPr>
        <w:pStyle w:val="7"/>
        <w:spacing w:before="5"/>
        <w:ind w:left="0"/>
        <w:rPr>
          <w:sz w:val="15"/>
        </w:rPr>
      </w:pPr>
    </w:p>
    <w:p>
      <w:pPr>
        <w:spacing w:after="0"/>
        <w:rPr>
          <w:sz w:val="15"/>
        </w:rPr>
        <w:sectPr>
          <w:footerReference r:id="rId19"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0"/>
        <w:ind w:left="0"/>
        <w:rPr>
          <w:sz w:val="29"/>
        </w:rPr>
      </w:pPr>
    </w:p>
    <w:p>
      <w:pPr>
        <w:spacing w:before="1" w:line="231" w:lineRule="exact"/>
        <w:ind w:left="0" w:right="70" w:firstLine="0"/>
        <w:jc w:val="right"/>
        <w:rPr>
          <w:sz w:val="21"/>
        </w:rPr>
      </w:pPr>
      <w:r>
        <w:rPr>
          <w:w w:val="95"/>
          <w:sz w:val="21"/>
        </w:rPr>
        <w:t>土石方</w:t>
      </w:r>
    </w:p>
    <w:p>
      <w:pPr>
        <w:tabs>
          <w:tab w:val="left" w:pos="1819"/>
        </w:tabs>
        <w:spacing w:before="0" w:line="312" w:lineRule="exact"/>
        <w:ind w:left="669" w:right="0" w:firstLine="0"/>
        <w:jc w:val="left"/>
        <w:rPr>
          <w:sz w:val="21"/>
        </w:rPr>
      </w:pPr>
      <w:r>
        <w:rPr>
          <w:position w:val="12"/>
          <w:sz w:val="21"/>
        </w:rPr>
        <w:t>场地</w:t>
      </w:r>
      <w:r>
        <w:rPr>
          <w:position w:val="12"/>
          <w:sz w:val="21"/>
        </w:rPr>
        <w:tab/>
      </w:r>
      <w:r>
        <w:rPr>
          <w:sz w:val="21"/>
        </w:rPr>
        <w:t>开挖</w:t>
      </w:r>
      <w:r>
        <w:rPr>
          <w:spacing w:val="-68"/>
          <w:sz w:val="21"/>
        </w:rPr>
        <w:t>、</w:t>
      </w:r>
      <w:r>
        <w:rPr>
          <w:spacing w:val="-19"/>
          <w:sz w:val="21"/>
        </w:rPr>
        <w:t>打</w:t>
      </w:r>
    </w:p>
    <w:p>
      <w:pPr>
        <w:tabs>
          <w:tab w:val="left" w:pos="1819"/>
        </w:tabs>
        <w:spacing w:before="41" w:line="312" w:lineRule="exact"/>
        <w:ind w:left="1994" w:right="0" w:hanging="1325"/>
        <w:jc w:val="left"/>
        <w:rPr>
          <w:sz w:val="21"/>
        </w:rPr>
      </w:pPr>
      <w:r>
        <w:rPr>
          <w:position w:val="12"/>
          <w:sz w:val="21"/>
        </w:rPr>
        <w:t>平整</w:t>
      </w:r>
      <w:r>
        <w:rPr>
          <w:position w:val="12"/>
          <w:sz w:val="21"/>
        </w:rPr>
        <w:tab/>
      </w:r>
      <w:r>
        <w:rPr>
          <w:sz w:val="21"/>
        </w:rPr>
        <w:t>桩</w:t>
      </w:r>
      <w:r>
        <w:rPr>
          <w:spacing w:val="-68"/>
          <w:sz w:val="21"/>
        </w:rPr>
        <w:t>、</w:t>
      </w:r>
      <w:r>
        <w:rPr>
          <w:sz w:val="21"/>
        </w:rPr>
        <w:t>构</w:t>
      </w:r>
      <w:r>
        <w:rPr>
          <w:spacing w:val="-19"/>
          <w:sz w:val="21"/>
        </w:rPr>
        <w:t>筑</w:t>
      </w:r>
      <w:r>
        <w:rPr>
          <w:sz w:val="21"/>
        </w:rPr>
        <w:t>基础</w:t>
      </w:r>
    </w:p>
    <w:p>
      <w:pPr>
        <w:pStyle w:val="7"/>
        <w:spacing w:before="11"/>
        <w:ind w:left="0"/>
        <w:rPr>
          <w:sz w:val="28"/>
        </w:rPr>
      </w:pPr>
      <w:r>
        <w:br w:type="column"/>
      </w:r>
    </w:p>
    <w:p>
      <w:pPr>
        <w:pStyle w:val="7"/>
        <w:bidi w:val="0"/>
        <w:rPr>
          <w:sz w:val="21"/>
        </w:rPr>
      </w:pPr>
      <w:r>
        <w:rPr>
          <w:sz w:val="21"/>
        </w:rPr>
        <w:t>主体工</w:t>
      </w:r>
      <w:r>
        <w:rPr>
          <w:spacing w:val="-5"/>
          <w:sz w:val="21"/>
        </w:rPr>
        <w:t>程钢筋、</w:t>
      </w:r>
      <w:r>
        <w:rPr>
          <w:sz w:val="21"/>
        </w:rPr>
        <w:t>砖混结构施工</w:t>
      </w:r>
    </w:p>
    <w:p>
      <w:pPr>
        <w:pStyle w:val="7"/>
        <w:ind w:left="0"/>
        <w:rPr>
          <w:sz w:val="20"/>
        </w:rPr>
      </w:pPr>
      <w:r>
        <w:br w:type="column"/>
      </w:r>
    </w:p>
    <w:p>
      <w:pPr>
        <w:pStyle w:val="7"/>
        <w:spacing w:before="2"/>
        <w:ind w:left="0"/>
        <w:rPr>
          <w:sz w:val="25"/>
        </w:rPr>
      </w:pPr>
    </w:p>
    <w:p>
      <w:pPr>
        <w:spacing w:before="0" w:line="278" w:lineRule="auto"/>
        <w:ind w:left="562" w:right="38" w:firstLine="0"/>
        <w:jc w:val="left"/>
        <w:rPr>
          <w:sz w:val="21"/>
        </w:rPr>
      </w:pPr>
      <w:r>
        <w:rPr>
          <w:sz w:val="21"/>
        </w:rPr>
        <w:t>配套设施建设</w:t>
      </w:r>
    </w:p>
    <w:p>
      <w:pPr>
        <w:pStyle w:val="7"/>
        <w:ind w:left="0"/>
        <w:rPr>
          <w:sz w:val="20"/>
        </w:rPr>
      </w:pPr>
      <w:r>
        <w:br w:type="column"/>
      </w:r>
    </w:p>
    <w:p>
      <w:pPr>
        <w:pStyle w:val="7"/>
        <w:spacing w:before="8"/>
        <w:ind w:left="0"/>
        <w:rPr>
          <w:sz w:val="21"/>
        </w:rPr>
      </w:pPr>
    </w:p>
    <w:p>
      <w:pPr>
        <w:spacing w:before="0" w:line="278" w:lineRule="auto"/>
        <w:ind w:left="775" w:right="38" w:hanging="106"/>
        <w:jc w:val="left"/>
        <w:rPr>
          <w:sz w:val="21"/>
        </w:rPr>
      </w:pPr>
      <w:r>
        <w:rPr>
          <w:sz w:val="21"/>
        </w:rPr>
        <w:t>土石方回填</w:t>
      </w:r>
    </w:p>
    <w:p>
      <w:pPr>
        <w:spacing w:before="70"/>
        <w:ind w:left="669" w:right="0" w:firstLine="0"/>
        <w:jc w:val="left"/>
        <w:rPr>
          <w:sz w:val="21"/>
        </w:rPr>
      </w:pPr>
      <w:r>
        <w:br w:type="column"/>
      </w:r>
      <w:r>
        <w:rPr>
          <w:sz w:val="21"/>
        </w:rPr>
        <w:t>装修</w:t>
      </w:r>
    </w:p>
    <w:p>
      <w:pPr>
        <w:spacing w:before="125" w:line="278" w:lineRule="auto"/>
        <w:ind w:left="1166" w:right="102" w:firstLine="0"/>
        <w:jc w:val="left"/>
        <w:rPr>
          <w:sz w:val="21"/>
        </w:rPr>
      </w:pPr>
      <w:r>
        <w:drawing>
          <wp:anchor distT="0" distB="0" distL="0" distR="0" simplePos="0" relativeHeight="232311808" behindDoc="1" locked="0" layoutInCell="1" allowOverlap="1">
            <wp:simplePos x="0" y="0"/>
            <wp:positionH relativeFrom="page">
              <wp:posOffset>1080135</wp:posOffset>
            </wp:positionH>
            <wp:positionV relativeFrom="paragraph">
              <wp:posOffset>-242570</wp:posOffset>
            </wp:positionV>
            <wp:extent cx="5431790" cy="1443990"/>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png"/>
                    <pic:cNvPicPr>
                      <a:picLocks noChangeAspect="1"/>
                    </pic:cNvPicPr>
                  </pic:nvPicPr>
                  <pic:blipFill>
                    <a:blip r:embed="rId43" cstate="print"/>
                    <a:stretch>
                      <a:fillRect/>
                    </a:stretch>
                  </pic:blipFill>
                  <pic:spPr>
                    <a:xfrm>
                      <a:off x="0" y="0"/>
                      <a:ext cx="5431789" cy="1444091"/>
                    </a:xfrm>
                    <a:prstGeom prst="rect">
                      <a:avLst/>
                    </a:prstGeom>
                  </pic:spPr>
                </pic:pic>
              </a:graphicData>
            </a:graphic>
          </wp:anchor>
        </w:drawing>
      </w:r>
      <w:r>
        <w:rPr>
          <w:sz w:val="21"/>
        </w:rPr>
        <w:t>噪声、固废、废气</w:t>
      </w:r>
    </w:p>
    <w:p>
      <w:pPr>
        <w:spacing w:after="0" w:line="278" w:lineRule="auto"/>
        <w:jc w:val="left"/>
        <w:rPr>
          <w:sz w:val="21"/>
        </w:rP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cols w:equalWidth="0" w:num="5">
            <w:col w:w="2590" w:space="40"/>
            <w:col w:w="1477" w:space="39"/>
            <w:col w:w="1232" w:space="42"/>
            <w:col w:w="1339" w:space="558"/>
            <w:col w:w="2113"/>
          </w:cols>
        </w:sectPr>
      </w:pPr>
    </w:p>
    <w:p>
      <w:pPr>
        <w:spacing w:before="0" w:line="224" w:lineRule="exact"/>
        <w:ind w:left="115" w:right="0" w:firstLine="0"/>
        <w:jc w:val="left"/>
        <w:rPr>
          <w:sz w:val="21"/>
        </w:rPr>
      </w:pPr>
      <w:r>
        <w:rPr>
          <w:spacing w:val="-20"/>
          <w:w w:val="95"/>
          <w:sz w:val="21"/>
        </w:rPr>
        <w:t>扬尘、噪</w:t>
      </w:r>
    </w:p>
    <w:p>
      <w:pPr>
        <w:spacing w:before="43" w:line="232" w:lineRule="exact"/>
        <w:ind w:left="115" w:right="0" w:firstLine="0"/>
        <w:jc w:val="left"/>
        <w:rPr>
          <w:sz w:val="21"/>
        </w:rPr>
      </w:pPr>
      <w:r>
        <w:rPr>
          <w:spacing w:val="-21"/>
          <w:w w:val="95"/>
          <w:sz w:val="21"/>
        </w:rPr>
        <w:t>声、燃油</w:t>
      </w:r>
    </w:p>
    <w:p>
      <w:pPr>
        <w:tabs>
          <w:tab w:val="left" w:pos="1324"/>
        </w:tabs>
        <w:spacing w:before="0" w:line="187" w:lineRule="auto"/>
        <w:ind w:left="285" w:right="0" w:firstLine="0"/>
        <w:jc w:val="left"/>
        <w:rPr>
          <w:sz w:val="21"/>
        </w:rPr>
      </w:pPr>
      <w:r>
        <w:rPr>
          <w:position w:val="-11"/>
          <w:sz w:val="21"/>
        </w:rPr>
        <w:t>废气</w:t>
      </w:r>
      <w:r>
        <w:rPr>
          <w:position w:val="-11"/>
          <w:sz w:val="21"/>
        </w:rPr>
        <w:tab/>
      </w:r>
      <w:r>
        <w:rPr>
          <w:sz w:val="21"/>
        </w:rPr>
        <w:t>扬尘、噪</w:t>
      </w:r>
    </w:p>
    <w:p>
      <w:pPr>
        <w:spacing w:before="0" w:line="231" w:lineRule="exact"/>
        <w:ind w:left="1288" w:right="0" w:firstLine="0"/>
        <w:jc w:val="left"/>
        <w:rPr>
          <w:sz w:val="21"/>
        </w:rPr>
      </w:pPr>
      <w:r>
        <w:rPr>
          <w:sz w:val="21"/>
        </w:rPr>
        <w:t>声、固废、</w:t>
      </w:r>
    </w:p>
    <w:p>
      <w:pPr>
        <w:spacing w:before="25"/>
        <w:ind w:left="1324" w:right="0" w:firstLine="0"/>
        <w:jc w:val="left"/>
        <w:rPr>
          <w:sz w:val="21"/>
        </w:rPr>
      </w:pPr>
      <w:r>
        <w:rPr>
          <w:sz w:val="21"/>
        </w:rPr>
        <w:t>燃油废气</w:t>
      </w:r>
    </w:p>
    <w:p>
      <w:pPr>
        <w:pStyle w:val="7"/>
        <w:ind w:left="0"/>
        <w:rPr>
          <w:sz w:val="20"/>
        </w:rPr>
      </w:pPr>
      <w:r>
        <w:br w:type="column"/>
      </w:r>
    </w:p>
    <w:p>
      <w:pPr>
        <w:pStyle w:val="7"/>
        <w:spacing w:before="9"/>
        <w:ind w:left="0"/>
        <w:rPr>
          <w:sz w:val="28"/>
        </w:rPr>
      </w:pPr>
    </w:p>
    <w:p>
      <w:pPr>
        <w:pStyle w:val="7"/>
        <w:bidi w:val="0"/>
        <w:rPr>
          <w:sz w:val="21"/>
        </w:rPr>
      </w:pPr>
      <w:r>
        <w:rPr>
          <w:sz w:val="21"/>
        </w:rPr>
        <w:t>扬尘、噪</w:t>
      </w:r>
      <w:r>
        <w:rPr>
          <w:spacing w:val="-4"/>
          <w:sz w:val="21"/>
        </w:rPr>
        <w:t>声、固废、</w:t>
      </w:r>
      <w:r>
        <w:rPr>
          <w:sz w:val="21"/>
        </w:rPr>
        <w:t>燃油废气</w:t>
      </w:r>
    </w:p>
    <w:p>
      <w:pPr>
        <w:pStyle w:val="7"/>
        <w:ind w:left="0"/>
        <w:rPr>
          <w:sz w:val="20"/>
        </w:rPr>
      </w:pPr>
      <w:r>
        <w:br w:type="column"/>
      </w:r>
    </w:p>
    <w:p>
      <w:pPr>
        <w:pStyle w:val="7"/>
        <w:spacing w:before="6"/>
        <w:ind w:left="0"/>
        <w:rPr>
          <w:sz w:val="17"/>
        </w:rPr>
      </w:pPr>
    </w:p>
    <w:p>
      <w:pPr>
        <w:pStyle w:val="7"/>
        <w:bidi w:val="0"/>
        <w:rPr>
          <w:sz w:val="21"/>
        </w:rPr>
      </w:pPr>
      <w:r>
        <w:rPr>
          <w:sz w:val="21"/>
        </w:rPr>
        <w:t>扬尘、噪</w:t>
      </w:r>
      <w:r>
        <w:rPr>
          <w:spacing w:val="-4"/>
          <w:sz w:val="21"/>
        </w:rPr>
        <w:t>声、固废、</w:t>
      </w:r>
      <w:r>
        <w:rPr>
          <w:sz w:val="21"/>
        </w:rPr>
        <w:t>燃油废气</w:t>
      </w:r>
    </w:p>
    <w:p>
      <w:pPr>
        <w:pStyle w:val="7"/>
        <w:ind w:left="0"/>
        <w:rPr>
          <w:sz w:val="20"/>
        </w:rPr>
      </w:pPr>
      <w:r>
        <w:br w:type="column"/>
      </w:r>
    </w:p>
    <w:p>
      <w:pPr>
        <w:pStyle w:val="7"/>
        <w:spacing w:before="6"/>
        <w:ind w:left="0"/>
        <w:rPr>
          <w:sz w:val="17"/>
        </w:rPr>
      </w:pPr>
    </w:p>
    <w:p>
      <w:pPr>
        <w:pStyle w:val="7"/>
        <w:bidi w:val="0"/>
        <w:rPr>
          <w:sz w:val="21"/>
        </w:rPr>
      </w:pPr>
      <w:r>
        <w:rPr>
          <w:sz w:val="21"/>
        </w:rPr>
        <w:t>扬尘、噪</w:t>
      </w:r>
      <w:r>
        <w:rPr>
          <w:spacing w:val="-4"/>
          <w:sz w:val="21"/>
        </w:rPr>
        <w:t>声、固废、</w:t>
      </w:r>
      <w:r>
        <w:rPr>
          <w:sz w:val="21"/>
        </w:rPr>
        <w:t>燃油废气</w:t>
      </w:r>
    </w:p>
    <w:p>
      <w:pPr>
        <w:spacing w:before="0" w:line="236" w:lineRule="exact"/>
        <w:ind w:left="115" w:right="0" w:firstLine="0"/>
        <w:jc w:val="left"/>
        <w:rPr>
          <w:sz w:val="21"/>
        </w:rPr>
      </w:pPr>
      <w:r>
        <w:br w:type="column"/>
      </w:r>
      <w:r>
        <w:rPr>
          <w:sz w:val="21"/>
        </w:rPr>
        <w:t>公共绿化</w:t>
      </w:r>
    </w:p>
    <w:p>
      <w:pPr>
        <w:spacing w:after="0" w:line="236" w:lineRule="exact"/>
        <w:jc w:val="left"/>
        <w:rPr>
          <w:sz w:val="21"/>
        </w:rPr>
        <w:sectPr>
          <w:type w:val="continuous"/>
          <w:pgSz w:w="11910" w:h="16840"/>
          <w:pgMar w:top="1360" w:right="1220" w:bottom="280" w:left="1260" w:header="720" w:footer="720" w:gutter="0"/>
          <w:pgBorders>
            <w:top w:val="none" w:sz="0" w:space="0"/>
            <w:left w:val="none" w:sz="0" w:space="0"/>
            <w:bottom w:val="none" w:sz="0" w:space="0"/>
            <w:right w:val="none" w:sz="0" w:space="0"/>
          </w:pgBorders>
          <w:pgNumType w:fmt="decimal"/>
          <w:cols w:equalWidth="0" w:num="5">
            <w:col w:w="2347" w:space="245"/>
            <w:col w:w="1205" w:space="600"/>
            <w:col w:w="1205" w:space="250"/>
            <w:col w:w="1205" w:space="808"/>
            <w:col w:w="1565"/>
          </w:cols>
        </w:sectPr>
      </w:pPr>
    </w:p>
    <w:p>
      <w:pPr>
        <w:pStyle w:val="7"/>
        <w:bidi w:val="0"/>
        <w:jc w:val="center"/>
      </w:pPr>
      <w:r>
        <w:t>图</w:t>
      </w:r>
      <w:r>
        <w:rPr>
          <w:rFonts w:ascii="Times New Roman" w:eastAsia="Times New Roman"/>
        </w:rPr>
        <w:t>3.2-1</w:t>
      </w:r>
      <w:r>
        <w:rPr>
          <w:rFonts w:ascii="Times New Roman" w:eastAsia="Times New Roman"/>
        </w:rPr>
        <w:tab/>
      </w:r>
      <w:r>
        <w:t>施工期工艺流程及产污节点图</w:t>
      </w:r>
    </w:p>
    <w:p>
      <w:pPr>
        <w:pStyle w:val="7"/>
        <w:spacing w:before="5"/>
        <w:ind w:left="0"/>
        <w:rPr>
          <w:b/>
          <w:sz w:val="21"/>
        </w:rPr>
      </w:pPr>
    </w:p>
    <w:p>
      <w:pPr>
        <w:pStyle w:val="18"/>
        <w:numPr>
          <w:ilvl w:val="2"/>
          <w:numId w:val="31"/>
        </w:numPr>
        <w:tabs>
          <w:tab w:val="left" w:pos="1241"/>
        </w:tabs>
        <w:spacing w:before="0" w:after="0" w:line="240" w:lineRule="auto"/>
        <w:ind w:left="1240" w:right="0" w:hanging="701"/>
        <w:jc w:val="left"/>
        <w:outlineLvl w:val="2"/>
        <w:rPr>
          <w:b/>
          <w:sz w:val="28"/>
        </w:rPr>
      </w:pPr>
      <w:bookmarkStart w:id="170" w:name="3.2.2 施工期污染源分析"/>
      <w:bookmarkEnd w:id="170"/>
      <w:bookmarkStart w:id="171" w:name="3.2.2 施工期污染源分析"/>
      <w:bookmarkEnd w:id="171"/>
      <w:bookmarkStart w:id="172" w:name="_Toc7341"/>
      <w:r>
        <w:rPr>
          <w:b/>
          <w:sz w:val="28"/>
        </w:rPr>
        <w:t>施工期污染源分析</w:t>
      </w:r>
      <w:bookmarkEnd w:id="172"/>
    </w:p>
    <w:p>
      <w:pPr>
        <w:pStyle w:val="7"/>
        <w:spacing w:before="1"/>
        <w:ind w:left="0"/>
        <w:rPr>
          <w:b/>
          <w:sz w:val="22"/>
        </w:rPr>
      </w:pPr>
    </w:p>
    <w:p>
      <w:pPr>
        <w:pStyle w:val="18"/>
        <w:numPr>
          <w:ilvl w:val="3"/>
          <w:numId w:val="31"/>
        </w:numPr>
        <w:tabs>
          <w:tab w:val="left" w:pos="1320"/>
        </w:tabs>
        <w:spacing w:before="1" w:after="0" w:line="240" w:lineRule="auto"/>
        <w:ind w:left="1320" w:right="0" w:hanging="780"/>
        <w:jc w:val="left"/>
        <w:rPr>
          <w:sz w:val="24"/>
        </w:rPr>
      </w:pPr>
      <w:bookmarkStart w:id="173" w:name="3.2.2.1 大气污染物"/>
      <w:bookmarkEnd w:id="173"/>
      <w:bookmarkStart w:id="174" w:name="3.2.2.1 大气污染物"/>
      <w:bookmarkEnd w:id="174"/>
      <w:r>
        <w:rPr>
          <w:sz w:val="24"/>
        </w:rPr>
        <w:t>大气污染物</w:t>
      </w:r>
    </w:p>
    <w:p>
      <w:pPr>
        <w:pStyle w:val="7"/>
        <w:spacing w:before="167" w:line="364" w:lineRule="auto"/>
        <w:ind w:right="577" w:firstLine="480"/>
      </w:pPr>
      <w:r>
        <w:rPr>
          <w:spacing w:val="-5"/>
        </w:rPr>
        <w:t>施工期间影响环境空气质量的主要污染物是施工扬尘、运送施工材料、设施</w:t>
      </w:r>
      <w:r>
        <w:t>的车辆，施工机械运行时排产生的废气。</w:t>
      </w:r>
    </w:p>
    <w:p>
      <w:pPr>
        <w:pStyle w:val="18"/>
        <w:numPr>
          <w:ilvl w:val="4"/>
          <w:numId w:val="31"/>
        </w:numPr>
        <w:tabs>
          <w:tab w:val="left" w:pos="1621"/>
        </w:tabs>
        <w:spacing w:before="1" w:after="0" w:line="240" w:lineRule="auto"/>
        <w:ind w:left="1621" w:right="0" w:hanging="601"/>
        <w:jc w:val="left"/>
        <w:rPr>
          <w:sz w:val="24"/>
        </w:rPr>
      </w:pPr>
      <w:r>
        <w:rPr>
          <w:sz w:val="24"/>
        </w:rPr>
        <w:t>施工扬尘</w:t>
      </w:r>
    </w:p>
    <w:p>
      <w:pPr>
        <w:pStyle w:val="7"/>
        <w:spacing w:before="161" w:line="364" w:lineRule="auto"/>
        <w:ind w:right="365" w:firstLine="480"/>
        <w:jc w:val="both"/>
      </w:pPr>
      <w:r>
        <w:rPr>
          <w:spacing w:val="-9"/>
        </w:rPr>
        <w:t>主体工程、辅助工程、公用工程基础施工、环保工程等的土建挖取土</w:t>
      </w:r>
      <w:r>
        <w:t>（石</w:t>
      </w:r>
      <w:r>
        <w:rPr>
          <w:spacing w:val="-24"/>
        </w:rPr>
        <w:t>）</w:t>
      </w:r>
      <w:r>
        <w:rPr>
          <w:spacing w:val="-19"/>
        </w:rPr>
        <w:t>、</w:t>
      </w:r>
      <w:r>
        <w:rPr>
          <w:spacing w:val="-10"/>
        </w:rPr>
        <w:t>推土、场地平整、施工沙石材料等的装卸、运输过程中有扬尘产生，另外土石方</w:t>
      </w:r>
      <w:r>
        <w:rPr>
          <w:spacing w:val="-14"/>
        </w:rPr>
        <w:t>的临时堆放过程中也将有扬尘产生。扬尘产生的大小与施工管理、气象</w:t>
      </w:r>
      <w:r>
        <w:rPr>
          <w:spacing w:val="-3"/>
        </w:rPr>
        <w:t>（</w:t>
      </w:r>
      <w:r>
        <w:t>特别是风速）条件等密切相关，也与扬尘本身沉降速度有关。</w:t>
      </w:r>
    </w:p>
    <w:p>
      <w:pPr>
        <w:pStyle w:val="7"/>
        <w:spacing w:before="2"/>
        <w:ind w:left="1020"/>
      </w:pPr>
      <w:r>
        <w:t>①土石方施工及堆放扬尘</w:t>
      </w:r>
    </w:p>
    <w:p>
      <w:pPr>
        <w:pStyle w:val="7"/>
        <w:spacing w:before="161" w:line="364" w:lineRule="auto"/>
        <w:ind w:right="485" w:firstLine="480"/>
        <w:jc w:val="both"/>
      </w:pPr>
      <w:r>
        <w:rPr>
          <w:spacing w:val="-4"/>
        </w:rPr>
        <w:t>项目施工期间静态起尘主要是土石方施工及堆放过程中土方开挖、回填过程</w:t>
      </w:r>
      <w:r>
        <w:rPr>
          <w:spacing w:val="-5"/>
        </w:rPr>
        <w:t>中产生的扬尘以及临时土石方、建筑垃圾等堆放过程中因风力作用引起的扬尘，</w:t>
      </w:r>
      <w:r>
        <w:rPr>
          <w:spacing w:val="-9"/>
        </w:rPr>
        <w:t>另外，在施工时地表清理、施工后临时土石方、弃方清理后将造成地表裸露，在</w:t>
      </w:r>
      <w:r>
        <w:rPr>
          <w:spacing w:val="-13"/>
        </w:rPr>
        <w:t>风力作用下，亦可产生扬尘。由前述可知，此类扬尘产生量与气象风速、扬尘沉</w:t>
      </w:r>
      <w:r>
        <w:rPr>
          <w:spacing w:val="-16"/>
        </w:rPr>
        <w:t>降速度有关，不同粒径扬尘的沉降速度见表</w:t>
      </w:r>
      <w:r>
        <w:rPr>
          <w:rFonts w:ascii="Times New Roman" w:eastAsia="Times New Roman"/>
        </w:rPr>
        <w:t>3.2-1</w:t>
      </w:r>
      <w:r>
        <w:t>。</w:t>
      </w:r>
    </w:p>
    <w:p>
      <w:pPr>
        <w:pStyle w:val="7"/>
        <w:bidi w:val="0"/>
        <w:jc w:val="center"/>
      </w:pPr>
      <w:r>
        <w:t>表</w:t>
      </w:r>
      <w:r>
        <w:rPr>
          <w:rFonts w:ascii="Times New Roman" w:eastAsia="Times New Roman"/>
        </w:rPr>
        <w:t>3.2-1</w:t>
      </w:r>
      <w:r>
        <w:rPr>
          <w:rFonts w:ascii="Times New Roman" w:eastAsia="Times New Roman"/>
        </w:rPr>
        <w:tab/>
      </w:r>
      <w:r>
        <w:t>不同粒径扬尘沉降速度一览表</w:t>
      </w:r>
    </w:p>
    <w:tbl>
      <w:tblPr>
        <w:tblStyle w:val="15"/>
        <w:tblW w:w="0" w:type="auto"/>
        <w:tblInd w:w="5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9"/>
        <w:gridCol w:w="859"/>
        <w:gridCol w:w="914"/>
        <w:gridCol w:w="900"/>
        <w:gridCol w:w="941"/>
        <w:gridCol w:w="873"/>
        <w:gridCol w:w="886"/>
        <w:gridCol w:w="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9" w:type="dxa"/>
          </w:tcPr>
          <w:p>
            <w:pPr>
              <w:pStyle w:val="19"/>
              <w:spacing w:before="35"/>
              <w:ind w:left="316" w:right="303"/>
              <w:rPr>
                <w:b/>
                <w:sz w:val="21"/>
              </w:rPr>
            </w:pPr>
            <w:r>
              <w:rPr>
                <w:b/>
                <w:sz w:val="21"/>
              </w:rPr>
              <w:t>粉尘粒径（</w:t>
            </w:r>
            <w:r>
              <w:rPr>
                <w:rFonts w:ascii="Times New Roman" w:hAnsi="Times New Roman" w:eastAsia="Times New Roman"/>
                <w:b/>
                <w:sz w:val="21"/>
              </w:rPr>
              <w:t>μm</w:t>
            </w:r>
            <w:r>
              <w:rPr>
                <w:b/>
                <w:sz w:val="21"/>
              </w:rPr>
              <w:t>）</w:t>
            </w:r>
          </w:p>
        </w:tc>
        <w:tc>
          <w:tcPr>
            <w:tcW w:w="859" w:type="dxa"/>
          </w:tcPr>
          <w:p>
            <w:pPr>
              <w:pStyle w:val="19"/>
              <w:spacing w:before="48"/>
              <w:ind w:left="171" w:right="162"/>
              <w:rPr>
                <w:rFonts w:ascii="Times New Roman"/>
                <w:sz w:val="21"/>
              </w:rPr>
            </w:pPr>
            <w:r>
              <w:rPr>
                <w:rFonts w:ascii="Times New Roman"/>
                <w:sz w:val="21"/>
              </w:rPr>
              <w:t>10</w:t>
            </w:r>
          </w:p>
        </w:tc>
        <w:tc>
          <w:tcPr>
            <w:tcW w:w="914" w:type="dxa"/>
          </w:tcPr>
          <w:p>
            <w:pPr>
              <w:pStyle w:val="19"/>
              <w:spacing w:before="48"/>
              <w:ind w:left="198" w:right="190"/>
              <w:rPr>
                <w:rFonts w:ascii="Times New Roman"/>
                <w:sz w:val="21"/>
              </w:rPr>
            </w:pPr>
            <w:r>
              <w:rPr>
                <w:rFonts w:ascii="Times New Roman"/>
                <w:sz w:val="21"/>
              </w:rPr>
              <w:t>20</w:t>
            </w:r>
          </w:p>
        </w:tc>
        <w:tc>
          <w:tcPr>
            <w:tcW w:w="900" w:type="dxa"/>
          </w:tcPr>
          <w:p>
            <w:pPr>
              <w:pStyle w:val="19"/>
              <w:spacing w:before="48"/>
              <w:ind w:left="111" w:right="103"/>
              <w:rPr>
                <w:rFonts w:ascii="Times New Roman"/>
                <w:sz w:val="21"/>
              </w:rPr>
            </w:pPr>
            <w:r>
              <w:rPr>
                <w:rFonts w:ascii="Times New Roman"/>
                <w:sz w:val="21"/>
              </w:rPr>
              <w:t>30</w:t>
            </w:r>
          </w:p>
        </w:tc>
        <w:tc>
          <w:tcPr>
            <w:tcW w:w="941" w:type="dxa"/>
          </w:tcPr>
          <w:p>
            <w:pPr>
              <w:pStyle w:val="19"/>
              <w:spacing w:before="48"/>
              <w:ind w:left="90" w:right="80"/>
              <w:rPr>
                <w:rFonts w:ascii="Times New Roman"/>
                <w:sz w:val="21"/>
              </w:rPr>
            </w:pPr>
            <w:r>
              <w:rPr>
                <w:rFonts w:ascii="Times New Roman"/>
                <w:sz w:val="21"/>
              </w:rPr>
              <w:t>40</w:t>
            </w:r>
          </w:p>
        </w:tc>
        <w:tc>
          <w:tcPr>
            <w:tcW w:w="873" w:type="dxa"/>
          </w:tcPr>
          <w:p>
            <w:pPr>
              <w:pStyle w:val="19"/>
              <w:spacing w:before="48"/>
              <w:ind w:left="72" w:right="66"/>
              <w:rPr>
                <w:rFonts w:ascii="Times New Roman"/>
                <w:sz w:val="21"/>
              </w:rPr>
            </w:pPr>
            <w:r>
              <w:rPr>
                <w:rFonts w:ascii="Times New Roman"/>
                <w:sz w:val="21"/>
              </w:rPr>
              <w:t>50</w:t>
            </w:r>
          </w:p>
        </w:tc>
        <w:tc>
          <w:tcPr>
            <w:tcW w:w="886" w:type="dxa"/>
          </w:tcPr>
          <w:p>
            <w:pPr>
              <w:pStyle w:val="19"/>
              <w:spacing w:before="48"/>
              <w:ind w:left="184" w:right="176"/>
              <w:rPr>
                <w:rFonts w:ascii="Times New Roman"/>
                <w:sz w:val="21"/>
              </w:rPr>
            </w:pPr>
            <w:r>
              <w:rPr>
                <w:rFonts w:ascii="Times New Roman"/>
                <w:sz w:val="21"/>
              </w:rPr>
              <w:t>60</w:t>
            </w:r>
          </w:p>
        </w:tc>
        <w:tc>
          <w:tcPr>
            <w:tcW w:w="724" w:type="dxa"/>
          </w:tcPr>
          <w:p>
            <w:pPr>
              <w:pStyle w:val="19"/>
              <w:spacing w:before="48"/>
              <w:ind w:left="106" w:right="95"/>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249" w:type="dxa"/>
          </w:tcPr>
          <w:p>
            <w:pPr>
              <w:pStyle w:val="19"/>
              <w:spacing w:before="35"/>
              <w:ind w:left="316" w:right="303"/>
              <w:rPr>
                <w:b/>
                <w:sz w:val="21"/>
              </w:rPr>
            </w:pPr>
            <w:r>
              <w:rPr>
                <w:b/>
                <w:sz w:val="21"/>
              </w:rPr>
              <w:t>沉降速度（</w:t>
            </w:r>
            <w:r>
              <w:rPr>
                <w:rFonts w:ascii="Times New Roman" w:eastAsia="Times New Roman"/>
                <w:b/>
                <w:sz w:val="21"/>
              </w:rPr>
              <w:t>m/s</w:t>
            </w:r>
            <w:r>
              <w:rPr>
                <w:b/>
                <w:sz w:val="21"/>
              </w:rPr>
              <w:t>）</w:t>
            </w:r>
          </w:p>
        </w:tc>
        <w:tc>
          <w:tcPr>
            <w:tcW w:w="859" w:type="dxa"/>
          </w:tcPr>
          <w:p>
            <w:pPr>
              <w:pStyle w:val="19"/>
              <w:spacing w:before="49"/>
              <w:ind w:left="171" w:right="162"/>
              <w:rPr>
                <w:rFonts w:ascii="Times New Roman"/>
                <w:sz w:val="21"/>
              </w:rPr>
            </w:pPr>
            <w:r>
              <w:rPr>
                <w:rFonts w:ascii="Times New Roman"/>
                <w:sz w:val="21"/>
              </w:rPr>
              <w:t>0.003</w:t>
            </w:r>
          </w:p>
        </w:tc>
        <w:tc>
          <w:tcPr>
            <w:tcW w:w="914" w:type="dxa"/>
          </w:tcPr>
          <w:p>
            <w:pPr>
              <w:pStyle w:val="19"/>
              <w:spacing w:before="49"/>
              <w:ind w:left="200" w:right="190"/>
              <w:rPr>
                <w:rFonts w:ascii="Times New Roman"/>
                <w:sz w:val="21"/>
              </w:rPr>
            </w:pPr>
            <w:r>
              <w:rPr>
                <w:rFonts w:ascii="Times New Roman"/>
                <w:sz w:val="21"/>
              </w:rPr>
              <w:t>0.012</w:t>
            </w:r>
          </w:p>
        </w:tc>
        <w:tc>
          <w:tcPr>
            <w:tcW w:w="900" w:type="dxa"/>
          </w:tcPr>
          <w:p>
            <w:pPr>
              <w:pStyle w:val="19"/>
              <w:spacing w:before="49"/>
              <w:ind w:left="113" w:right="103"/>
              <w:rPr>
                <w:rFonts w:ascii="Times New Roman"/>
                <w:sz w:val="21"/>
              </w:rPr>
            </w:pPr>
            <w:r>
              <w:rPr>
                <w:rFonts w:ascii="Times New Roman"/>
                <w:sz w:val="21"/>
              </w:rPr>
              <w:t>0.027</w:t>
            </w:r>
          </w:p>
        </w:tc>
        <w:tc>
          <w:tcPr>
            <w:tcW w:w="941" w:type="dxa"/>
          </w:tcPr>
          <w:p>
            <w:pPr>
              <w:pStyle w:val="19"/>
              <w:spacing w:before="49"/>
              <w:ind w:left="90" w:right="80"/>
              <w:rPr>
                <w:rFonts w:ascii="Times New Roman"/>
                <w:sz w:val="21"/>
              </w:rPr>
            </w:pPr>
            <w:r>
              <w:rPr>
                <w:rFonts w:ascii="Times New Roman"/>
                <w:sz w:val="21"/>
              </w:rPr>
              <w:t>0.048</w:t>
            </w:r>
          </w:p>
        </w:tc>
        <w:tc>
          <w:tcPr>
            <w:tcW w:w="873" w:type="dxa"/>
          </w:tcPr>
          <w:p>
            <w:pPr>
              <w:pStyle w:val="19"/>
              <w:spacing w:before="49"/>
              <w:ind w:left="73" w:right="62"/>
              <w:rPr>
                <w:rFonts w:ascii="Times New Roman"/>
                <w:sz w:val="21"/>
              </w:rPr>
            </w:pPr>
            <w:r>
              <w:rPr>
                <w:rFonts w:ascii="Times New Roman"/>
                <w:sz w:val="21"/>
              </w:rPr>
              <w:t>0.075</w:t>
            </w:r>
          </w:p>
        </w:tc>
        <w:tc>
          <w:tcPr>
            <w:tcW w:w="886" w:type="dxa"/>
          </w:tcPr>
          <w:p>
            <w:pPr>
              <w:pStyle w:val="19"/>
              <w:spacing w:before="49"/>
              <w:ind w:left="187" w:right="176"/>
              <w:rPr>
                <w:rFonts w:ascii="Times New Roman"/>
                <w:sz w:val="21"/>
              </w:rPr>
            </w:pPr>
            <w:r>
              <w:rPr>
                <w:rFonts w:ascii="Times New Roman"/>
                <w:sz w:val="21"/>
              </w:rPr>
              <w:t>0.108</w:t>
            </w:r>
          </w:p>
        </w:tc>
        <w:tc>
          <w:tcPr>
            <w:tcW w:w="724" w:type="dxa"/>
          </w:tcPr>
          <w:p>
            <w:pPr>
              <w:pStyle w:val="19"/>
              <w:spacing w:before="49"/>
              <w:ind w:left="106" w:right="95"/>
              <w:rPr>
                <w:rFonts w:ascii="Times New Roman"/>
                <w:sz w:val="21"/>
              </w:rPr>
            </w:pPr>
            <w:r>
              <w:rPr>
                <w:rFonts w:ascii="Times New Roman"/>
                <w:sz w:val="21"/>
              </w:rPr>
              <w:t>0.147</w:t>
            </w:r>
          </w:p>
        </w:tc>
      </w:tr>
    </w:tbl>
    <w:p>
      <w:pPr>
        <w:pStyle w:val="7"/>
        <w:spacing w:before="11"/>
        <w:ind w:left="0"/>
        <w:rPr>
          <w:b/>
          <w:sz w:val="4"/>
        </w:rPr>
      </w:pPr>
    </w:p>
    <w:tbl>
      <w:tblPr>
        <w:tblStyle w:val="15"/>
        <w:tblW w:w="0" w:type="auto"/>
        <w:tblInd w:w="5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9"/>
        <w:gridCol w:w="859"/>
        <w:gridCol w:w="914"/>
        <w:gridCol w:w="900"/>
        <w:gridCol w:w="941"/>
        <w:gridCol w:w="873"/>
        <w:gridCol w:w="886"/>
        <w:gridCol w:w="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9" w:type="dxa"/>
          </w:tcPr>
          <w:p>
            <w:pPr>
              <w:pStyle w:val="19"/>
              <w:spacing w:before="35"/>
              <w:ind w:left="316" w:right="303"/>
              <w:rPr>
                <w:b/>
                <w:sz w:val="21"/>
              </w:rPr>
            </w:pPr>
            <w:r>
              <w:rPr>
                <w:b/>
                <w:sz w:val="21"/>
              </w:rPr>
              <w:t>粉尘粒径（</w:t>
            </w:r>
            <w:r>
              <w:rPr>
                <w:rFonts w:ascii="Times New Roman" w:hAnsi="Times New Roman" w:eastAsia="Times New Roman"/>
                <w:b/>
                <w:sz w:val="21"/>
              </w:rPr>
              <w:t>μm</w:t>
            </w:r>
            <w:r>
              <w:rPr>
                <w:b/>
                <w:sz w:val="21"/>
              </w:rPr>
              <w:t>）</w:t>
            </w:r>
          </w:p>
        </w:tc>
        <w:tc>
          <w:tcPr>
            <w:tcW w:w="859" w:type="dxa"/>
          </w:tcPr>
          <w:p>
            <w:pPr>
              <w:pStyle w:val="19"/>
              <w:spacing w:before="49"/>
              <w:ind w:left="171" w:right="162"/>
              <w:rPr>
                <w:rFonts w:ascii="Times New Roman"/>
                <w:sz w:val="21"/>
              </w:rPr>
            </w:pPr>
            <w:r>
              <w:rPr>
                <w:rFonts w:ascii="Times New Roman"/>
                <w:sz w:val="21"/>
              </w:rPr>
              <w:t>80</w:t>
            </w:r>
          </w:p>
        </w:tc>
        <w:tc>
          <w:tcPr>
            <w:tcW w:w="914" w:type="dxa"/>
          </w:tcPr>
          <w:p>
            <w:pPr>
              <w:pStyle w:val="19"/>
              <w:spacing w:before="49"/>
              <w:ind w:left="198" w:right="190"/>
              <w:rPr>
                <w:rFonts w:ascii="Times New Roman"/>
                <w:sz w:val="21"/>
              </w:rPr>
            </w:pPr>
            <w:r>
              <w:rPr>
                <w:rFonts w:ascii="Times New Roman"/>
                <w:sz w:val="21"/>
              </w:rPr>
              <w:t>90</w:t>
            </w:r>
          </w:p>
        </w:tc>
        <w:tc>
          <w:tcPr>
            <w:tcW w:w="900" w:type="dxa"/>
          </w:tcPr>
          <w:p>
            <w:pPr>
              <w:pStyle w:val="19"/>
              <w:spacing w:before="49"/>
              <w:ind w:left="111" w:right="103"/>
              <w:rPr>
                <w:rFonts w:ascii="Times New Roman"/>
                <w:sz w:val="21"/>
              </w:rPr>
            </w:pPr>
            <w:r>
              <w:rPr>
                <w:rFonts w:ascii="Times New Roman"/>
                <w:sz w:val="21"/>
              </w:rPr>
              <w:t>100</w:t>
            </w:r>
          </w:p>
        </w:tc>
        <w:tc>
          <w:tcPr>
            <w:tcW w:w="941" w:type="dxa"/>
          </w:tcPr>
          <w:p>
            <w:pPr>
              <w:pStyle w:val="19"/>
              <w:spacing w:before="49"/>
              <w:ind w:left="90" w:right="80"/>
              <w:rPr>
                <w:rFonts w:ascii="Times New Roman"/>
                <w:sz w:val="21"/>
              </w:rPr>
            </w:pPr>
            <w:r>
              <w:rPr>
                <w:rFonts w:ascii="Times New Roman"/>
                <w:sz w:val="21"/>
              </w:rPr>
              <w:t>150</w:t>
            </w:r>
          </w:p>
        </w:tc>
        <w:tc>
          <w:tcPr>
            <w:tcW w:w="873" w:type="dxa"/>
          </w:tcPr>
          <w:p>
            <w:pPr>
              <w:pStyle w:val="19"/>
              <w:spacing w:before="49"/>
              <w:ind w:left="73" w:right="62"/>
              <w:rPr>
                <w:rFonts w:ascii="Times New Roman"/>
                <w:sz w:val="21"/>
              </w:rPr>
            </w:pPr>
            <w:r>
              <w:rPr>
                <w:rFonts w:ascii="Times New Roman"/>
                <w:sz w:val="21"/>
              </w:rPr>
              <w:t>200</w:t>
            </w:r>
          </w:p>
        </w:tc>
        <w:tc>
          <w:tcPr>
            <w:tcW w:w="886" w:type="dxa"/>
          </w:tcPr>
          <w:p>
            <w:pPr>
              <w:pStyle w:val="19"/>
              <w:spacing w:before="49"/>
              <w:ind w:left="184" w:right="176"/>
              <w:rPr>
                <w:rFonts w:ascii="Times New Roman"/>
                <w:sz w:val="21"/>
              </w:rPr>
            </w:pPr>
            <w:r>
              <w:rPr>
                <w:rFonts w:ascii="Times New Roman"/>
                <w:sz w:val="21"/>
              </w:rPr>
              <w:t>250</w:t>
            </w:r>
          </w:p>
        </w:tc>
        <w:tc>
          <w:tcPr>
            <w:tcW w:w="724" w:type="dxa"/>
          </w:tcPr>
          <w:p>
            <w:pPr>
              <w:pStyle w:val="19"/>
              <w:spacing w:before="49"/>
              <w:ind w:left="101" w:right="95"/>
              <w:rPr>
                <w:rFonts w:ascii="Times New Roman"/>
                <w:sz w:val="21"/>
              </w:rPr>
            </w:pPr>
            <w:r>
              <w:rPr>
                <w:rFonts w:ascii="Times New Roman"/>
                <w:sz w:val="21"/>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9" w:type="dxa"/>
          </w:tcPr>
          <w:p>
            <w:pPr>
              <w:pStyle w:val="19"/>
              <w:spacing w:before="36"/>
              <w:ind w:left="316" w:right="303"/>
              <w:rPr>
                <w:b/>
                <w:sz w:val="21"/>
              </w:rPr>
            </w:pPr>
            <w:r>
              <w:rPr>
                <w:b/>
                <w:sz w:val="21"/>
              </w:rPr>
              <w:t>沉降速度（</w:t>
            </w:r>
            <w:r>
              <w:rPr>
                <w:rFonts w:ascii="Times New Roman" w:eastAsia="Times New Roman"/>
                <w:b/>
                <w:sz w:val="21"/>
              </w:rPr>
              <w:t>m/s</w:t>
            </w:r>
            <w:r>
              <w:rPr>
                <w:b/>
                <w:sz w:val="21"/>
              </w:rPr>
              <w:t>）</w:t>
            </w:r>
          </w:p>
        </w:tc>
        <w:tc>
          <w:tcPr>
            <w:tcW w:w="859" w:type="dxa"/>
          </w:tcPr>
          <w:p>
            <w:pPr>
              <w:pStyle w:val="19"/>
              <w:spacing w:before="50"/>
              <w:ind w:left="171" w:right="162"/>
              <w:rPr>
                <w:rFonts w:ascii="Times New Roman"/>
                <w:sz w:val="21"/>
              </w:rPr>
            </w:pPr>
            <w:r>
              <w:rPr>
                <w:rFonts w:ascii="Times New Roman"/>
                <w:sz w:val="21"/>
              </w:rPr>
              <w:t>0.158</w:t>
            </w:r>
          </w:p>
        </w:tc>
        <w:tc>
          <w:tcPr>
            <w:tcW w:w="914" w:type="dxa"/>
          </w:tcPr>
          <w:p>
            <w:pPr>
              <w:pStyle w:val="19"/>
              <w:spacing w:before="50"/>
              <w:ind w:left="200" w:right="190"/>
              <w:rPr>
                <w:rFonts w:ascii="Times New Roman"/>
                <w:sz w:val="21"/>
              </w:rPr>
            </w:pPr>
            <w:r>
              <w:rPr>
                <w:rFonts w:ascii="Times New Roman"/>
                <w:sz w:val="21"/>
              </w:rPr>
              <w:t>0.170</w:t>
            </w:r>
          </w:p>
        </w:tc>
        <w:tc>
          <w:tcPr>
            <w:tcW w:w="900" w:type="dxa"/>
          </w:tcPr>
          <w:p>
            <w:pPr>
              <w:pStyle w:val="19"/>
              <w:spacing w:before="50"/>
              <w:ind w:left="113" w:right="103"/>
              <w:rPr>
                <w:rFonts w:ascii="Times New Roman"/>
                <w:sz w:val="21"/>
              </w:rPr>
            </w:pPr>
            <w:r>
              <w:rPr>
                <w:rFonts w:ascii="Times New Roman"/>
                <w:sz w:val="21"/>
              </w:rPr>
              <w:t>0.182</w:t>
            </w:r>
          </w:p>
        </w:tc>
        <w:tc>
          <w:tcPr>
            <w:tcW w:w="941" w:type="dxa"/>
          </w:tcPr>
          <w:p>
            <w:pPr>
              <w:pStyle w:val="19"/>
              <w:spacing w:before="50"/>
              <w:ind w:left="90" w:right="80"/>
              <w:rPr>
                <w:rFonts w:ascii="Times New Roman"/>
                <w:sz w:val="21"/>
              </w:rPr>
            </w:pPr>
            <w:r>
              <w:rPr>
                <w:rFonts w:ascii="Times New Roman"/>
                <w:sz w:val="21"/>
              </w:rPr>
              <w:t>0.239</w:t>
            </w:r>
          </w:p>
        </w:tc>
        <w:tc>
          <w:tcPr>
            <w:tcW w:w="873" w:type="dxa"/>
          </w:tcPr>
          <w:p>
            <w:pPr>
              <w:pStyle w:val="19"/>
              <w:spacing w:before="50"/>
              <w:ind w:left="73" w:right="62"/>
              <w:rPr>
                <w:rFonts w:ascii="Times New Roman"/>
                <w:sz w:val="21"/>
              </w:rPr>
            </w:pPr>
            <w:r>
              <w:rPr>
                <w:rFonts w:ascii="Times New Roman"/>
                <w:sz w:val="21"/>
              </w:rPr>
              <w:t>0.804</w:t>
            </w:r>
          </w:p>
        </w:tc>
        <w:tc>
          <w:tcPr>
            <w:tcW w:w="886" w:type="dxa"/>
          </w:tcPr>
          <w:p>
            <w:pPr>
              <w:pStyle w:val="19"/>
              <w:spacing w:before="50"/>
              <w:ind w:left="187" w:right="176"/>
              <w:rPr>
                <w:rFonts w:ascii="Times New Roman"/>
                <w:sz w:val="21"/>
              </w:rPr>
            </w:pPr>
            <w:r>
              <w:rPr>
                <w:rFonts w:ascii="Times New Roman"/>
                <w:sz w:val="21"/>
              </w:rPr>
              <w:t>1.005</w:t>
            </w:r>
          </w:p>
        </w:tc>
        <w:tc>
          <w:tcPr>
            <w:tcW w:w="724" w:type="dxa"/>
          </w:tcPr>
          <w:p>
            <w:pPr>
              <w:pStyle w:val="19"/>
              <w:spacing w:before="50"/>
              <w:ind w:left="106" w:right="95"/>
              <w:rPr>
                <w:rFonts w:ascii="Times New Roman"/>
                <w:sz w:val="21"/>
              </w:rPr>
            </w:pPr>
            <w:r>
              <w:rPr>
                <w:rFonts w:ascii="Times New Roman"/>
                <w:sz w:val="21"/>
              </w:rPr>
              <w:t>1.829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9" w:type="dxa"/>
          </w:tcPr>
          <w:p>
            <w:pPr>
              <w:pStyle w:val="19"/>
              <w:spacing w:before="34"/>
              <w:ind w:left="316" w:right="303"/>
              <w:rPr>
                <w:b/>
                <w:sz w:val="21"/>
              </w:rPr>
            </w:pPr>
            <w:r>
              <w:rPr>
                <w:b/>
                <w:sz w:val="21"/>
              </w:rPr>
              <w:t>粉尘粒径（</w:t>
            </w:r>
            <w:r>
              <w:rPr>
                <w:rFonts w:ascii="Times New Roman" w:hAnsi="Times New Roman" w:eastAsia="Times New Roman"/>
                <w:b/>
                <w:sz w:val="21"/>
              </w:rPr>
              <w:t>μm</w:t>
            </w:r>
            <w:r>
              <w:rPr>
                <w:b/>
                <w:sz w:val="21"/>
              </w:rPr>
              <w:t>）</w:t>
            </w:r>
          </w:p>
        </w:tc>
        <w:tc>
          <w:tcPr>
            <w:tcW w:w="859" w:type="dxa"/>
          </w:tcPr>
          <w:p>
            <w:pPr>
              <w:pStyle w:val="19"/>
              <w:spacing w:before="48"/>
              <w:ind w:left="171" w:right="162"/>
              <w:rPr>
                <w:rFonts w:ascii="Times New Roman"/>
                <w:sz w:val="21"/>
              </w:rPr>
            </w:pPr>
            <w:r>
              <w:rPr>
                <w:rFonts w:ascii="Times New Roman"/>
                <w:sz w:val="21"/>
              </w:rPr>
              <w:t>450</w:t>
            </w:r>
          </w:p>
        </w:tc>
        <w:tc>
          <w:tcPr>
            <w:tcW w:w="914" w:type="dxa"/>
          </w:tcPr>
          <w:p>
            <w:pPr>
              <w:pStyle w:val="19"/>
              <w:spacing w:before="48"/>
              <w:ind w:left="198" w:right="190"/>
              <w:rPr>
                <w:rFonts w:ascii="Times New Roman"/>
                <w:sz w:val="21"/>
              </w:rPr>
            </w:pPr>
            <w:r>
              <w:rPr>
                <w:rFonts w:ascii="Times New Roman"/>
                <w:sz w:val="21"/>
              </w:rPr>
              <w:t>550</w:t>
            </w:r>
          </w:p>
        </w:tc>
        <w:tc>
          <w:tcPr>
            <w:tcW w:w="900" w:type="dxa"/>
          </w:tcPr>
          <w:p>
            <w:pPr>
              <w:pStyle w:val="19"/>
              <w:spacing w:before="48"/>
              <w:ind w:left="111" w:right="103"/>
              <w:rPr>
                <w:rFonts w:ascii="Times New Roman"/>
                <w:sz w:val="21"/>
              </w:rPr>
            </w:pPr>
            <w:r>
              <w:rPr>
                <w:rFonts w:ascii="Times New Roman"/>
                <w:sz w:val="21"/>
              </w:rPr>
              <w:t>650</w:t>
            </w:r>
          </w:p>
        </w:tc>
        <w:tc>
          <w:tcPr>
            <w:tcW w:w="941" w:type="dxa"/>
          </w:tcPr>
          <w:p>
            <w:pPr>
              <w:pStyle w:val="19"/>
              <w:spacing w:before="48"/>
              <w:ind w:left="90" w:right="80"/>
              <w:rPr>
                <w:rFonts w:ascii="Times New Roman"/>
                <w:sz w:val="21"/>
              </w:rPr>
            </w:pPr>
            <w:r>
              <w:rPr>
                <w:rFonts w:ascii="Times New Roman"/>
                <w:sz w:val="21"/>
              </w:rPr>
              <w:t>750</w:t>
            </w:r>
          </w:p>
        </w:tc>
        <w:tc>
          <w:tcPr>
            <w:tcW w:w="873" w:type="dxa"/>
          </w:tcPr>
          <w:p>
            <w:pPr>
              <w:pStyle w:val="19"/>
              <w:spacing w:before="48"/>
              <w:ind w:left="73" w:right="62"/>
              <w:rPr>
                <w:rFonts w:ascii="Times New Roman"/>
                <w:sz w:val="21"/>
              </w:rPr>
            </w:pPr>
            <w:r>
              <w:rPr>
                <w:rFonts w:ascii="Times New Roman"/>
                <w:sz w:val="21"/>
              </w:rPr>
              <w:t>850</w:t>
            </w:r>
          </w:p>
        </w:tc>
        <w:tc>
          <w:tcPr>
            <w:tcW w:w="886" w:type="dxa"/>
          </w:tcPr>
          <w:p>
            <w:pPr>
              <w:pStyle w:val="19"/>
              <w:spacing w:before="48"/>
              <w:ind w:left="184" w:right="176"/>
              <w:rPr>
                <w:rFonts w:ascii="Times New Roman"/>
                <w:sz w:val="21"/>
              </w:rPr>
            </w:pPr>
            <w:r>
              <w:rPr>
                <w:rFonts w:ascii="Times New Roman"/>
                <w:sz w:val="21"/>
              </w:rPr>
              <w:t>950</w:t>
            </w:r>
          </w:p>
        </w:tc>
        <w:tc>
          <w:tcPr>
            <w:tcW w:w="724" w:type="dxa"/>
          </w:tcPr>
          <w:p>
            <w:pPr>
              <w:pStyle w:val="19"/>
              <w:spacing w:before="48"/>
              <w:ind w:left="106" w:right="95"/>
              <w:rPr>
                <w:rFonts w:ascii="Times New Roman"/>
                <w:sz w:val="21"/>
              </w:rPr>
            </w:pPr>
            <w:r>
              <w:rPr>
                <w:rFonts w:ascii="Times New Roman"/>
                <w:sz w:val="21"/>
              </w:rPr>
              <w:t>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9" w:type="dxa"/>
          </w:tcPr>
          <w:p>
            <w:pPr>
              <w:pStyle w:val="19"/>
              <w:spacing w:before="34"/>
              <w:ind w:left="316" w:right="303"/>
              <w:rPr>
                <w:b/>
                <w:sz w:val="21"/>
              </w:rPr>
            </w:pPr>
            <w:r>
              <w:rPr>
                <w:b/>
                <w:sz w:val="21"/>
              </w:rPr>
              <w:t>沉降速度（</w:t>
            </w:r>
            <w:r>
              <w:rPr>
                <w:rFonts w:ascii="Times New Roman" w:eastAsia="Times New Roman"/>
                <w:b/>
                <w:sz w:val="21"/>
              </w:rPr>
              <w:t>m/s</w:t>
            </w:r>
            <w:r>
              <w:rPr>
                <w:b/>
                <w:sz w:val="21"/>
              </w:rPr>
              <w:t>）</w:t>
            </w:r>
          </w:p>
        </w:tc>
        <w:tc>
          <w:tcPr>
            <w:tcW w:w="859" w:type="dxa"/>
          </w:tcPr>
          <w:p>
            <w:pPr>
              <w:pStyle w:val="19"/>
              <w:spacing w:before="48"/>
              <w:ind w:left="172" w:right="160"/>
              <w:rPr>
                <w:rFonts w:ascii="Times New Roman"/>
                <w:sz w:val="21"/>
              </w:rPr>
            </w:pPr>
            <w:r>
              <w:rPr>
                <w:rFonts w:ascii="Times New Roman"/>
                <w:sz w:val="21"/>
              </w:rPr>
              <w:t>2.211</w:t>
            </w:r>
          </w:p>
        </w:tc>
        <w:tc>
          <w:tcPr>
            <w:tcW w:w="914" w:type="dxa"/>
          </w:tcPr>
          <w:p>
            <w:pPr>
              <w:pStyle w:val="19"/>
              <w:spacing w:before="48"/>
              <w:ind w:left="200" w:right="190"/>
              <w:rPr>
                <w:rFonts w:ascii="Times New Roman"/>
                <w:sz w:val="21"/>
              </w:rPr>
            </w:pPr>
            <w:r>
              <w:rPr>
                <w:rFonts w:ascii="Times New Roman"/>
                <w:sz w:val="21"/>
              </w:rPr>
              <w:t>2.614</w:t>
            </w:r>
          </w:p>
        </w:tc>
        <w:tc>
          <w:tcPr>
            <w:tcW w:w="900" w:type="dxa"/>
          </w:tcPr>
          <w:p>
            <w:pPr>
              <w:pStyle w:val="19"/>
              <w:spacing w:before="48"/>
              <w:ind w:left="113" w:right="103"/>
              <w:rPr>
                <w:rFonts w:ascii="Times New Roman"/>
                <w:sz w:val="21"/>
              </w:rPr>
            </w:pPr>
            <w:r>
              <w:rPr>
                <w:rFonts w:ascii="Times New Roman"/>
                <w:sz w:val="21"/>
              </w:rPr>
              <w:t>3.016</w:t>
            </w:r>
          </w:p>
        </w:tc>
        <w:tc>
          <w:tcPr>
            <w:tcW w:w="941" w:type="dxa"/>
          </w:tcPr>
          <w:p>
            <w:pPr>
              <w:pStyle w:val="19"/>
              <w:spacing w:before="48"/>
              <w:ind w:left="90" w:right="80"/>
              <w:rPr>
                <w:rFonts w:ascii="Times New Roman"/>
                <w:sz w:val="21"/>
              </w:rPr>
            </w:pPr>
            <w:r>
              <w:rPr>
                <w:rFonts w:ascii="Times New Roman"/>
                <w:sz w:val="21"/>
              </w:rPr>
              <w:t>3.418</w:t>
            </w:r>
          </w:p>
        </w:tc>
        <w:tc>
          <w:tcPr>
            <w:tcW w:w="873" w:type="dxa"/>
          </w:tcPr>
          <w:p>
            <w:pPr>
              <w:pStyle w:val="19"/>
              <w:spacing w:before="48"/>
              <w:ind w:left="73" w:right="62"/>
              <w:rPr>
                <w:rFonts w:ascii="Times New Roman"/>
                <w:sz w:val="21"/>
              </w:rPr>
            </w:pPr>
            <w:r>
              <w:rPr>
                <w:rFonts w:ascii="Times New Roman"/>
                <w:sz w:val="21"/>
              </w:rPr>
              <w:t>3.820</w:t>
            </w:r>
          </w:p>
        </w:tc>
        <w:tc>
          <w:tcPr>
            <w:tcW w:w="886" w:type="dxa"/>
          </w:tcPr>
          <w:p>
            <w:pPr>
              <w:pStyle w:val="19"/>
              <w:spacing w:before="48"/>
              <w:ind w:left="187" w:right="176"/>
              <w:rPr>
                <w:rFonts w:ascii="Times New Roman"/>
                <w:sz w:val="21"/>
              </w:rPr>
            </w:pPr>
            <w:r>
              <w:rPr>
                <w:rFonts w:ascii="Times New Roman"/>
                <w:sz w:val="21"/>
              </w:rPr>
              <w:t>4.222</w:t>
            </w:r>
          </w:p>
        </w:tc>
        <w:tc>
          <w:tcPr>
            <w:tcW w:w="724" w:type="dxa"/>
          </w:tcPr>
          <w:p>
            <w:pPr>
              <w:pStyle w:val="19"/>
              <w:spacing w:before="48"/>
              <w:ind w:left="106" w:right="95"/>
              <w:rPr>
                <w:rFonts w:ascii="Times New Roman"/>
                <w:sz w:val="21"/>
              </w:rPr>
            </w:pPr>
            <w:r>
              <w:rPr>
                <w:rFonts w:ascii="Times New Roman"/>
                <w:sz w:val="21"/>
              </w:rPr>
              <w:t>4.624</w:t>
            </w:r>
          </w:p>
        </w:tc>
      </w:tr>
    </w:tbl>
    <w:p>
      <w:pPr>
        <w:pStyle w:val="7"/>
        <w:spacing w:before="8"/>
        <w:ind w:left="0"/>
        <w:rPr>
          <w:b/>
          <w:sz w:val="12"/>
        </w:rPr>
      </w:pPr>
    </w:p>
    <w:p>
      <w:pPr>
        <w:pStyle w:val="7"/>
        <w:spacing w:before="76" w:line="364" w:lineRule="auto"/>
        <w:ind w:right="455" w:firstLine="480"/>
        <w:jc w:val="both"/>
      </w:pPr>
      <w:r>
        <w:rPr>
          <w:spacing w:val="-21"/>
        </w:rPr>
        <w:t>由表</w:t>
      </w:r>
      <w:r>
        <w:rPr>
          <w:rFonts w:ascii="Times New Roman" w:hAnsi="Times New Roman" w:eastAsia="Times New Roman"/>
        </w:rPr>
        <w:t>3.2-1</w:t>
      </w:r>
      <w:r>
        <w:rPr>
          <w:spacing w:val="-19"/>
        </w:rPr>
        <w:t>可知，粉尘的沉降速度随粒径的增大而迅速增大。当粒径为</w:t>
      </w:r>
      <w:r>
        <w:rPr>
          <w:rFonts w:ascii="Times New Roman" w:hAnsi="Times New Roman" w:eastAsia="Times New Roman"/>
        </w:rPr>
        <w:t>250μm</w:t>
      </w:r>
      <w:r>
        <w:rPr>
          <w:spacing w:val="-7"/>
        </w:rPr>
        <w:t>时，沉降速度为</w:t>
      </w:r>
      <w:r>
        <w:rPr>
          <w:rFonts w:ascii="Times New Roman" w:hAnsi="Times New Roman" w:eastAsia="Times New Roman"/>
        </w:rPr>
        <w:t>1.005m/s</w:t>
      </w:r>
      <w:r>
        <w:rPr>
          <w:spacing w:val="-4"/>
        </w:rPr>
        <w:t>，因此可以认为当粒径大于</w:t>
      </w:r>
      <w:r>
        <w:rPr>
          <w:rFonts w:ascii="Times New Roman" w:hAnsi="Times New Roman" w:eastAsia="Times New Roman"/>
        </w:rPr>
        <w:t>250μm</w:t>
      </w:r>
      <w:r>
        <w:t>时，主要影响范围</w:t>
      </w:r>
      <w:r>
        <w:rPr>
          <w:spacing w:val="-7"/>
        </w:rPr>
        <w:t>在扬尘点下风向近距离范围内，本项目评价范围内大气环境敏感点主要是项目区</w:t>
      </w:r>
      <w:r>
        <w:rPr>
          <w:spacing w:val="-25"/>
        </w:rPr>
        <w:t>西侧</w:t>
      </w:r>
      <w:r>
        <w:rPr>
          <w:rFonts w:ascii="Times New Roman" w:hAnsi="Times New Roman" w:eastAsia="Times New Roman"/>
        </w:rPr>
        <w:t>2.5km</w:t>
      </w:r>
      <w:r>
        <w:rPr>
          <w:spacing w:val="-11"/>
        </w:rPr>
        <w:t>处村庄，其位于项目所在区域主导风向</w:t>
      </w:r>
      <w:r>
        <w:t>（西北偏北风</w:t>
      </w:r>
      <w:r>
        <w:rPr>
          <w:spacing w:val="-56"/>
        </w:rPr>
        <w:t>）</w:t>
      </w:r>
      <w:r>
        <w:rPr>
          <w:spacing w:val="-11"/>
        </w:rPr>
        <w:t>侧风向，因此，</w:t>
      </w:r>
      <w:r>
        <w:rPr>
          <w:spacing w:val="-4"/>
        </w:rPr>
        <w:t>此类扬尘可造成施工区域附近</w:t>
      </w:r>
      <w:r>
        <w:rPr>
          <w:rFonts w:ascii="Times New Roman" w:hAnsi="Times New Roman" w:eastAsia="Times New Roman"/>
        </w:rPr>
        <w:t>TSP</w:t>
      </w:r>
      <w:r>
        <w:t>浓度暂时升高，对项目区周边评价范围内大气环境敏感点影响不大。</w:t>
      </w:r>
    </w:p>
    <w:p>
      <w:pPr>
        <w:pStyle w:val="7"/>
        <w:spacing w:before="4"/>
        <w:ind w:left="1020"/>
      </w:pPr>
      <w:r>
        <w:t>②车辆运输扬尘</w:t>
      </w:r>
    </w:p>
    <w:p>
      <w:pPr>
        <w:pStyle w:val="7"/>
        <w:spacing w:before="160" w:line="364" w:lineRule="auto"/>
        <w:ind w:right="577" w:firstLine="480"/>
        <w:jc w:val="both"/>
      </w:pPr>
      <w:r>
        <w:rPr>
          <w:spacing w:val="-7"/>
        </w:rPr>
        <w:t>本项目动态起尘主要是各类施工机械、运输车辆在项目区内外来往形成的地</w:t>
      </w:r>
      <w:r>
        <w:rPr>
          <w:spacing w:val="-11"/>
        </w:rPr>
        <w:t>面扬尘，据有关文献资料显示，在施工过程中，车辆行驶产生的扬尘占总扬尘量</w:t>
      </w:r>
      <w:r>
        <w:rPr>
          <w:spacing w:val="-21"/>
        </w:rPr>
        <w:t>的</w:t>
      </w:r>
      <w:r>
        <w:rPr>
          <w:rFonts w:ascii="Times New Roman" w:eastAsia="Times New Roman"/>
        </w:rPr>
        <w:t>60%</w:t>
      </w:r>
      <w:r>
        <w:t>以上。车辆机械行驶产生的扬尘量与路面清洁程度以及车辆行驶速度有</w:t>
      </w:r>
      <w:r>
        <w:rPr>
          <w:spacing w:val="-9"/>
        </w:rPr>
        <w:t>关，具体见表</w:t>
      </w:r>
      <w:r>
        <w:rPr>
          <w:rFonts w:ascii="Times New Roman" w:eastAsia="Times New Roman"/>
        </w:rPr>
        <w:t>3.2-2</w:t>
      </w:r>
      <w:r>
        <w:t>。</w:t>
      </w:r>
    </w:p>
    <w:p>
      <w:pPr>
        <w:pStyle w:val="7"/>
        <w:bidi w:val="0"/>
        <w:jc w:val="center"/>
        <w:rPr>
          <w:rFonts w:ascii="Times New Roman" w:hAnsi="Times New Roman" w:eastAsia="Times New Roman"/>
        </w:rPr>
      </w:pPr>
      <w:r>
        <w:rPr>
          <w:spacing w:val="-31"/>
        </w:rPr>
        <w:t>表</w:t>
      </w:r>
      <w:r>
        <w:rPr>
          <w:rFonts w:ascii="Times New Roman" w:hAnsi="Times New Roman" w:eastAsia="Times New Roman"/>
        </w:rPr>
        <w:t>3.2-2</w:t>
      </w:r>
      <w:r>
        <w:rPr>
          <w:spacing w:val="3"/>
        </w:rPr>
        <w:t>不同车速和地面清洁程度的汽车扬尘单位：</w:t>
      </w:r>
      <w:r>
        <w:rPr>
          <w:rFonts w:ascii="Times New Roman" w:hAnsi="Times New Roman" w:eastAsia="Times New Roman"/>
        </w:rPr>
        <w:t>kg/</w:t>
      </w:r>
      <w:r>
        <w:t>辆</w:t>
      </w:r>
      <w:r>
        <w:rPr>
          <w:rFonts w:ascii="Times New Roman" w:hAnsi="Times New Roman" w:eastAsia="Times New Roman"/>
        </w:rPr>
        <w:t>·km</w:t>
      </w:r>
    </w:p>
    <w:tbl>
      <w:tblPr>
        <w:tblStyle w:val="15"/>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5"/>
        <w:gridCol w:w="1101"/>
        <w:gridCol w:w="1186"/>
        <w:gridCol w:w="1187"/>
        <w:gridCol w:w="1187"/>
        <w:gridCol w:w="1187"/>
        <w:gridCol w:w="1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05" w:type="dxa"/>
          </w:tcPr>
          <w:p>
            <w:pPr>
              <w:pStyle w:val="19"/>
              <w:spacing w:before="39" w:line="244" w:lineRule="auto"/>
              <w:ind w:left="181" w:right="169" w:firstLine="211"/>
              <w:jc w:val="left"/>
              <w:rPr>
                <w:b/>
                <w:sz w:val="21"/>
              </w:rPr>
            </w:pPr>
            <w:r>
              <w:rPr>
                <w:b/>
                <w:sz w:val="21"/>
              </w:rPr>
              <w:t>车速路面粉尘</w:t>
            </w:r>
          </w:p>
        </w:tc>
        <w:tc>
          <w:tcPr>
            <w:tcW w:w="1101" w:type="dxa"/>
          </w:tcPr>
          <w:p>
            <w:pPr>
              <w:pStyle w:val="19"/>
              <w:spacing w:before="34"/>
              <w:ind w:left="29" w:right="20"/>
              <w:rPr>
                <w:rFonts w:ascii="Times New Roman"/>
                <w:b/>
                <w:sz w:val="21"/>
              </w:rPr>
            </w:pPr>
            <w:r>
              <w:rPr>
                <w:rFonts w:ascii="Times New Roman"/>
                <w:b/>
                <w:sz w:val="21"/>
              </w:rPr>
              <w:t>0.1</w:t>
            </w:r>
          </w:p>
          <w:p>
            <w:pPr>
              <w:pStyle w:val="19"/>
              <w:spacing w:before="56"/>
              <w:ind w:left="88" w:right="20"/>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6" w:type="dxa"/>
          </w:tcPr>
          <w:p>
            <w:pPr>
              <w:pStyle w:val="19"/>
              <w:spacing w:before="34"/>
              <w:ind w:left="101" w:right="89"/>
              <w:rPr>
                <w:rFonts w:ascii="Times New Roman"/>
                <w:b/>
                <w:sz w:val="21"/>
              </w:rPr>
            </w:pPr>
            <w:r>
              <w:rPr>
                <w:rFonts w:ascii="Times New Roman"/>
                <w:b/>
                <w:sz w:val="21"/>
              </w:rPr>
              <w:t>0.2</w:t>
            </w:r>
          </w:p>
          <w:p>
            <w:pPr>
              <w:pStyle w:val="19"/>
              <w:spacing w:before="56"/>
              <w:ind w:left="101" w:right="93"/>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7" w:type="dxa"/>
          </w:tcPr>
          <w:p>
            <w:pPr>
              <w:pStyle w:val="19"/>
              <w:spacing w:before="34"/>
              <w:ind w:left="102" w:right="92"/>
              <w:rPr>
                <w:rFonts w:ascii="Times New Roman"/>
                <w:b/>
                <w:sz w:val="21"/>
              </w:rPr>
            </w:pPr>
            <w:r>
              <w:rPr>
                <w:rFonts w:ascii="Times New Roman"/>
                <w:b/>
                <w:sz w:val="21"/>
              </w:rPr>
              <w:t>0.3</w:t>
            </w:r>
          </w:p>
          <w:p>
            <w:pPr>
              <w:pStyle w:val="19"/>
              <w:spacing w:before="56"/>
              <w:ind w:left="102" w:right="91"/>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7" w:type="dxa"/>
          </w:tcPr>
          <w:p>
            <w:pPr>
              <w:pStyle w:val="19"/>
              <w:spacing w:before="34"/>
              <w:ind w:left="99" w:right="92"/>
              <w:rPr>
                <w:rFonts w:ascii="Times New Roman"/>
                <w:b/>
                <w:sz w:val="21"/>
              </w:rPr>
            </w:pPr>
            <w:r>
              <w:rPr>
                <w:rFonts w:ascii="Times New Roman"/>
                <w:b/>
                <w:sz w:val="21"/>
              </w:rPr>
              <w:t>0.4</w:t>
            </w:r>
          </w:p>
          <w:p>
            <w:pPr>
              <w:pStyle w:val="19"/>
              <w:spacing w:before="56"/>
              <w:ind w:left="102" w:right="91"/>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7" w:type="dxa"/>
          </w:tcPr>
          <w:p>
            <w:pPr>
              <w:pStyle w:val="19"/>
              <w:spacing w:before="34"/>
              <w:ind w:left="101" w:right="92"/>
              <w:rPr>
                <w:rFonts w:ascii="Times New Roman"/>
                <w:b/>
                <w:sz w:val="21"/>
              </w:rPr>
            </w:pPr>
            <w:r>
              <w:rPr>
                <w:rFonts w:ascii="Times New Roman"/>
                <w:b/>
                <w:sz w:val="21"/>
              </w:rPr>
              <w:t>0.5</w:t>
            </w:r>
          </w:p>
          <w:p>
            <w:pPr>
              <w:pStyle w:val="19"/>
              <w:spacing w:before="56"/>
              <w:ind w:left="102" w:right="92"/>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461" w:type="dxa"/>
          </w:tcPr>
          <w:p>
            <w:pPr>
              <w:pStyle w:val="19"/>
              <w:spacing w:before="34"/>
              <w:ind w:left="239" w:right="228"/>
              <w:rPr>
                <w:rFonts w:ascii="Times New Roman"/>
                <w:b/>
                <w:sz w:val="21"/>
              </w:rPr>
            </w:pPr>
            <w:r>
              <w:rPr>
                <w:rFonts w:ascii="Times New Roman"/>
                <w:b/>
                <w:sz w:val="21"/>
              </w:rPr>
              <w:t>0.6</w:t>
            </w:r>
          </w:p>
          <w:p>
            <w:pPr>
              <w:pStyle w:val="19"/>
              <w:spacing w:before="56"/>
              <w:ind w:left="239" w:right="230"/>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5" w:type="dxa"/>
          </w:tcPr>
          <w:p>
            <w:pPr>
              <w:pStyle w:val="19"/>
              <w:spacing w:before="34"/>
              <w:ind w:left="123"/>
              <w:jc w:val="left"/>
              <w:rPr>
                <w:sz w:val="21"/>
              </w:rPr>
            </w:pPr>
            <w:r>
              <w:rPr>
                <w:rFonts w:ascii="Times New Roman" w:eastAsia="Times New Roman"/>
                <w:sz w:val="21"/>
              </w:rPr>
              <w:t>5</w:t>
            </w:r>
            <w:r>
              <w:rPr>
                <w:sz w:val="21"/>
              </w:rPr>
              <w:t>（</w:t>
            </w:r>
            <w:r>
              <w:rPr>
                <w:rFonts w:ascii="Times New Roman" w:eastAsia="Times New Roman"/>
                <w:sz w:val="21"/>
              </w:rPr>
              <w:t>km/h</w:t>
            </w:r>
            <w:r>
              <w:rPr>
                <w:sz w:val="21"/>
              </w:rPr>
              <w:t>）</w:t>
            </w:r>
          </w:p>
        </w:tc>
        <w:tc>
          <w:tcPr>
            <w:tcW w:w="1101" w:type="dxa"/>
          </w:tcPr>
          <w:p>
            <w:pPr>
              <w:pStyle w:val="19"/>
              <w:spacing w:before="48"/>
              <w:ind w:left="29" w:right="20"/>
              <w:rPr>
                <w:rFonts w:ascii="Times New Roman"/>
                <w:sz w:val="21"/>
              </w:rPr>
            </w:pPr>
            <w:r>
              <w:rPr>
                <w:rFonts w:ascii="Times New Roman"/>
                <w:sz w:val="21"/>
              </w:rPr>
              <w:t>0.007</w:t>
            </w:r>
          </w:p>
        </w:tc>
        <w:tc>
          <w:tcPr>
            <w:tcW w:w="1186" w:type="dxa"/>
          </w:tcPr>
          <w:p>
            <w:pPr>
              <w:pStyle w:val="19"/>
              <w:spacing w:before="48"/>
              <w:ind w:left="356"/>
              <w:jc w:val="left"/>
              <w:rPr>
                <w:rFonts w:ascii="Times New Roman"/>
                <w:sz w:val="21"/>
              </w:rPr>
            </w:pPr>
            <w:r>
              <w:rPr>
                <w:rFonts w:ascii="Times New Roman"/>
                <w:sz w:val="21"/>
              </w:rPr>
              <w:t>0.012</w:t>
            </w:r>
          </w:p>
        </w:tc>
        <w:tc>
          <w:tcPr>
            <w:tcW w:w="1187" w:type="dxa"/>
          </w:tcPr>
          <w:p>
            <w:pPr>
              <w:pStyle w:val="19"/>
              <w:spacing w:before="48"/>
              <w:ind w:left="102" w:right="92"/>
              <w:rPr>
                <w:rFonts w:ascii="Times New Roman"/>
                <w:sz w:val="21"/>
              </w:rPr>
            </w:pPr>
            <w:r>
              <w:rPr>
                <w:rFonts w:ascii="Times New Roman"/>
                <w:sz w:val="21"/>
              </w:rPr>
              <w:t>0.017</w:t>
            </w:r>
          </w:p>
        </w:tc>
        <w:tc>
          <w:tcPr>
            <w:tcW w:w="1187" w:type="dxa"/>
          </w:tcPr>
          <w:p>
            <w:pPr>
              <w:pStyle w:val="19"/>
              <w:spacing w:before="48"/>
              <w:ind w:right="345"/>
              <w:jc w:val="right"/>
              <w:rPr>
                <w:rFonts w:ascii="Times New Roman"/>
                <w:sz w:val="21"/>
              </w:rPr>
            </w:pPr>
            <w:r>
              <w:rPr>
                <w:rFonts w:ascii="Times New Roman"/>
                <w:w w:val="95"/>
                <w:sz w:val="21"/>
              </w:rPr>
              <w:t>0.021</w:t>
            </w:r>
          </w:p>
        </w:tc>
        <w:tc>
          <w:tcPr>
            <w:tcW w:w="1187" w:type="dxa"/>
          </w:tcPr>
          <w:p>
            <w:pPr>
              <w:pStyle w:val="19"/>
              <w:spacing w:before="48"/>
              <w:ind w:right="344"/>
              <w:jc w:val="right"/>
              <w:rPr>
                <w:rFonts w:ascii="Times New Roman"/>
                <w:sz w:val="21"/>
              </w:rPr>
            </w:pPr>
            <w:r>
              <w:rPr>
                <w:rFonts w:ascii="Times New Roman"/>
                <w:sz w:val="21"/>
              </w:rPr>
              <w:t>0.025</w:t>
            </w:r>
          </w:p>
        </w:tc>
        <w:tc>
          <w:tcPr>
            <w:tcW w:w="1461" w:type="dxa"/>
          </w:tcPr>
          <w:p>
            <w:pPr>
              <w:pStyle w:val="19"/>
              <w:spacing w:before="48"/>
              <w:ind w:left="239" w:right="228"/>
              <w:rPr>
                <w:rFonts w:ascii="Times New Roman"/>
                <w:sz w:val="21"/>
              </w:rPr>
            </w:pPr>
            <w:r>
              <w:rPr>
                <w:rFonts w:ascii="Times New Roman"/>
                <w:sz w:val="21"/>
              </w:rPr>
              <w:t>0.028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5" w:type="dxa"/>
          </w:tcPr>
          <w:p>
            <w:pPr>
              <w:pStyle w:val="19"/>
              <w:spacing w:before="34"/>
              <w:ind w:left="106"/>
              <w:jc w:val="left"/>
              <w:rPr>
                <w:sz w:val="21"/>
              </w:rPr>
            </w:pPr>
            <w:r>
              <w:rPr>
                <w:rFonts w:ascii="Times New Roman" w:eastAsia="Times New Roman"/>
                <w:sz w:val="21"/>
              </w:rPr>
              <w:t>10</w:t>
            </w:r>
            <w:r>
              <w:rPr>
                <w:sz w:val="21"/>
              </w:rPr>
              <w:t>（</w:t>
            </w:r>
            <w:r>
              <w:rPr>
                <w:rFonts w:ascii="Times New Roman" w:eastAsia="Times New Roman"/>
                <w:sz w:val="21"/>
              </w:rPr>
              <w:t>km/h</w:t>
            </w:r>
            <w:r>
              <w:rPr>
                <w:sz w:val="21"/>
              </w:rPr>
              <w:t>）</w:t>
            </w:r>
          </w:p>
        </w:tc>
        <w:tc>
          <w:tcPr>
            <w:tcW w:w="1101" w:type="dxa"/>
          </w:tcPr>
          <w:p>
            <w:pPr>
              <w:pStyle w:val="19"/>
              <w:spacing w:before="48"/>
              <w:ind w:left="29" w:right="20"/>
              <w:rPr>
                <w:rFonts w:ascii="Times New Roman"/>
                <w:sz w:val="21"/>
              </w:rPr>
            </w:pPr>
            <w:r>
              <w:rPr>
                <w:rFonts w:ascii="Times New Roman"/>
                <w:sz w:val="21"/>
              </w:rPr>
              <w:t>0.015</w:t>
            </w:r>
          </w:p>
        </w:tc>
        <w:tc>
          <w:tcPr>
            <w:tcW w:w="1186" w:type="dxa"/>
          </w:tcPr>
          <w:p>
            <w:pPr>
              <w:pStyle w:val="19"/>
              <w:spacing w:before="48"/>
              <w:ind w:left="356"/>
              <w:jc w:val="left"/>
              <w:rPr>
                <w:rFonts w:ascii="Times New Roman"/>
                <w:sz w:val="21"/>
              </w:rPr>
            </w:pPr>
            <w:r>
              <w:rPr>
                <w:rFonts w:ascii="Times New Roman"/>
                <w:sz w:val="21"/>
              </w:rPr>
              <w:t>0.025</w:t>
            </w:r>
          </w:p>
        </w:tc>
        <w:tc>
          <w:tcPr>
            <w:tcW w:w="1187" w:type="dxa"/>
          </w:tcPr>
          <w:p>
            <w:pPr>
              <w:pStyle w:val="19"/>
              <w:spacing w:before="48"/>
              <w:ind w:left="102" w:right="92"/>
              <w:rPr>
                <w:rFonts w:ascii="Times New Roman"/>
                <w:sz w:val="21"/>
              </w:rPr>
            </w:pPr>
            <w:r>
              <w:rPr>
                <w:rFonts w:ascii="Times New Roman"/>
                <w:sz w:val="21"/>
              </w:rPr>
              <w:t>0.033</w:t>
            </w:r>
          </w:p>
        </w:tc>
        <w:tc>
          <w:tcPr>
            <w:tcW w:w="1187" w:type="dxa"/>
          </w:tcPr>
          <w:p>
            <w:pPr>
              <w:pStyle w:val="19"/>
              <w:spacing w:before="48"/>
              <w:ind w:right="345"/>
              <w:jc w:val="right"/>
              <w:rPr>
                <w:rFonts w:ascii="Times New Roman"/>
                <w:sz w:val="21"/>
              </w:rPr>
            </w:pPr>
            <w:r>
              <w:rPr>
                <w:rFonts w:ascii="Times New Roman"/>
                <w:w w:val="95"/>
                <w:sz w:val="21"/>
              </w:rPr>
              <w:t>0.042</w:t>
            </w:r>
          </w:p>
        </w:tc>
        <w:tc>
          <w:tcPr>
            <w:tcW w:w="1187" w:type="dxa"/>
          </w:tcPr>
          <w:p>
            <w:pPr>
              <w:pStyle w:val="19"/>
              <w:spacing w:before="48"/>
              <w:ind w:right="344"/>
              <w:jc w:val="right"/>
              <w:rPr>
                <w:rFonts w:ascii="Times New Roman"/>
                <w:sz w:val="21"/>
              </w:rPr>
            </w:pPr>
            <w:r>
              <w:rPr>
                <w:rFonts w:ascii="Times New Roman"/>
                <w:sz w:val="21"/>
              </w:rPr>
              <w:t>0.049</w:t>
            </w:r>
          </w:p>
        </w:tc>
        <w:tc>
          <w:tcPr>
            <w:tcW w:w="1461" w:type="dxa"/>
          </w:tcPr>
          <w:p>
            <w:pPr>
              <w:pStyle w:val="19"/>
              <w:spacing w:before="48"/>
              <w:ind w:left="239" w:right="228"/>
              <w:rPr>
                <w:rFonts w:ascii="Times New Roman"/>
                <w:sz w:val="21"/>
              </w:rPr>
            </w:pPr>
            <w:r>
              <w:rPr>
                <w:rFonts w:ascii="Times New Roman"/>
                <w:sz w:val="21"/>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205" w:type="dxa"/>
          </w:tcPr>
          <w:p>
            <w:pPr>
              <w:pStyle w:val="19"/>
              <w:spacing w:before="35"/>
              <w:ind w:left="106"/>
              <w:jc w:val="left"/>
              <w:rPr>
                <w:sz w:val="21"/>
              </w:rPr>
            </w:pPr>
            <w:r>
              <w:rPr>
                <w:rFonts w:ascii="Times New Roman" w:eastAsia="Times New Roman"/>
                <w:sz w:val="21"/>
              </w:rPr>
              <w:t>15</w:t>
            </w:r>
            <w:r>
              <w:rPr>
                <w:sz w:val="21"/>
              </w:rPr>
              <w:t>（</w:t>
            </w:r>
            <w:r>
              <w:rPr>
                <w:rFonts w:ascii="Times New Roman" w:eastAsia="Times New Roman"/>
                <w:sz w:val="21"/>
              </w:rPr>
              <w:t>km/h</w:t>
            </w:r>
            <w:r>
              <w:rPr>
                <w:sz w:val="21"/>
              </w:rPr>
              <w:t>）</w:t>
            </w:r>
          </w:p>
        </w:tc>
        <w:tc>
          <w:tcPr>
            <w:tcW w:w="1101" w:type="dxa"/>
          </w:tcPr>
          <w:p>
            <w:pPr>
              <w:pStyle w:val="19"/>
              <w:spacing w:before="48"/>
              <w:ind w:left="29" w:right="20"/>
              <w:rPr>
                <w:rFonts w:ascii="Times New Roman"/>
                <w:sz w:val="21"/>
              </w:rPr>
            </w:pPr>
            <w:r>
              <w:rPr>
                <w:rFonts w:ascii="Times New Roman"/>
                <w:sz w:val="21"/>
              </w:rPr>
              <w:t>0.022</w:t>
            </w:r>
          </w:p>
        </w:tc>
        <w:tc>
          <w:tcPr>
            <w:tcW w:w="1186" w:type="dxa"/>
          </w:tcPr>
          <w:p>
            <w:pPr>
              <w:pStyle w:val="19"/>
              <w:spacing w:before="48"/>
              <w:ind w:left="356"/>
              <w:jc w:val="left"/>
              <w:rPr>
                <w:rFonts w:ascii="Times New Roman"/>
                <w:sz w:val="21"/>
              </w:rPr>
            </w:pPr>
            <w:r>
              <w:rPr>
                <w:rFonts w:ascii="Times New Roman"/>
                <w:sz w:val="21"/>
              </w:rPr>
              <w:t>0.037</w:t>
            </w:r>
          </w:p>
        </w:tc>
        <w:tc>
          <w:tcPr>
            <w:tcW w:w="1187" w:type="dxa"/>
          </w:tcPr>
          <w:p>
            <w:pPr>
              <w:pStyle w:val="19"/>
              <w:spacing w:before="48"/>
              <w:ind w:left="102" w:right="92"/>
              <w:rPr>
                <w:rFonts w:ascii="Times New Roman"/>
                <w:sz w:val="21"/>
              </w:rPr>
            </w:pPr>
            <w:r>
              <w:rPr>
                <w:rFonts w:ascii="Times New Roman"/>
                <w:sz w:val="21"/>
              </w:rPr>
              <w:t>0.050</w:t>
            </w:r>
          </w:p>
        </w:tc>
        <w:tc>
          <w:tcPr>
            <w:tcW w:w="1187" w:type="dxa"/>
          </w:tcPr>
          <w:p>
            <w:pPr>
              <w:pStyle w:val="19"/>
              <w:spacing w:before="48"/>
              <w:ind w:right="345"/>
              <w:jc w:val="right"/>
              <w:rPr>
                <w:rFonts w:ascii="Times New Roman"/>
                <w:sz w:val="21"/>
              </w:rPr>
            </w:pPr>
            <w:r>
              <w:rPr>
                <w:rFonts w:ascii="Times New Roman"/>
                <w:w w:val="95"/>
                <w:sz w:val="21"/>
              </w:rPr>
              <w:t>0.063</w:t>
            </w:r>
          </w:p>
        </w:tc>
        <w:tc>
          <w:tcPr>
            <w:tcW w:w="1187" w:type="dxa"/>
          </w:tcPr>
          <w:p>
            <w:pPr>
              <w:pStyle w:val="19"/>
              <w:spacing w:before="48"/>
              <w:ind w:right="344"/>
              <w:jc w:val="right"/>
              <w:rPr>
                <w:rFonts w:ascii="Times New Roman"/>
                <w:sz w:val="21"/>
              </w:rPr>
            </w:pPr>
            <w:r>
              <w:rPr>
                <w:rFonts w:ascii="Times New Roman"/>
                <w:sz w:val="21"/>
              </w:rPr>
              <w:t>0.074</w:t>
            </w:r>
          </w:p>
        </w:tc>
        <w:tc>
          <w:tcPr>
            <w:tcW w:w="1461" w:type="dxa"/>
          </w:tcPr>
          <w:p>
            <w:pPr>
              <w:pStyle w:val="19"/>
              <w:spacing w:before="48"/>
              <w:ind w:left="239" w:right="228"/>
              <w:rPr>
                <w:rFonts w:ascii="Times New Roman"/>
                <w:sz w:val="21"/>
              </w:rPr>
            </w:pPr>
            <w:r>
              <w:rPr>
                <w:rFonts w:ascii="Times New Roman"/>
                <w:sz w:val="21"/>
              </w:rPr>
              <w:t>0.085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5" w:type="dxa"/>
          </w:tcPr>
          <w:p>
            <w:pPr>
              <w:pStyle w:val="19"/>
              <w:spacing w:before="35"/>
              <w:ind w:left="106"/>
              <w:jc w:val="left"/>
              <w:rPr>
                <w:sz w:val="21"/>
              </w:rPr>
            </w:pPr>
            <w:r>
              <w:rPr>
                <w:rFonts w:ascii="Times New Roman" w:eastAsia="Times New Roman"/>
                <w:sz w:val="21"/>
              </w:rPr>
              <w:t>20</w:t>
            </w:r>
            <w:r>
              <w:rPr>
                <w:sz w:val="21"/>
              </w:rPr>
              <w:t>（</w:t>
            </w:r>
            <w:r>
              <w:rPr>
                <w:rFonts w:ascii="Times New Roman" w:eastAsia="Times New Roman"/>
                <w:sz w:val="21"/>
              </w:rPr>
              <w:t>km/h</w:t>
            </w:r>
            <w:r>
              <w:rPr>
                <w:sz w:val="21"/>
              </w:rPr>
              <w:t>）</w:t>
            </w:r>
          </w:p>
        </w:tc>
        <w:tc>
          <w:tcPr>
            <w:tcW w:w="1101" w:type="dxa"/>
          </w:tcPr>
          <w:p>
            <w:pPr>
              <w:pStyle w:val="19"/>
              <w:spacing w:before="49"/>
              <w:ind w:left="29" w:right="20"/>
              <w:rPr>
                <w:rFonts w:ascii="Times New Roman"/>
                <w:sz w:val="21"/>
              </w:rPr>
            </w:pPr>
            <w:r>
              <w:rPr>
                <w:rFonts w:ascii="Times New Roman"/>
                <w:sz w:val="21"/>
              </w:rPr>
              <w:t>0.030</w:t>
            </w:r>
          </w:p>
        </w:tc>
        <w:tc>
          <w:tcPr>
            <w:tcW w:w="1186" w:type="dxa"/>
          </w:tcPr>
          <w:p>
            <w:pPr>
              <w:pStyle w:val="19"/>
              <w:spacing w:before="49"/>
              <w:ind w:left="356"/>
              <w:jc w:val="left"/>
              <w:rPr>
                <w:rFonts w:ascii="Times New Roman"/>
                <w:sz w:val="21"/>
              </w:rPr>
            </w:pPr>
            <w:r>
              <w:rPr>
                <w:rFonts w:ascii="Times New Roman"/>
                <w:sz w:val="21"/>
              </w:rPr>
              <w:t>0.049</w:t>
            </w:r>
          </w:p>
        </w:tc>
        <w:tc>
          <w:tcPr>
            <w:tcW w:w="1187" w:type="dxa"/>
          </w:tcPr>
          <w:p>
            <w:pPr>
              <w:pStyle w:val="19"/>
              <w:spacing w:before="49"/>
              <w:ind w:left="102" w:right="92"/>
              <w:rPr>
                <w:rFonts w:ascii="Times New Roman"/>
                <w:sz w:val="21"/>
              </w:rPr>
            </w:pPr>
            <w:r>
              <w:rPr>
                <w:rFonts w:ascii="Times New Roman"/>
                <w:sz w:val="21"/>
              </w:rPr>
              <w:t>0.050</w:t>
            </w:r>
          </w:p>
        </w:tc>
        <w:tc>
          <w:tcPr>
            <w:tcW w:w="1187" w:type="dxa"/>
          </w:tcPr>
          <w:p>
            <w:pPr>
              <w:pStyle w:val="19"/>
              <w:spacing w:before="49"/>
              <w:ind w:right="345"/>
              <w:jc w:val="right"/>
              <w:rPr>
                <w:rFonts w:ascii="Times New Roman"/>
                <w:sz w:val="21"/>
              </w:rPr>
            </w:pPr>
            <w:r>
              <w:rPr>
                <w:rFonts w:ascii="Times New Roman"/>
                <w:w w:val="95"/>
                <w:sz w:val="21"/>
              </w:rPr>
              <w:t>0.084</w:t>
            </w:r>
          </w:p>
        </w:tc>
        <w:tc>
          <w:tcPr>
            <w:tcW w:w="1187" w:type="dxa"/>
          </w:tcPr>
          <w:p>
            <w:pPr>
              <w:pStyle w:val="19"/>
              <w:spacing w:before="49"/>
              <w:ind w:right="344"/>
              <w:jc w:val="right"/>
              <w:rPr>
                <w:rFonts w:ascii="Times New Roman"/>
                <w:sz w:val="21"/>
              </w:rPr>
            </w:pPr>
            <w:r>
              <w:rPr>
                <w:rFonts w:ascii="Times New Roman"/>
                <w:sz w:val="21"/>
              </w:rPr>
              <w:t>0.098</w:t>
            </w:r>
          </w:p>
        </w:tc>
        <w:tc>
          <w:tcPr>
            <w:tcW w:w="1461" w:type="dxa"/>
          </w:tcPr>
          <w:p>
            <w:pPr>
              <w:pStyle w:val="19"/>
              <w:spacing w:before="49"/>
              <w:ind w:left="239" w:right="226"/>
              <w:rPr>
                <w:rFonts w:ascii="Times New Roman"/>
                <w:sz w:val="21"/>
              </w:rPr>
            </w:pPr>
            <w:r>
              <w:rPr>
                <w:rFonts w:ascii="Times New Roman"/>
                <w:sz w:val="21"/>
              </w:rPr>
              <w:t>0.11</w:t>
            </w:r>
          </w:p>
        </w:tc>
      </w:tr>
    </w:tbl>
    <w:p>
      <w:pPr>
        <w:pStyle w:val="7"/>
        <w:spacing w:before="1"/>
        <w:ind w:left="0"/>
        <w:rPr>
          <w:rFonts w:ascii="Times New Roman"/>
          <w:b/>
        </w:rPr>
      </w:pPr>
    </w:p>
    <w:p>
      <w:pPr>
        <w:pStyle w:val="7"/>
        <w:spacing w:line="350" w:lineRule="auto"/>
        <w:ind w:right="577" w:firstLine="480"/>
        <w:jc w:val="both"/>
      </w:pPr>
      <w:r>
        <w:rPr>
          <w:spacing w:val="-20"/>
        </w:rPr>
        <w:t>由表</w:t>
      </w:r>
      <w:r>
        <w:rPr>
          <w:rFonts w:ascii="Times New Roman" w:eastAsia="Times New Roman"/>
        </w:rPr>
        <w:t>3.2-2</w:t>
      </w:r>
      <w:r>
        <w:rPr>
          <w:spacing w:val="-1"/>
        </w:rPr>
        <w:t>可知，通过相同长度的路面，在同样路面清洁程度状况下，车辆</w:t>
      </w:r>
      <w:r>
        <w:rPr>
          <w:spacing w:val="-10"/>
        </w:rPr>
        <w:t>速度越快，扬尘量越大，而在同样车速情况下，路面越脏，扬尘量越大。本项目</w:t>
      </w:r>
      <w:r>
        <w:rPr>
          <w:spacing w:val="-4"/>
        </w:rPr>
        <w:t>主要大气环境敏感点在项目区西侧</w:t>
      </w:r>
      <w:r>
        <w:rPr>
          <w:rFonts w:ascii="Times New Roman" w:eastAsia="Times New Roman"/>
        </w:rPr>
        <w:t>2.5km</w:t>
      </w:r>
      <w:r>
        <w:rPr>
          <w:spacing w:val="-12"/>
        </w:rPr>
        <w:t>以外，车辆引起的路面扬尘主要影响区</w:t>
      </w:r>
      <w:r>
        <w:t>域在施工区以及运输途径路面。</w:t>
      </w:r>
    </w:p>
    <w:p>
      <w:pPr>
        <w:pStyle w:val="18"/>
        <w:numPr>
          <w:ilvl w:val="4"/>
          <w:numId w:val="31"/>
        </w:numPr>
        <w:tabs>
          <w:tab w:val="left" w:pos="1621"/>
        </w:tabs>
        <w:spacing w:before="4" w:after="0" w:line="240" w:lineRule="auto"/>
        <w:ind w:left="1621" w:right="0" w:hanging="601"/>
        <w:jc w:val="left"/>
        <w:rPr>
          <w:sz w:val="24"/>
        </w:rPr>
      </w:pPr>
      <w:r>
        <w:rPr>
          <w:sz w:val="24"/>
        </w:rPr>
        <w:t>燃油机械及机动车废气</w:t>
      </w:r>
    </w:p>
    <w:p>
      <w:pPr>
        <w:pStyle w:val="7"/>
        <w:spacing w:before="144" w:line="350" w:lineRule="auto"/>
        <w:ind w:right="575" w:firstLine="480"/>
        <w:jc w:val="both"/>
      </w:pPr>
      <w:r>
        <w:rPr>
          <w:spacing w:val="2"/>
        </w:rPr>
        <w:t>施工燃油机械及机动车废气主要是施工现场施工机械和运输车辆因内燃机</w:t>
      </w:r>
      <w:r>
        <w:rPr>
          <w:spacing w:val="-7"/>
        </w:rPr>
        <w:t>燃烧排放的尾气，集中在土石方挖掘、场地平整和建筑物结构施工阶段，主要污</w:t>
      </w:r>
      <w:r>
        <w:rPr>
          <w:spacing w:val="-16"/>
          <w:position w:val="2"/>
        </w:rPr>
        <w:t>染物是</w:t>
      </w:r>
      <w:r>
        <w:rPr>
          <w:rFonts w:ascii="Times New Roman" w:eastAsia="Times New Roman"/>
          <w:position w:val="2"/>
        </w:rPr>
        <w:t>NO</w:t>
      </w:r>
      <w:r>
        <w:rPr>
          <w:rFonts w:ascii="Times New Roman" w:eastAsia="Times New Roman"/>
          <w:position w:val="2"/>
          <w:vertAlign w:val="subscript"/>
        </w:rPr>
        <w:t>x</w:t>
      </w:r>
      <w:r>
        <w:rPr>
          <w:spacing w:val="-12"/>
          <w:position w:val="2"/>
          <w:vertAlign w:val="baseline"/>
        </w:rPr>
        <w:t>、</w:t>
      </w:r>
      <w:r>
        <w:rPr>
          <w:rFonts w:ascii="Times New Roman" w:eastAsia="Times New Roman"/>
          <w:position w:val="2"/>
          <w:vertAlign w:val="baseline"/>
        </w:rPr>
        <w:t>CO</w:t>
      </w:r>
      <w:r>
        <w:rPr>
          <w:spacing w:val="-10"/>
          <w:position w:val="2"/>
          <w:vertAlign w:val="baseline"/>
        </w:rPr>
        <w:t>、</w:t>
      </w:r>
      <w:r>
        <w:rPr>
          <w:rFonts w:ascii="Times New Roman" w:eastAsia="Times New Roman"/>
          <w:position w:val="2"/>
          <w:vertAlign w:val="baseline"/>
        </w:rPr>
        <w:t>HC</w:t>
      </w:r>
      <w:r>
        <w:rPr>
          <w:spacing w:val="-5"/>
          <w:position w:val="2"/>
          <w:vertAlign w:val="baseline"/>
        </w:rPr>
        <w:t>。虽然尾气污染源在整个施工期一直存在，其源强大小取</w:t>
      </w:r>
      <w:r>
        <w:rPr>
          <w:spacing w:val="-6"/>
          <w:vertAlign w:val="baseline"/>
        </w:rPr>
        <w:t>决于施工机械维护保养和作业机械的数量及密度。但一般情况下，由于施工机械</w:t>
      </w:r>
      <w:r>
        <w:rPr>
          <w:spacing w:val="-11"/>
          <w:vertAlign w:val="baseline"/>
        </w:rPr>
        <w:t>作业的流动性、阶段性和间断性的特点，施工场地平均单位时间排放的尾气污染</w:t>
      </w:r>
      <w:r>
        <w:t>物总量并不大。</w:t>
      </w:r>
    </w:p>
    <w:p>
      <w:pPr>
        <w:pStyle w:val="18"/>
        <w:numPr>
          <w:ilvl w:val="3"/>
          <w:numId w:val="31"/>
        </w:numPr>
        <w:tabs>
          <w:tab w:val="left" w:pos="1320"/>
        </w:tabs>
        <w:spacing w:before="110" w:after="0" w:line="240" w:lineRule="auto"/>
        <w:ind w:left="1320" w:right="0" w:hanging="780"/>
        <w:jc w:val="left"/>
        <w:rPr>
          <w:sz w:val="24"/>
        </w:rPr>
      </w:pPr>
      <w:bookmarkStart w:id="175" w:name="3.2.2.2 废水"/>
      <w:bookmarkEnd w:id="175"/>
      <w:bookmarkStart w:id="176" w:name="3.2.2.2 废水"/>
      <w:bookmarkEnd w:id="176"/>
      <w:r>
        <w:rPr>
          <w:sz w:val="24"/>
        </w:rPr>
        <w:t>废水</w:t>
      </w:r>
    </w:p>
    <w:p>
      <w:pPr>
        <w:pStyle w:val="7"/>
        <w:spacing w:before="209"/>
        <w:ind w:left="1020"/>
      </w:pPr>
      <w:r>
        <w:t>本项目施工期排放废水主要是施工废水和施工人员的日常生活废水。</w:t>
      </w:r>
    </w:p>
    <w:p>
      <w:pPr>
        <w:pStyle w:val="18"/>
        <w:numPr>
          <w:ilvl w:val="0"/>
          <w:numId w:val="32"/>
        </w:numPr>
        <w:tabs>
          <w:tab w:val="left" w:pos="1621"/>
        </w:tabs>
        <w:spacing w:before="141" w:after="0" w:line="240" w:lineRule="auto"/>
        <w:ind w:left="1621" w:right="0" w:hanging="601"/>
        <w:jc w:val="left"/>
        <w:rPr>
          <w:sz w:val="24"/>
        </w:rPr>
      </w:pPr>
      <w:r>
        <w:rPr>
          <w:sz w:val="24"/>
        </w:rPr>
        <w:t>施工废水</w:t>
      </w:r>
    </w:p>
    <w:p>
      <w:pPr>
        <w:pStyle w:val="7"/>
        <w:spacing w:before="144" w:line="350" w:lineRule="auto"/>
        <w:ind w:right="577" w:firstLine="480"/>
        <w:jc w:val="both"/>
      </w:pPr>
      <w:r>
        <w:rPr>
          <w:spacing w:val="-8"/>
        </w:rPr>
        <w:t>施工废水主要包括混凝土废水、泥浆废水、混凝土保养时排放的废水以及机</w:t>
      </w:r>
      <w:r>
        <w:rPr>
          <w:spacing w:val="-2"/>
        </w:rPr>
        <w:t>械和车辆冲洗废水，主要污染因子为</w:t>
      </w:r>
      <w:r>
        <w:rPr>
          <w:rFonts w:ascii="Times New Roman" w:eastAsia="Times New Roman"/>
        </w:rPr>
        <w:t>SS</w:t>
      </w:r>
      <w:r>
        <w:t>，含一定量的泥沙、少量水泥和油污，</w:t>
      </w:r>
      <w:r>
        <w:rPr>
          <w:spacing w:val="-7"/>
        </w:rPr>
        <w:t>随工程进度不同产生情况不同，也与操作人员的经验、素质等因素有关，产生量</w:t>
      </w:r>
      <w:r>
        <w:rPr>
          <w:spacing w:val="-9"/>
        </w:rPr>
        <w:t>与排放量较难估算，在施工现场设置简易沉淀池沉淀后回用于生产，项目产生的</w:t>
      </w:r>
      <w:r>
        <w:t>施工废水均不外排。</w:t>
      </w:r>
    </w:p>
    <w:p>
      <w:pPr>
        <w:pStyle w:val="18"/>
        <w:numPr>
          <w:ilvl w:val="0"/>
          <w:numId w:val="32"/>
        </w:numPr>
        <w:tabs>
          <w:tab w:val="left" w:pos="1621"/>
        </w:tabs>
        <w:spacing w:before="4" w:after="0" w:line="240" w:lineRule="auto"/>
        <w:ind w:left="1621" w:right="0" w:hanging="601"/>
        <w:jc w:val="left"/>
        <w:rPr>
          <w:sz w:val="24"/>
        </w:rPr>
      </w:pPr>
      <w:r>
        <w:rPr>
          <w:sz w:val="24"/>
        </w:rPr>
        <w:t>生活污水</w:t>
      </w:r>
    </w:p>
    <w:p>
      <w:pPr>
        <w:pStyle w:val="7"/>
        <w:spacing w:before="144" w:line="350" w:lineRule="auto"/>
        <w:ind w:right="457" w:firstLine="480"/>
      </w:pPr>
      <w:r>
        <w:rPr>
          <w:spacing w:val="-6"/>
        </w:rPr>
        <w:t>本项目施工期施工人员约</w:t>
      </w:r>
      <w:r>
        <w:rPr>
          <w:rFonts w:ascii="Times New Roman" w:eastAsia="Times New Roman"/>
        </w:rPr>
        <w:t>120</w:t>
      </w:r>
      <w:r>
        <w:rPr>
          <w:spacing w:val="-16"/>
        </w:rPr>
        <w:t>人，均为附近村镇居民，均不在项目区内食宿，</w:t>
      </w:r>
      <w:r>
        <w:t>施工场地内不设置施工营地，无生活污水产生，施工场地设置临时环保厕所。</w:t>
      </w:r>
    </w:p>
    <w:p>
      <w:pPr>
        <w:pStyle w:val="18"/>
        <w:numPr>
          <w:ilvl w:val="3"/>
          <w:numId w:val="31"/>
        </w:numPr>
        <w:tabs>
          <w:tab w:val="left" w:pos="1320"/>
        </w:tabs>
        <w:spacing w:before="0" w:after="0" w:line="276" w:lineRule="exact"/>
        <w:ind w:left="1320" w:right="0" w:hanging="780"/>
        <w:jc w:val="left"/>
        <w:rPr>
          <w:sz w:val="24"/>
        </w:rPr>
      </w:pPr>
      <w:bookmarkStart w:id="177" w:name="3.2.2.3 噪声"/>
      <w:bookmarkEnd w:id="177"/>
      <w:bookmarkStart w:id="178" w:name="3.2.2.3 噪声"/>
      <w:bookmarkEnd w:id="178"/>
      <w:r>
        <w:rPr>
          <w:sz w:val="24"/>
        </w:rPr>
        <w:t>噪声</w:t>
      </w:r>
    </w:p>
    <w:p>
      <w:pPr>
        <w:pStyle w:val="7"/>
        <w:spacing w:before="208" w:line="350" w:lineRule="auto"/>
        <w:ind w:right="457" w:firstLine="480"/>
      </w:pPr>
      <w:r>
        <w:rPr>
          <w:spacing w:val="-4"/>
        </w:rPr>
        <w:t>本项目施工噪声主要来源于施工中各类施工机械和运输车辆，施工机械和运</w:t>
      </w:r>
      <w:r>
        <w:rPr>
          <w:spacing w:val="-8"/>
        </w:rPr>
        <w:t>输车辆的单体声功率级一般均在</w:t>
      </w:r>
      <w:r>
        <w:rPr>
          <w:rFonts w:ascii="Times New Roman" w:eastAsia="Times New Roman"/>
        </w:rPr>
        <w:t>100dB</w:t>
      </w:r>
      <w:r>
        <w:t>（</w:t>
      </w:r>
      <w:r>
        <w:rPr>
          <w:rFonts w:ascii="Times New Roman" w:eastAsia="Times New Roman"/>
        </w:rPr>
        <w:t>A</w:t>
      </w:r>
      <w:r>
        <w:t>）以上，其中声级最大的是打桩机，</w:t>
      </w:r>
      <w:r>
        <w:rPr>
          <w:spacing w:val="-10"/>
        </w:rPr>
        <w:t>声级可达到</w:t>
      </w:r>
      <w:r>
        <w:rPr>
          <w:rFonts w:ascii="Times New Roman" w:eastAsia="Times New Roman"/>
          <w:spacing w:val="-7"/>
        </w:rPr>
        <w:t>120dB</w:t>
      </w:r>
      <w:r>
        <w:rPr>
          <w:spacing w:val="-14"/>
        </w:rPr>
        <w:t>，施工机械主要有推土机、挖掘机、打桩机、装载机、振捣棒、</w:t>
      </w:r>
      <w:r>
        <w:rPr>
          <w:spacing w:val="-6"/>
        </w:rPr>
        <w:t>电锯等，声功率级见表</w:t>
      </w:r>
      <w:r>
        <w:rPr>
          <w:rFonts w:ascii="Times New Roman" w:eastAsia="Times New Roman"/>
        </w:rPr>
        <w:t>3.2-3</w:t>
      </w:r>
      <w:r>
        <w:t>。</w:t>
      </w:r>
    </w:p>
    <w:p>
      <w:pPr>
        <w:pStyle w:val="7"/>
        <w:bidi w:val="0"/>
        <w:jc w:val="center"/>
      </w:pPr>
      <w:bookmarkStart w:id="179" w:name="3.2.3 运营期污染源分析"/>
      <w:bookmarkEnd w:id="179"/>
      <w:bookmarkStart w:id="180" w:name="3.2.3 运营期污染源分析"/>
      <w:bookmarkEnd w:id="180"/>
      <w:r>
        <w:t>表</w:t>
      </w:r>
      <w:r>
        <w:rPr>
          <w:rFonts w:ascii="Times New Roman" w:eastAsia="Times New Roman"/>
        </w:rPr>
        <w:t>3.2-3</w:t>
      </w:r>
      <w:r>
        <w:rPr>
          <w:rFonts w:ascii="Times New Roman" w:eastAsia="Times New Roman"/>
        </w:rPr>
        <w:tab/>
      </w:r>
      <w:r>
        <w:t>施工机械声功率级一览表</w:t>
      </w:r>
      <w:r>
        <w:tab/>
      </w:r>
      <w:r>
        <w:t>单位：</w:t>
      </w:r>
      <w:r>
        <w:rPr>
          <w:rFonts w:ascii="Times New Roman" w:eastAsia="Times New Roman"/>
        </w:rPr>
        <w:t>dB</w:t>
      </w:r>
      <w:r>
        <w:t>（</w:t>
      </w:r>
      <w:r>
        <w:rPr>
          <w:rFonts w:ascii="Times New Roman" w:eastAsia="Times New Roman"/>
        </w:rPr>
        <w:t>A</w:t>
      </w:r>
      <w:r>
        <w:t>）</w:t>
      </w:r>
    </w:p>
    <w:tbl>
      <w:tblPr>
        <w:tblStyle w:val="15"/>
        <w:tblW w:w="0" w:type="auto"/>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2032"/>
        <w:gridCol w:w="2591"/>
        <w:gridCol w:w="2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985" w:type="dxa"/>
          </w:tcPr>
          <w:p>
            <w:pPr>
              <w:pStyle w:val="19"/>
              <w:spacing w:before="29"/>
              <w:ind w:left="259" w:right="253"/>
              <w:rPr>
                <w:b/>
                <w:sz w:val="21"/>
              </w:rPr>
            </w:pPr>
            <w:r>
              <w:rPr>
                <w:b/>
                <w:sz w:val="21"/>
              </w:rPr>
              <w:t>序号</w:t>
            </w:r>
          </w:p>
        </w:tc>
        <w:tc>
          <w:tcPr>
            <w:tcW w:w="2032" w:type="dxa"/>
          </w:tcPr>
          <w:p>
            <w:pPr>
              <w:pStyle w:val="19"/>
              <w:spacing w:before="29"/>
              <w:ind w:left="596"/>
              <w:jc w:val="left"/>
              <w:rPr>
                <w:b/>
                <w:sz w:val="21"/>
              </w:rPr>
            </w:pPr>
            <w:r>
              <w:rPr>
                <w:b/>
                <w:sz w:val="21"/>
              </w:rPr>
              <w:t>施工阶段</w:t>
            </w:r>
          </w:p>
        </w:tc>
        <w:tc>
          <w:tcPr>
            <w:tcW w:w="2591" w:type="dxa"/>
          </w:tcPr>
          <w:p>
            <w:pPr>
              <w:pStyle w:val="19"/>
              <w:spacing w:before="29"/>
              <w:ind w:left="749" w:right="736"/>
              <w:rPr>
                <w:b/>
                <w:sz w:val="21"/>
              </w:rPr>
            </w:pPr>
            <w:r>
              <w:rPr>
                <w:b/>
                <w:sz w:val="21"/>
              </w:rPr>
              <w:t>机械名称</w:t>
            </w:r>
          </w:p>
        </w:tc>
        <w:tc>
          <w:tcPr>
            <w:tcW w:w="2755" w:type="dxa"/>
          </w:tcPr>
          <w:p>
            <w:pPr>
              <w:pStyle w:val="19"/>
              <w:spacing w:before="29"/>
              <w:ind w:left="111" w:right="-15"/>
              <w:jc w:val="left"/>
              <w:rPr>
                <w:b/>
                <w:sz w:val="21"/>
              </w:rPr>
            </w:pPr>
            <w:r>
              <w:rPr>
                <w:b/>
                <w:spacing w:val="-1"/>
                <w:sz w:val="21"/>
              </w:rPr>
              <w:t>最大声功率级</w:t>
            </w:r>
            <w:r>
              <w:rPr>
                <w:b/>
                <w:sz w:val="21"/>
              </w:rPr>
              <w:t>（</w:t>
            </w:r>
            <w:r>
              <w:rPr>
                <w:b/>
                <w:spacing w:val="-15"/>
                <w:sz w:val="21"/>
              </w:rPr>
              <w:t>距声源</w:t>
            </w:r>
            <w:r>
              <w:rPr>
                <w:rFonts w:ascii="Times New Roman" w:eastAsia="Times New Roman"/>
                <w:b/>
                <w:spacing w:val="-4"/>
                <w:sz w:val="21"/>
              </w:rPr>
              <w:t>1m</w:t>
            </w:r>
            <w:r>
              <w:rPr>
                <w:b/>
                <w:spacing w:val="-4"/>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9"/>
              <w:spacing w:before="44"/>
              <w:ind w:left="7"/>
              <w:rPr>
                <w:rFonts w:ascii="Times New Roman"/>
                <w:sz w:val="21"/>
              </w:rPr>
            </w:pPr>
            <w:r>
              <w:rPr>
                <w:rFonts w:ascii="Times New Roman"/>
                <w:w w:val="99"/>
                <w:sz w:val="21"/>
              </w:rPr>
              <w:t>1</w:t>
            </w:r>
          </w:p>
        </w:tc>
        <w:tc>
          <w:tcPr>
            <w:tcW w:w="2032" w:type="dxa"/>
            <w:vMerge w:val="restart"/>
          </w:tcPr>
          <w:p>
            <w:pPr>
              <w:pStyle w:val="19"/>
              <w:jc w:val="left"/>
              <w:rPr>
                <w:b/>
                <w:sz w:val="20"/>
              </w:rPr>
            </w:pPr>
          </w:p>
          <w:p>
            <w:pPr>
              <w:pStyle w:val="19"/>
              <w:spacing w:before="1"/>
              <w:jc w:val="left"/>
              <w:rPr>
                <w:b/>
                <w:sz w:val="22"/>
              </w:rPr>
            </w:pPr>
          </w:p>
          <w:p>
            <w:pPr>
              <w:pStyle w:val="19"/>
              <w:ind w:left="596"/>
              <w:jc w:val="left"/>
              <w:rPr>
                <w:sz w:val="21"/>
              </w:rPr>
            </w:pPr>
            <w:r>
              <w:rPr>
                <w:sz w:val="21"/>
              </w:rPr>
              <w:t>土方阶段</w:t>
            </w:r>
          </w:p>
        </w:tc>
        <w:tc>
          <w:tcPr>
            <w:tcW w:w="2591" w:type="dxa"/>
          </w:tcPr>
          <w:p>
            <w:pPr>
              <w:pStyle w:val="19"/>
              <w:spacing w:before="30"/>
              <w:ind w:left="746" w:right="741"/>
              <w:rPr>
                <w:sz w:val="21"/>
              </w:rPr>
            </w:pPr>
            <w:r>
              <w:rPr>
                <w:sz w:val="21"/>
              </w:rPr>
              <w:t>推土机</w:t>
            </w:r>
          </w:p>
        </w:tc>
        <w:tc>
          <w:tcPr>
            <w:tcW w:w="2755" w:type="dxa"/>
          </w:tcPr>
          <w:p>
            <w:pPr>
              <w:pStyle w:val="19"/>
              <w:spacing w:before="44"/>
              <w:ind w:left="1200" w:right="1187"/>
              <w:rPr>
                <w:rFonts w:ascii="Times New Roman"/>
                <w:sz w:val="21"/>
              </w:rPr>
            </w:pPr>
            <w:r>
              <w:rPr>
                <w:rFonts w:ascii="Times New Roman"/>
                <w:sz w:val="21"/>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9"/>
              <w:spacing w:before="43"/>
              <w:ind w:left="7"/>
              <w:rPr>
                <w:rFonts w:ascii="Times New Roman"/>
                <w:sz w:val="21"/>
              </w:rPr>
            </w:pPr>
            <w:r>
              <w:rPr>
                <w:rFonts w:ascii="Times New Roman"/>
                <w:w w:val="99"/>
                <w:sz w:val="21"/>
              </w:rPr>
              <w:t>2</w:t>
            </w:r>
          </w:p>
        </w:tc>
        <w:tc>
          <w:tcPr>
            <w:tcW w:w="2032" w:type="dxa"/>
            <w:vMerge w:val="continue"/>
            <w:tcBorders>
              <w:top w:val="nil"/>
            </w:tcBorders>
          </w:tcPr>
          <w:p>
            <w:pPr>
              <w:rPr>
                <w:sz w:val="2"/>
                <w:szCs w:val="2"/>
              </w:rPr>
            </w:pPr>
          </w:p>
        </w:tc>
        <w:tc>
          <w:tcPr>
            <w:tcW w:w="2591" w:type="dxa"/>
          </w:tcPr>
          <w:p>
            <w:pPr>
              <w:pStyle w:val="19"/>
              <w:spacing w:before="29"/>
              <w:ind w:left="746" w:right="741"/>
              <w:rPr>
                <w:sz w:val="21"/>
              </w:rPr>
            </w:pPr>
            <w:r>
              <w:rPr>
                <w:sz w:val="21"/>
              </w:rPr>
              <w:t>装载机</w:t>
            </w:r>
          </w:p>
        </w:tc>
        <w:tc>
          <w:tcPr>
            <w:tcW w:w="2755" w:type="dxa"/>
          </w:tcPr>
          <w:p>
            <w:pPr>
              <w:pStyle w:val="19"/>
              <w:spacing w:before="43"/>
              <w:ind w:left="1198" w:right="1188"/>
              <w:rPr>
                <w:rFonts w:ascii="Times New Roman"/>
                <w:sz w:val="21"/>
              </w:rPr>
            </w:pPr>
            <w:r>
              <w:rPr>
                <w:rFonts w:ascii="Times New Roman"/>
                <w:sz w:val="21"/>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985" w:type="dxa"/>
          </w:tcPr>
          <w:p>
            <w:pPr>
              <w:pStyle w:val="19"/>
              <w:spacing w:before="43"/>
              <w:ind w:left="7"/>
              <w:rPr>
                <w:rFonts w:ascii="Times New Roman"/>
                <w:sz w:val="21"/>
              </w:rPr>
            </w:pPr>
            <w:r>
              <w:rPr>
                <w:rFonts w:ascii="Times New Roman"/>
                <w:w w:val="99"/>
                <w:sz w:val="21"/>
              </w:rPr>
              <w:t>3</w:t>
            </w:r>
          </w:p>
        </w:tc>
        <w:tc>
          <w:tcPr>
            <w:tcW w:w="2032" w:type="dxa"/>
            <w:vMerge w:val="continue"/>
            <w:tcBorders>
              <w:top w:val="nil"/>
            </w:tcBorders>
          </w:tcPr>
          <w:p>
            <w:pPr>
              <w:rPr>
                <w:sz w:val="2"/>
                <w:szCs w:val="2"/>
              </w:rPr>
            </w:pPr>
          </w:p>
        </w:tc>
        <w:tc>
          <w:tcPr>
            <w:tcW w:w="2591" w:type="dxa"/>
          </w:tcPr>
          <w:p>
            <w:pPr>
              <w:pStyle w:val="19"/>
              <w:spacing w:before="29"/>
              <w:ind w:left="746" w:right="741"/>
              <w:rPr>
                <w:sz w:val="21"/>
              </w:rPr>
            </w:pPr>
            <w:r>
              <w:rPr>
                <w:sz w:val="21"/>
              </w:rPr>
              <w:t>挖掘机</w:t>
            </w:r>
          </w:p>
        </w:tc>
        <w:tc>
          <w:tcPr>
            <w:tcW w:w="2755" w:type="dxa"/>
          </w:tcPr>
          <w:p>
            <w:pPr>
              <w:pStyle w:val="19"/>
              <w:spacing w:before="43"/>
              <w:ind w:left="1198" w:right="1188"/>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9"/>
              <w:spacing w:before="44"/>
              <w:ind w:left="7"/>
              <w:rPr>
                <w:rFonts w:ascii="Times New Roman"/>
                <w:sz w:val="21"/>
              </w:rPr>
            </w:pPr>
            <w:r>
              <w:rPr>
                <w:rFonts w:ascii="Times New Roman"/>
                <w:w w:val="99"/>
                <w:sz w:val="21"/>
              </w:rPr>
              <w:t>4</w:t>
            </w:r>
          </w:p>
        </w:tc>
        <w:tc>
          <w:tcPr>
            <w:tcW w:w="2032" w:type="dxa"/>
            <w:vMerge w:val="continue"/>
            <w:tcBorders>
              <w:top w:val="nil"/>
            </w:tcBorders>
          </w:tcPr>
          <w:p>
            <w:pPr>
              <w:rPr>
                <w:sz w:val="2"/>
                <w:szCs w:val="2"/>
              </w:rPr>
            </w:pPr>
          </w:p>
        </w:tc>
        <w:tc>
          <w:tcPr>
            <w:tcW w:w="2591" w:type="dxa"/>
          </w:tcPr>
          <w:p>
            <w:pPr>
              <w:pStyle w:val="19"/>
              <w:spacing w:before="30"/>
              <w:ind w:left="749" w:right="741"/>
              <w:rPr>
                <w:sz w:val="21"/>
              </w:rPr>
            </w:pPr>
            <w:r>
              <w:rPr>
                <w:sz w:val="21"/>
              </w:rPr>
              <w:t>自卸卡车</w:t>
            </w:r>
          </w:p>
        </w:tc>
        <w:tc>
          <w:tcPr>
            <w:tcW w:w="2755" w:type="dxa"/>
          </w:tcPr>
          <w:p>
            <w:pPr>
              <w:pStyle w:val="19"/>
              <w:spacing w:before="44"/>
              <w:ind w:left="1198" w:right="1188"/>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9"/>
              <w:spacing w:before="43"/>
              <w:ind w:left="7"/>
              <w:rPr>
                <w:rFonts w:ascii="Times New Roman"/>
                <w:sz w:val="21"/>
              </w:rPr>
            </w:pPr>
            <w:r>
              <w:rPr>
                <w:rFonts w:ascii="Times New Roman"/>
                <w:w w:val="99"/>
                <w:sz w:val="21"/>
              </w:rPr>
              <w:t>5</w:t>
            </w:r>
          </w:p>
        </w:tc>
        <w:tc>
          <w:tcPr>
            <w:tcW w:w="2032" w:type="dxa"/>
            <w:vMerge w:val="restart"/>
          </w:tcPr>
          <w:p>
            <w:pPr>
              <w:pStyle w:val="19"/>
              <w:spacing w:before="7"/>
              <w:jc w:val="left"/>
              <w:rPr>
                <w:b/>
                <w:sz w:val="15"/>
              </w:rPr>
            </w:pPr>
          </w:p>
          <w:p>
            <w:pPr>
              <w:pStyle w:val="19"/>
              <w:ind w:left="385"/>
              <w:jc w:val="left"/>
              <w:rPr>
                <w:sz w:val="21"/>
              </w:rPr>
            </w:pPr>
            <w:r>
              <w:rPr>
                <w:sz w:val="21"/>
              </w:rPr>
              <w:t>基础施工阶段</w:t>
            </w:r>
          </w:p>
        </w:tc>
        <w:tc>
          <w:tcPr>
            <w:tcW w:w="2591" w:type="dxa"/>
          </w:tcPr>
          <w:p>
            <w:pPr>
              <w:pStyle w:val="19"/>
              <w:spacing w:before="29"/>
              <w:ind w:left="746" w:right="741"/>
              <w:rPr>
                <w:sz w:val="21"/>
              </w:rPr>
            </w:pPr>
            <w:r>
              <w:rPr>
                <w:sz w:val="21"/>
              </w:rPr>
              <w:t>打桩机</w:t>
            </w:r>
          </w:p>
        </w:tc>
        <w:tc>
          <w:tcPr>
            <w:tcW w:w="2755" w:type="dxa"/>
          </w:tcPr>
          <w:p>
            <w:pPr>
              <w:pStyle w:val="19"/>
              <w:spacing w:before="43"/>
              <w:ind w:left="1198" w:right="1188"/>
              <w:rPr>
                <w:rFonts w:ascii="Times New Roman"/>
                <w:sz w:val="21"/>
              </w:rPr>
            </w:pPr>
            <w:r>
              <w:rPr>
                <w:rFonts w:ascii="Times New Roman"/>
                <w:sz w:val="21"/>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9"/>
              <w:spacing w:before="43"/>
              <w:ind w:left="7"/>
              <w:rPr>
                <w:rFonts w:ascii="Times New Roman"/>
                <w:sz w:val="21"/>
              </w:rPr>
            </w:pPr>
            <w:r>
              <w:rPr>
                <w:rFonts w:ascii="Times New Roman"/>
                <w:w w:val="99"/>
                <w:sz w:val="21"/>
              </w:rPr>
              <w:t>6</w:t>
            </w:r>
          </w:p>
        </w:tc>
        <w:tc>
          <w:tcPr>
            <w:tcW w:w="2032" w:type="dxa"/>
            <w:vMerge w:val="continue"/>
            <w:tcBorders>
              <w:top w:val="nil"/>
            </w:tcBorders>
          </w:tcPr>
          <w:p>
            <w:pPr>
              <w:rPr>
                <w:sz w:val="2"/>
                <w:szCs w:val="2"/>
              </w:rPr>
            </w:pPr>
          </w:p>
        </w:tc>
        <w:tc>
          <w:tcPr>
            <w:tcW w:w="2591" w:type="dxa"/>
          </w:tcPr>
          <w:p>
            <w:pPr>
              <w:pStyle w:val="19"/>
              <w:spacing w:before="30"/>
              <w:ind w:left="746" w:right="741"/>
              <w:rPr>
                <w:sz w:val="21"/>
              </w:rPr>
            </w:pPr>
            <w:r>
              <w:rPr>
                <w:sz w:val="21"/>
              </w:rPr>
              <w:t>空压机</w:t>
            </w:r>
          </w:p>
        </w:tc>
        <w:tc>
          <w:tcPr>
            <w:tcW w:w="2755" w:type="dxa"/>
          </w:tcPr>
          <w:p>
            <w:pPr>
              <w:pStyle w:val="19"/>
              <w:spacing w:before="43"/>
              <w:ind w:left="1200" w:right="1187"/>
              <w:rPr>
                <w:rFonts w:ascii="Times New Roman"/>
                <w:sz w:val="21"/>
              </w:rPr>
            </w:pPr>
            <w:r>
              <w:rPr>
                <w:rFonts w:ascii="Times New Roman"/>
                <w:sz w:val="21"/>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9"/>
              <w:spacing w:before="44"/>
              <w:ind w:left="7"/>
              <w:rPr>
                <w:rFonts w:ascii="Times New Roman"/>
                <w:sz w:val="21"/>
              </w:rPr>
            </w:pPr>
            <w:r>
              <w:rPr>
                <w:rFonts w:ascii="Times New Roman"/>
                <w:w w:val="99"/>
                <w:sz w:val="21"/>
              </w:rPr>
              <w:t>7</w:t>
            </w:r>
          </w:p>
        </w:tc>
        <w:tc>
          <w:tcPr>
            <w:tcW w:w="2032" w:type="dxa"/>
            <w:vMerge w:val="restart"/>
          </w:tcPr>
          <w:p>
            <w:pPr>
              <w:pStyle w:val="19"/>
              <w:spacing w:before="8"/>
              <w:jc w:val="left"/>
              <w:rPr>
                <w:b/>
                <w:sz w:val="15"/>
              </w:rPr>
            </w:pPr>
          </w:p>
          <w:p>
            <w:pPr>
              <w:pStyle w:val="19"/>
              <w:spacing w:before="1"/>
              <w:ind w:left="176"/>
              <w:jc w:val="left"/>
              <w:rPr>
                <w:sz w:val="21"/>
              </w:rPr>
            </w:pPr>
            <w:r>
              <w:rPr>
                <w:sz w:val="21"/>
              </w:rPr>
              <w:t>主体结构施工阶段</w:t>
            </w:r>
          </w:p>
        </w:tc>
        <w:tc>
          <w:tcPr>
            <w:tcW w:w="2591" w:type="dxa"/>
          </w:tcPr>
          <w:p>
            <w:pPr>
              <w:pStyle w:val="19"/>
              <w:spacing w:before="30"/>
              <w:ind w:left="749" w:right="741"/>
              <w:rPr>
                <w:sz w:val="21"/>
              </w:rPr>
            </w:pPr>
            <w:r>
              <w:rPr>
                <w:sz w:val="21"/>
              </w:rPr>
              <w:t>电锯、电刨</w:t>
            </w:r>
          </w:p>
        </w:tc>
        <w:tc>
          <w:tcPr>
            <w:tcW w:w="2755" w:type="dxa"/>
          </w:tcPr>
          <w:p>
            <w:pPr>
              <w:pStyle w:val="19"/>
              <w:spacing w:before="44"/>
              <w:ind w:left="1200" w:right="1187"/>
              <w:rPr>
                <w:rFonts w:ascii="Times New Roman"/>
                <w:sz w:val="21"/>
              </w:rPr>
            </w:pPr>
            <w:r>
              <w:rPr>
                <w:rFonts w:ascii="Times New Roman"/>
                <w:sz w:val="21"/>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9"/>
              <w:spacing w:before="43"/>
              <w:ind w:left="7"/>
              <w:rPr>
                <w:rFonts w:ascii="Times New Roman"/>
                <w:sz w:val="21"/>
              </w:rPr>
            </w:pPr>
            <w:r>
              <w:rPr>
                <w:rFonts w:ascii="Times New Roman"/>
                <w:w w:val="99"/>
                <w:sz w:val="21"/>
              </w:rPr>
              <w:t>8</w:t>
            </w:r>
          </w:p>
        </w:tc>
        <w:tc>
          <w:tcPr>
            <w:tcW w:w="2032" w:type="dxa"/>
            <w:vMerge w:val="continue"/>
            <w:tcBorders>
              <w:top w:val="nil"/>
            </w:tcBorders>
          </w:tcPr>
          <w:p>
            <w:pPr>
              <w:rPr>
                <w:sz w:val="2"/>
                <w:szCs w:val="2"/>
              </w:rPr>
            </w:pPr>
          </w:p>
        </w:tc>
        <w:tc>
          <w:tcPr>
            <w:tcW w:w="2591" w:type="dxa"/>
          </w:tcPr>
          <w:p>
            <w:pPr>
              <w:pStyle w:val="19"/>
              <w:spacing w:before="29"/>
              <w:ind w:left="746" w:right="741"/>
              <w:rPr>
                <w:sz w:val="21"/>
              </w:rPr>
            </w:pPr>
            <w:r>
              <w:rPr>
                <w:sz w:val="21"/>
              </w:rPr>
              <w:t>振捣棒</w:t>
            </w:r>
          </w:p>
        </w:tc>
        <w:tc>
          <w:tcPr>
            <w:tcW w:w="2755" w:type="dxa"/>
          </w:tcPr>
          <w:p>
            <w:pPr>
              <w:pStyle w:val="19"/>
              <w:spacing w:before="43"/>
              <w:ind w:left="1198" w:right="1188"/>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9"/>
              <w:spacing w:before="43"/>
              <w:ind w:left="7"/>
              <w:rPr>
                <w:rFonts w:ascii="Times New Roman"/>
                <w:sz w:val="21"/>
              </w:rPr>
            </w:pPr>
            <w:r>
              <w:rPr>
                <w:rFonts w:ascii="Times New Roman"/>
                <w:w w:val="99"/>
                <w:sz w:val="21"/>
              </w:rPr>
              <w:t>9</w:t>
            </w:r>
          </w:p>
        </w:tc>
        <w:tc>
          <w:tcPr>
            <w:tcW w:w="2032" w:type="dxa"/>
            <w:vMerge w:val="restart"/>
          </w:tcPr>
          <w:p>
            <w:pPr>
              <w:pStyle w:val="19"/>
              <w:spacing w:before="8"/>
              <w:jc w:val="left"/>
              <w:rPr>
                <w:b/>
                <w:sz w:val="15"/>
              </w:rPr>
            </w:pPr>
          </w:p>
          <w:p>
            <w:pPr>
              <w:pStyle w:val="19"/>
              <w:ind w:left="385"/>
              <w:jc w:val="left"/>
              <w:rPr>
                <w:sz w:val="21"/>
              </w:rPr>
            </w:pPr>
            <w:r>
              <w:rPr>
                <w:sz w:val="21"/>
              </w:rPr>
              <w:t>装修施工阶段</w:t>
            </w:r>
          </w:p>
        </w:tc>
        <w:tc>
          <w:tcPr>
            <w:tcW w:w="2591" w:type="dxa"/>
          </w:tcPr>
          <w:p>
            <w:pPr>
              <w:pStyle w:val="19"/>
              <w:spacing w:before="30"/>
              <w:ind w:left="746" w:right="741"/>
              <w:rPr>
                <w:sz w:val="21"/>
              </w:rPr>
            </w:pPr>
            <w:r>
              <w:rPr>
                <w:sz w:val="21"/>
              </w:rPr>
              <w:t>卷扬机</w:t>
            </w:r>
          </w:p>
        </w:tc>
        <w:tc>
          <w:tcPr>
            <w:tcW w:w="2755" w:type="dxa"/>
          </w:tcPr>
          <w:p>
            <w:pPr>
              <w:pStyle w:val="19"/>
              <w:spacing w:before="43"/>
              <w:ind w:left="1198" w:right="1188"/>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5" w:type="dxa"/>
          </w:tcPr>
          <w:p>
            <w:pPr>
              <w:pStyle w:val="19"/>
              <w:spacing w:before="44"/>
              <w:ind w:left="259" w:right="252"/>
              <w:rPr>
                <w:rFonts w:ascii="Times New Roman"/>
                <w:sz w:val="21"/>
              </w:rPr>
            </w:pPr>
            <w:r>
              <w:rPr>
                <w:rFonts w:ascii="Times New Roman"/>
                <w:sz w:val="21"/>
              </w:rPr>
              <w:t>10</w:t>
            </w:r>
          </w:p>
        </w:tc>
        <w:tc>
          <w:tcPr>
            <w:tcW w:w="2032" w:type="dxa"/>
            <w:vMerge w:val="continue"/>
            <w:tcBorders>
              <w:top w:val="nil"/>
            </w:tcBorders>
          </w:tcPr>
          <w:p>
            <w:pPr>
              <w:rPr>
                <w:sz w:val="2"/>
                <w:szCs w:val="2"/>
              </w:rPr>
            </w:pPr>
          </w:p>
        </w:tc>
        <w:tc>
          <w:tcPr>
            <w:tcW w:w="2591" w:type="dxa"/>
          </w:tcPr>
          <w:p>
            <w:pPr>
              <w:pStyle w:val="19"/>
              <w:spacing w:before="30"/>
              <w:ind w:left="746" w:right="741"/>
              <w:rPr>
                <w:sz w:val="21"/>
              </w:rPr>
            </w:pPr>
            <w:r>
              <w:rPr>
                <w:sz w:val="21"/>
              </w:rPr>
              <w:t>切割机</w:t>
            </w:r>
          </w:p>
        </w:tc>
        <w:tc>
          <w:tcPr>
            <w:tcW w:w="2755" w:type="dxa"/>
          </w:tcPr>
          <w:p>
            <w:pPr>
              <w:pStyle w:val="19"/>
              <w:spacing w:before="44"/>
              <w:ind w:left="1200" w:right="1187"/>
              <w:rPr>
                <w:rFonts w:ascii="Times New Roman"/>
                <w:sz w:val="21"/>
              </w:rPr>
            </w:pPr>
            <w:r>
              <w:rPr>
                <w:rFonts w:ascii="Times New Roman"/>
                <w:sz w:val="21"/>
              </w:rPr>
              <w:t>110</w:t>
            </w:r>
          </w:p>
        </w:tc>
      </w:tr>
    </w:tbl>
    <w:p>
      <w:pPr>
        <w:pStyle w:val="7"/>
        <w:spacing w:before="2"/>
        <w:ind w:left="0"/>
        <w:rPr>
          <w:b/>
          <w:sz w:val="19"/>
        </w:rPr>
      </w:pPr>
    </w:p>
    <w:p>
      <w:pPr>
        <w:pStyle w:val="18"/>
        <w:numPr>
          <w:ilvl w:val="3"/>
          <w:numId w:val="31"/>
        </w:numPr>
        <w:tabs>
          <w:tab w:val="left" w:pos="1320"/>
        </w:tabs>
        <w:spacing w:before="1" w:after="0" w:line="240" w:lineRule="auto"/>
        <w:ind w:left="1320" w:right="0" w:hanging="780"/>
        <w:jc w:val="left"/>
        <w:rPr>
          <w:sz w:val="24"/>
        </w:rPr>
      </w:pPr>
      <w:bookmarkStart w:id="181" w:name="3.2.2.4 固体废物"/>
      <w:bookmarkEnd w:id="181"/>
      <w:bookmarkStart w:id="182" w:name="3.2.2.4 固体废物"/>
      <w:bookmarkEnd w:id="182"/>
      <w:r>
        <w:rPr>
          <w:sz w:val="24"/>
        </w:rPr>
        <w:t>固体废物</w:t>
      </w:r>
    </w:p>
    <w:p>
      <w:pPr>
        <w:pStyle w:val="7"/>
        <w:spacing w:before="165" w:line="364" w:lineRule="auto"/>
        <w:ind w:right="577" w:firstLine="480"/>
        <w:jc w:val="both"/>
        <w:rPr>
          <w:spacing w:val="1"/>
        </w:rPr>
      </w:pPr>
      <w:r>
        <w:rPr>
          <w:spacing w:val="-6"/>
        </w:rPr>
        <w:t>本项目施工期产生的土石方全部回填和筑路，无弃土产生，施工期间固体废</w:t>
      </w:r>
      <w:r>
        <w:t>物主要源于施工人员生活垃圾和施工场地产生的建筑垃圾</w:t>
      </w:r>
      <w:r>
        <w:rPr>
          <w:spacing w:val="4"/>
        </w:rPr>
        <w:t>（</w:t>
      </w:r>
      <w:r>
        <w:rPr>
          <w:spacing w:val="1"/>
        </w:rPr>
        <w:t>废弃砖块、废钢筋等）。</w:t>
      </w:r>
    </w:p>
    <w:p>
      <w:pPr>
        <w:pStyle w:val="7"/>
        <w:spacing w:before="165" w:line="364" w:lineRule="auto"/>
        <w:ind w:right="577" w:firstLine="480"/>
        <w:jc w:val="both"/>
        <w:rPr>
          <w:sz w:val="24"/>
        </w:rPr>
      </w:pPr>
      <w:r>
        <w:rPr>
          <w:sz w:val="24"/>
        </w:rPr>
        <w:t>建筑垃圾</w:t>
      </w:r>
    </w:p>
    <w:p>
      <w:pPr>
        <w:pStyle w:val="7"/>
        <w:spacing w:before="160" w:line="364" w:lineRule="auto"/>
        <w:ind w:right="577" w:firstLine="480"/>
        <w:jc w:val="both"/>
      </w:pPr>
      <w:r>
        <w:rPr>
          <w:spacing w:val="-8"/>
        </w:rPr>
        <w:t>建筑施工中会产生碎砖块、砂浆、桩头、水泥、钢筋、涂料和包装材料等建</w:t>
      </w:r>
      <w:r>
        <w:rPr>
          <w:spacing w:val="-10"/>
        </w:rPr>
        <w:t>筑垃圾。建筑废弃物在项目施工开工前应签订环保责任书，由各施工单位负责施工期固体废弃物的处理，施工产生的固体废物中遗留在现场的建筑废物要及时清运或回填，将建筑垃圾运至指定地点。各施工单位要加强施工管理，对施工产生</w:t>
      </w:r>
      <w:r>
        <w:t>的生活垃圾和建筑垃圾不得随意倾倒。</w:t>
      </w:r>
    </w:p>
    <w:p>
      <w:pPr>
        <w:pStyle w:val="18"/>
        <w:numPr>
          <w:ilvl w:val="0"/>
          <w:numId w:val="33"/>
        </w:numPr>
        <w:tabs>
          <w:tab w:val="left" w:pos="1621"/>
        </w:tabs>
        <w:spacing w:before="3" w:after="0" w:line="240" w:lineRule="auto"/>
        <w:ind w:left="1621" w:right="0" w:hanging="601"/>
        <w:jc w:val="left"/>
        <w:rPr>
          <w:sz w:val="24"/>
        </w:rPr>
      </w:pPr>
      <w:r>
        <w:rPr>
          <w:sz w:val="24"/>
        </w:rPr>
        <w:t>生活垃圾</w:t>
      </w:r>
    </w:p>
    <w:p>
      <w:pPr>
        <w:pStyle w:val="7"/>
        <w:spacing w:before="161" w:line="364" w:lineRule="auto"/>
        <w:ind w:right="577" w:firstLine="480"/>
      </w:pPr>
      <w:r>
        <w:rPr>
          <w:spacing w:val="-5"/>
        </w:rPr>
        <w:t>本项目施工期施工人员约</w:t>
      </w:r>
      <w:r>
        <w:rPr>
          <w:rFonts w:ascii="Times New Roman" w:eastAsia="Times New Roman"/>
        </w:rPr>
        <w:t>120</w:t>
      </w:r>
      <w:r>
        <w:rPr>
          <w:spacing w:val="-12"/>
        </w:rPr>
        <w:t>人，均为当地村民，均不在项目区内食宿，施</w:t>
      </w:r>
      <w:r>
        <w:t>工场地内不设置施工营地，无生活垃圾产生。</w:t>
      </w:r>
    </w:p>
    <w:p>
      <w:pPr>
        <w:pStyle w:val="7"/>
        <w:spacing w:before="1" w:line="364" w:lineRule="auto"/>
        <w:ind w:right="577" w:firstLine="480"/>
      </w:pPr>
      <w:r>
        <w:rPr>
          <w:spacing w:val="-6"/>
        </w:rPr>
        <w:t>施工期项目的固体废弃物排放是暂时的，随着施工的结束而减小，通过积极</w:t>
      </w:r>
      <w:r>
        <w:t>有效的施工管理，施工期固体废弃物对环境造成的影响不大。</w:t>
      </w:r>
    </w:p>
    <w:p>
      <w:pPr>
        <w:pStyle w:val="7"/>
        <w:spacing w:before="2"/>
        <w:ind w:left="0"/>
        <w:rPr>
          <w:sz w:val="21"/>
        </w:rPr>
      </w:pPr>
    </w:p>
    <w:p>
      <w:pPr>
        <w:pStyle w:val="5"/>
        <w:numPr>
          <w:ilvl w:val="2"/>
          <w:numId w:val="31"/>
        </w:numPr>
        <w:tabs>
          <w:tab w:val="left" w:pos="1241"/>
        </w:tabs>
        <w:spacing w:before="0" w:after="0" w:line="240" w:lineRule="auto"/>
        <w:ind w:left="1240" w:right="0" w:hanging="701"/>
        <w:jc w:val="left"/>
        <w:outlineLvl w:val="2"/>
      </w:pPr>
      <w:bookmarkStart w:id="183" w:name="_Toc6804"/>
      <w:r>
        <w:t>运营期污染源分析</w:t>
      </w:r>
      <w:bookmarkEnd w:id="183"/>
    </w:p>
    <w:p>
      <w:pPr>
        <w:pStyle w:val="7"/>
        <w:spacing w:before="1"/>
        <w:ind w:left="0"/>
        <w:rPr>
          <w:b/>
          <w:sz w:val="22"/>
        </w:rPr>
      </w:pPr>
    </w:p>
    <w:p>
      <w:pPr>
        <w:pStyle w:val="18"/>
        <w:numPr>
          <w:ilvl w:val="3"/>
          <w:numId w:val="31"/>
        </w:numPr>
        <w:tabs>
          <w:tab w:val="left" w:pos="1320"/>
        </w:tabs>
        <w:spacing w:before="0" w:after="0" w:line="240" w:lineRule="auto"/>
        <w:ind w:left="1320" w:right="0" w:hanging="780"/>
        <w:jc w:val="left"/>
        <w:rPr>
          <w:sz w:val="24"/>
        </w:rPr>
      </w:pPr>
      <w:bookmarkStart w:id="184" w:name="3.2.3.1 运营期大气污染源分析"/>
      <w:bookmarkEnd w:id="184"/>
      <w:bookmarkStart w:id="185" w:name="3.2.3.1 运营期大气污染源分析"/>
      <w:bookmarkEnd w:id="185"/>
      <w:r>
        <w:rPr>
          <w:sz w:val="24"/>
        </w:rPr>
        <w:t>运营期大气污染源分析</w:t>
      </w:r>
    </w:p>
    <w:p>
      <w:pPr>
        <w:pStyle w:val="7"/>
        <w:spacing w:before="168" w:line="364" w:lineRule="auto"/>
        <w:ind w:right="577" w:firstLine="480"/>
      </w:pPr>
      <w:r>
        <w:rPr>
          <w:spacing w:val="-11"/>
        </w:rPr>
        <w:t>本项目采用电采暖。因此，营运期产生的主要大气污染物为养殖区圈舍和堆</w:t>
      </w:r>
      <w:r>
        <w:t>肥厂的恶臭，还有病死羊无害化处理化制废气。</w:t>
      </w:r>
    </w:p>
    <w:p>
      <w:pPr>
        <w:pStyle w:val="18"/>
        <w:numPr>
          <w:ilvl w:val="0"/>
          <w:numId w:val="34"/>
        </w:numPr>
        <w:tabs>
          <w:tab w:val="left" w:pos="1621"/>
        </w:tabs>
        <w:spacing w:before="1" w:after="0" w:line="240" w:lineRule="auto"/>
        <w:ind w:left="1621" w:right="0" w:hanging="601"/>
        <w:jc w:val="left"/>
        <w:rPr>
          <w:sz w:val="24"/>
        </w:rPr>
      </w:pPr>
      <w:r>
        <w:rPr>
          <w:sz w:val="24"/>
        </w:rPr>
        <w:t>羊舍恶臭</w:t>
      </w:r>
    </w:p>
    <w:p>
      <w:pPr>
        <w:pStyle w:val="7"/>
        <w:spacing w:before="161"/>
        <w:ind w:left="1020"/>
      </w:pPr>
      <w:r>
        <w:t>①来源及组成</w:t>
      </w:r>
    </w:p>
    <w:p>
      <w:pPr>
        <w:pStyle w:val="7"/>
        <w:spacing w:before="160"/>
        <w:ind w:left="1020"/>
      </w:pPr>
      <w:r>
        <w:t>本项目羊养殖过程中恶臭气体主要来源于羊圈舍和堆肥厂。</w:t>
      </w:r>
    </w:p>
    <w:p>
      <w:pPr>
        <w:pStyle w:val="7"/>
        <w:spacing w:before="161" w:line="364" w:lineRule="auto"/>
        <w:ind w:right="485" w:firstLine="480"/>
      </w:pPr>
      <w:r>
        <w:t>恶臭是各种气体（异味）</w:t>
      </w:r>
      <w:r>
        <w:rPr>
          <w:spacing w:val="-1"/>
        </w:rPr>
        <w:t>的总称，长期受恶臭污染，会刺激人、畜呼吸道，</w:t>
      </w:r>
      <w:r>
        <w:rPr>
          <w:spacing w:val="-7"/>
        </w:rPr>
        <w:t>可引起呼吸道疾病；恶臭气体使人产生不愉快的感觉，影响人的工作效率，可引起母羊生产力下降。恶臭主要产生类型包括：</w:t>
      </w:r>
    </w:p>
    <w:p>
      <w:pPr>
        <w:pStyle w:val="7"/>
        <w:spacing w:before="2" w:line="362" w:lineRule="auto"/>
        <w:ind w:right="577" w:firstLine="480"/>
      </w:pPr>
      <w:r>
        <w:rPr>
          <w:rFonts w:ascii="Times New Roman" w:eastAsia="Times New Roman"/>
        </w:rPr>
        <w:t>a</w:t>
      </w:r>
      <w:r>
        <w:t>、动物本身：包括羊皮脂腺的分泌物、体外激素、黏附在体表的污物、呼</w:t>
      </w:r>
      <w:r>
        <w:rPr>
          <w:position w:val="2"/>
        </w:rPr>
        <w:t>出气中的</w:t>
      </w:r>
      <w:r>
        <w:rPr>
          <w:rFonts w:ascii="Times New Roman" w:eastAsia="Times New Roman"/>
          <w:position w:val="2"/>
        </w:rPr>
        <w:t>CO</w:t>
      </w:r>
      <w:r>
        <w:rPr>
          <w:rFonts w:ascii="Times New Roman" w:eastAsia="Times New Roman"/>
          <w:position w:val="2"/>
          <w:vertAlign w:val="subscript"/>
        </w:rPr>
        <w:t>2</w:t>
      </w:r>
      <w:r>
        <w:rPr>
          <w:position w:val="2"/>
          <w:vertAlign w:val="baseline"/>
        </w:rPr>
        <w:t>（含量比大气约高</w:t>
      </w:r>
      <w:r>
        <w:rPr>
          <w:rFonts w:ascii="Times New Roman" w:eastAsia="Times New Roman"/>
          <w:position w:val="2"/>
          <w:vertAlign w:val="baseline"/>
        </w:rPr>
        <w:t>100</w:t>
      </w:r>
      <w:r>
        <w:rPr>
          <w:position w:val="2"/>
          <w:vertAlign w:val="baseline"/>
        </w:rPr>
        <w:t>倍）等都会散发出难闻的气味等；</w:t>
      </w:r>
    </w:p>
    <w:p>
      <w:pPr>
        <w:pStyle w:val="7"/>
        <w:spacing w:before="3" w:line="364" w:lineRule="auto"/>
        <w:ind w:right="580" w:firstLine="480"/>
      </w:pPr>
      <w:r>
        <w:rPr>
          <w:rFonts w:ascii="Times New Roman" w:eastAsia="Times New Roman"/>
        </w:rPr>
        <w:t>b</w:t>
      </w:r>
      <w:r>
        <w:t>、饲料：饲料中纤维分解时产生的甲烷、饲料在羊消化道内经过各种消化酶、肠道细菌的作用，会产生吲哚、粪臭素、硫化氢等使粪有臭味的气体；</w:t>
      </w:r>
    </w:p>
    <w:p>
      <w:pPr>
        <w:pStyle w:val="7"/>
        <w:spacing w:before="1" w:line="364" w:lineRule="auto"/>
        <w:ind w:right="575" w:firstLine="480"/>
        <w:jc w:val="both"/>
      </w:pPr>
      <w:r>
        <w:rPr>
          <w:rFonts w:ascii="Times New Roman" w:eastAsia="Times New Roman"/>
        </w:rPr>
        <w:t>c</w:t>
      </w:r>
      <w:r>
        <w:t>、粪尿的臭味：羊舍中刚排泄出的粪尿有氨、硫化氢、胺等有害气体，进</w:t>
      </w:r>
      <w:r>
        <w:rPr>
          <w:spacing w:val="-10"/>
        </w:rPr>
        <w:t>而产生甲硫醇、多胺、脂肪酸、吲哚等，在高温季节尤为明显；此外，粪尿在羊</w:t>
      </w:r>
      <w:r>
        <w:rPr>
          <w:spacing w:val="-10"/>
          <w:position w:val="2"/>
        </w:rPr>
        <w:t>舍地下的粪沟内停留，形成厌氧发酵，产生大量的有害气体，如</w:t>
      </w:r>
      <w:r>
        <w:rPr>
          <w:rFonts w:ascii="Times New Roman" w:eastAsia="Times New Roman"/>
          <w:position w:val="2"/>
        </w:rPr>
        <w:t>NH</w:t>
      </w:r>
      <w:r>
        <w:rPr>
          <w:rFonts w:ascii="Times New Roman" w:eastAsia="Times New Roman"/>
          <w:position w:val="2"/>
          <w:vertAlign w:val="subscript"/>
        </w:rPr>
        <w:t>3</w:t>
      </w:r>
      <w:r>
        <w:rPr>
          <w:spacing w:val="-34"/>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34"/>
          <w:position w:val="2"/>
          <w:vertAlign w:val="baseline"/>
        </w:rPr>
        <w:t>、</w:t>
      </w:r>
      <w:r>
        <w:rPr>
          <w:rFonts w:ascii="Times New Roman" w:eastAsia="Times New Roman"/>
          <w:spacing w:val="-8"/>
          <w:position w:val="2"/>
          <w:vertAlign w:val="baseline"/>
        </w:rPr>
        <w:t>CH</w:t>
      </w:r>
      <w:r>
        <w:rPr>
          <w:rFonts w:ascii="Times New Roman" w:eastAsia="Times New Roman"/>
          <w:spacing w:val="-8"/>
          <w:position w:val="2"/>
          <w:vertAlign w:val="subscript"/>
        </w:rPr>
        <w:t>4</w:t>
      </w:r>
      <w:r>
        <w:rPr>
          <w:vertAlign w:val="baseline"/>
        </w:rPr>
        <w:t>等恶化室内空气环境；</w:t>
      </w:r>
    </w:p>
    <w:p>
      <w:pPr>
        <w:pStyle w:val="7"/>
        <w:spacing w:before="143" w:line="364" w:lineRule="auto"/>
        <w:ind w:right="457" w:firstLine="480"/>
        <w:jc w:val="both"/>
      </w:pPr>
      <w:r>
        <w:rPr>
          <w:spacing w:val="2"/>
        </w:rPr>
        <w:t>恶臭主要由羊排泄物引发，羊排泄物组成主要包括碳水化合物和含氮化合</w:t>
      </w:r>
      <w:r>
        <w:rPr>
          <w:spacing w:val="-10"/>
        </w:rPr>
        <w:t>物，它们在有氧条件下会彻底氧化，不会产生恶臭。绝大部分恶臭均是这些有机</w:t>
      </w:r>
      <w:r>
        <w:rPr>
          <w:spacing w:val="-8"/>
        </w:rPr>
        <w:t>物在合适的条件下经过慢性厌氧发酵而形成的。研究表明，排泄物在</w:t>
      </w:r>
      <w:r>
        <w:rPr>
          <w:rFonts w:ascii="Times New Roman" w:hAnsi="Times New Roman" w:eastAsia="Times New Roman"/>
        </w:rPr>
        <w:t>18</w:t>
      </w:r>
      <w:r>
        <w:t>℃的情</w:t>
      </w:r>
      <w:r>
        <w:rPr>
          <w:spacing w:val="-13"/>
        </w:rPr>
        <w:t>况下经</w:t>
      </w:r>
      <w:r>
        <w:rPr>
          <w:rFonts w:ascii="Times New Roman" w:hAnsi="Times New Roman" w:eastAsia="Times New Roman"/>
        </w:rPr>
        <w:t>70d</w:t>
      </w:r>
      <w:r>
        <w:rPr>
          <w:spacing w:val="-11"/>
        </w:rPr>
        <w:t>以后，有</w:t>
      </w:r>
      <w:r>
        <w:rPr>
          <w:rFonts w:ascii="Times New Roman" w:hAnsi="Times New Roman" w:eastAsia="Times New Roman"/>
        </w:rPr>
        <w:t>24%</w:t>
      </w:r>
      <w:r>
        <w:rPr>
          <w:spacing w:val="-6"/>
        </w:rPr>
        <w:t>的植物纤维片段和</w:t>
      </w:r>
      <w:r>
        <w:rPr>
          <w:rFonts w:ascii="Times New Roman" w:hAnsi="Times New Roman" w:eastAsia="Times New Roman"/>
        </w:rPr>
        <w:t>43%</w:t>
      </w:r>
      <w:r>
        <w:t>的粗蛋白发生降解，碳水化合</w:t>
      </w:r>
      <w:r>
        <w:rPr>
          <w:spacing w:val="-6"/>
        </w:rPr>
        <w:t>物会转化成挥发性脂肪酸、醇类及二氧化碳等，这些物质略带臭味和酸味。含氮</w:t>
      </w:r>
      <w:r>
        <w:rPr>
          <w:spacing w:val="-13"/>
        </w:rPr>
        <w:t>化合物会转化生成氨、硫酸、乙烯醇、二甲基硫醚、硫化氢、三甲胺等，这些气</w:t>
      </w:r>
      <w:r>
        <w:rPr>
          <w:spacing w:val="-15"/>
        </w:rPr>
        <w:t>体有的具有腐败洋葱臭，有的具有腐败的蛋臭、鱼臭等。各种具有不同的气味的气体混合在一起，也即人们常说的恶臭。恶臭的成分复杂，现已鉴定出的恶臭成</w:t>
      </w:r>
      <w:r>
        <w:rPr>
          <w:spacing w:val="-21"/>
        </w:rPr>
        <w:t>分在羊粪尿中有</w:t>
      </w:r>
      <w:r>
        <w:rPr>
          <w:rFonts w:ascii="Times New Roman" w:hAnsi="Times New Roman" w:eastAsia="Times New Roman"/>
        </w:rPr>
        <w:t>94</w:t>
      </w:r>
      <w:r>
        <w:rPr>
          <w:spacing w:val="-9"/>
        </w:rPr>
        <w:t>种，这些恶臭成分可分为挥发性脂肪酸、醇类、酚类、酸类、</w:t>
      </w:r>
    </w:p>
    <w:p>
      <w:pPr>
        <w:pStyle w:val="7"/>
        <w:spacing w:before="5" w:line="364" w:lineRule="auto"/>
        <w:ind w:right="577"/>
        <w:jc w:val="both"/>
      </w:pPr>
      <w:r>
        <w:rPr>
          <w:spacing w:val="-13"/>
        </w:rPr>
        <w:t>醛类、酮类、胺类、硫醇类，以及含氮杂环化合物等</w:t>
      </w:r>
      <w:r>
        <w:rPr>
          <w:rFonts w:ascii="Times New Roman" w:eastAsia="Times New Roman"/>
        </w:rPr>
        <w:t>9</w:t>
      </w:r>
      <w:r>
        <w:rPr>
          <w:spacing w:val="-4"/>
        </w:rPr>
        <w:t>类有机化合物和氨、硫化</w:t>
      </w:r>
      <w:r>
        <w:t>氢两种无机物。</w:t>
      </w:r>
    </w:p>
    <w:p>
      <w:pPr>
        <w:pStyle w:val="7"/>
        <w:spacing w:before="1"/>
        <w:ind w:left="1020"/>
        <w:jc w:val="both"/>
      </w:pPr>
      <w:r>
        <w:t>几种主要恶臭物质的理化性质见表</w:t>
      </w:r>
      <w:r>
        <w:rPr>
          <w:rFonts w:ascii="Times New Roman" w:eastAsia="Times New Roman"/>
        </w:rPr>
        <w:t>3.2-4</w:t>
      </w:r>
      <w:r>
        <w:t>：</w:t>
      </w:r>
    </w:p>
    <w:p>
      <w:pPr>
        <w:pStyle w:val="7"/>
        <w:spacing w:before="9"/>
        <w:ind w:left="0"/>
        <w:rPr>
          <w:sz w:val="18"/>
        </w:rPr>
      </w:pPr>
    </w:p>
    <w:p>
      <w:pPr>
        <w:pStyle w:val="7"/>
        <w:bidi w:val="0"/>
        <w:jc w:val="center"/>
      </w:pPr>
      <w:r>
        <w:t>表</w:t>
      </w:r>
      <w:r>
        <w:rPr>
          <w:rFonts w:ascii="Times New Roman" w:eastAsia="Times New Roman"/>
        </w:rPr>
        <w:t>3.2-4</w:t>
      </w:r>
      <w:r>
        <w:rPr>
          <w:rFonts w:ascii="Times New Roman" w:eastAsia="Times New Roman"/>
        </w:rPr>
        <w:tab/>
      </w:r>
      <w:r>
        <w:t>主要恶臭物质理化性质</w:t>
      </w:r>
    </w:p>
    <w:tbl>
      <w:tblPr>
        <w:tblStyle w:val="15"/>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2"/>
        <w:gridCol w:w="2132"/>
        <w:gridCol w:w="2132"/>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32" w:type="dxa"/>
          </w:tcPr>
          <w:p>
            <w:pPr>
              <w:pStyle w:val="19"/>
              <w:spacing w:before="35"/>
              <w:ind w:left="315" w:right="303"/>
              <w:rPr>
                <w:b/>
                <w:sz w:val="21"/>
              </w:rPr>
            </w:pPr>
            <w:r>
              <w:rPr>
                <w:b/>
                <w:sz w:val="21"/>
              </w:rPr>
              <w:t>恶臭物质</w:t>
            </w:r>
          </w:p>
        </w:tc>
        <w:tc>
          <w:tcPr>
            <w:tcW w:w="2132" w:type="dxa"/>
          </w:tcPr>
          <w:p>
            <w:pPr>
              <w:pStyle w:val="19"/>
              <w:spacing w:before="35"/>
              <w:ind w:left="314" w:right="304"/>
              <w:rPr>
                <w:b/>
                <w:sz w:val="21"/>
              </w:rPr>
            </w:pPr>
            <w:r>
              <w:rPr>
                <w:b/>
                <w:sz w:val="21"/>
              </w:rPr>
              <w:t>分子式</w:t>
            </w:r>
          </w:p>
        </w:tc>
        <w:tc>
          <w:tcPr>
            <w:tcW w:w="2132" w:type="dxa"/>
          </w:tcPr>
          <w:p>
            <w:pPr>
              <w:pStyle w:val="19"/>
              <w:spacing w:before="35"/>
              <w:ind w:left="315" w:right="304"/>
              <w:rPr>
                <w:b/>
                <w:sz w:val="21"/>
              </w:rPr>
            </w:pPr>
            <w:r>
              <w:rPr>
                <w:b/>
                <w:sz w:val="21"/>
              </w:rPr>
              <w:t>臭阈值（</w:t>
            </w:r>
            <w:r>
              <w:rPr>
                <w:rFonts w:ascii="Times New Roman" w:eastAsia="Times New Roman"/>
                <w:b/>
                <w:sz w:val="21"/>
              </w:rPr>
              <w:t>ppm</w:t>
            </w:r>
            <w:r>
              <w:rPr>
                <w:b/>
                <w:sz w:val="21"/>
              </w:rPr>
              <w:t>）</w:t>
            </w:r>
          </w:p>
        </w:tc>
        <w:tc>
          <w:tcPr>
            <w:tcW w:w="2132" w:type="dxa"/>
          </w:tcPr>
          <w:p>
            <w:pPr>
              <w:pStyle w:val="19"/>
              <w:spacing w:before="35"/>
              <w:ind w:left="315" w:right="303"/>
              <w:rPr>
                <w:b/>
                <w:sz w:val="21"/>
              </w:rPr>
            </w:pPr>
            <w:r>
              <w:rPr>
                <w:b/>
                <w:sz w:val="21"/>
              </w:rPr>
              <w:t>臭气特征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32" w:type="dxa"/>
          </w:tcPr>
          <w:p>
            <w:pPr>
              <w:pStyle w:val="19"/>
              <w:spacing w:before="36"/>
              <w:ind w:left="314" w:right="304"/>
              <w:rPr>
                <w:sz w:val="21"/>
              </w:rPr>
            </w:pPr>
            <w:r>
              <w:rPr>
                <w:sz w:val="21"/>
              </w:rPr>
              <w:t>三甲胺</w:t>
            </w:r>
          </w:p>
        </w:tc>
        <w:tc>
          <w:tcPr>
            <w:tcW w:w="2132" w:type="dxa"/>
          </w:tcPr>
          <w:p>
            <w:pPr>
              <w:pStyle w:val="19"/>
              <w:spacing w:before="46"/>
              <w:ind w:left="314" w:right="304"/>
              <w:rPr>
                <w:rFonts w:ascii="Times New Roman"/>
                <w:sz w:val="21"/>
              </w:rPr>
            </w:pPr>
            <w:r>
              <w:rPr>
                <w:rFonts w:ascii="Times New Roman"/>
                <w:position w:val="2"/>
                <w:sz w:val="21"/>
              </w:rPr>
              <w:t>C</w:t>
            </w:r>
            <w:r>
              <w:rPr>
                <w:rFonts w:ascii="Times New Roman"/>
                <w:position w:val="2"/>
                <w:sz w:val="21"/>
                <w:vertAlign w:val="subscript"/>
              </w:rPr>
              <w:t>3</w:t>
            </w:r>
            <w:r>
              <w:rPr>
                <w:rFonts w:ascii="Times New Roman"/>
                <w:position w:val="2"/>
                <w:sz w:val="21"/>
                <w:vertAlign w:val="baseline"/>
              </w:rPr>
              <w:t>H</w:t>
            </w:r>
            <w:r>
              <w:rPr>
                <w:rFonts w:ascii="Times New Roman"/>
                <w:position w:val="2"/>
                <w:sz w:val="21"/>
                <w:vertAlign w:val="subscript"/>
              </w:rPr>
              <w:t>9</w:t>
            </w:r>
            <w:r>
              <w:rPr>
                <w:rFonts w:ascii="Times New Roman"/>
                <w:position w:val="2"/>
                <w:sz w:val="21"/>
                <w:vertAlign w:val="baseline"/>
              </w:rPr>
              <w:t>N</w:t>
            </w:r>
          </w:p>
        </w:tc>
        <w:tc>
          <w:tcPr>
            <w:tcW w:w="2132" w:type="dxa"/>
          </w:tcPr>
          <w:p>
            <w:pPr>
              <w:pStyle w:val="19"/>
              <w:spacing w:before="50"/>
              <w:ind w:left="312" w:right="304"/>
              <w:rPr>
                <w:rFonts w:ascii="Times New Roman"/>
                <w:sz w:val="21"/>
              </w:rPr>
            </w:pPr>
            <w:r>
              <w:rPr>
                <w:rFonts w:ascii="Times New Roman"/>
                <w:sz w:val="21"/>
              </w:rPr>
              <w:t>0.000027</w:t>
            </w:r>
          </w:p>
        </w:tc>
        <w:tc>
          <w:tcPr>
            <w:tcW w:w="2132" w:type="dxa"/>
          </w:tcPr>
          <w:p>
            <w:pPr>
              <w:pStyle w:val="19"/>
              <w:spacing w:before="36"/>
              <w:ind w:left="311" w:right="304"/>
              <w:rPr>
                <w:sz w:val="21"/>
              </w:rPr>
            </w:pPr>
            <w:r>
              <w:rPr>
                <w:sz w:val="21"/>
              </w:rPr>
              <w:t>鱼腥恶臭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32" w:type="dxa"/>
          </w:tcPr>
          <w:p>
            <w:pPr>
              <w:pStyle w:val="19"/>
              <w:spacing w:before="34"/>
              <w:ind w:left="7"/>
              <w:rPr>
                <w:sz w:val="21"/>
              </w:rPr>
            </w:pPr>
            <w:r>
              <w:rPr>
                <w:w w:val="99"/>
                <w:sz w:val="21"/>
              </w:rPr>
              <w:t>氨</w:t>
            </w:r>
          </w:p>
        </w:tc>
        <w:tc>
          <w:tcPr>
            <w:tcW w:w="2132" w:type="dxa"/>
          </w:tcPr>
          <w:p>
            <w:pPr>
              <w:pStyle w:val="19"/>
              <w:spacing w:before="47"/>
              <w:ind w:left="313" w:right="304"/>
              <w:rPr>
                <w:rFonts w:ascii="Times New Roman"/>
                <w:sz w:val="21"/>
              </w:rPr>
            </w:pPr>
            <w:r>
              <w:rPr>
                <w:rFonts w:ascii="Times New Roman"/>
                <w:position w:val="2"/>
                <w:sz w:val="21"/>
              </w:rPr>
              <w:t>NH</w:t>
            </w:r>
            <w:r>
              <w:rPr>
                <w:rFonts w:ascii="Times New Roman"/>
                <w:position w:val="2"/>
                <w:sz w:val="21"/>
                <w:vertAlign w:val="subscript"/>
              </w:rPr>
              <w:t>3</w:t>
            </w:r>
          </w:p>
        </w:tc>
        <w:tc>
          <w:tcPr>
            <w:tcW w:w="2132" w:type="dxa"/>
          </w:tcPr>
          <w:p>
            <w:pPr>
              <w:pStyle w:val="19"/>
              <w:spacing w:before="48"/>
              <w:ind w:left="314" w:right="304"/>
              <w:rPr>
                <w:rFonts w:ascii="Times New Roman"/>
                <w:sz w:val="21"/>
              </w:rPr>
            </w:pPr>
            <w:r>
              <w:rPr>
                <w:rFonts w:ascii="Times New Roman"/>
                <w:sz w:val="21"/>
              </w:rPr>
              <w:t>1.54</w:t>
            </w:r>
          </w:p>
        </w:tc>
        <w:tc>
          <w:tcPr>
            <w:tcW w:w="2132" w:type="dxa"/>
          </w:tcPr>
          <w:p>
            <w:pPr>
              <w:pStyle w:val="19"/>
              <w:spacing w:before="34"/>
              <w:ind w:left="311" w:right="304"/>
              <w:rPr>
                <w:sz w:val="21"/>
              </w:rPr>
            </w:pPr>
            <w:r>
              <w:rPr>
                <w:sz w:val="21"/>
              </w:rPr>
              <w:t>刺激性气味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32" w:type="dxa"/>
          </w:tcPr>
          <w:p>
            <w:pPr>
              <w:pStyle w:val="19"/>
              <w:spacing w:before="34"/>
              <w:ind w:left="314" w:right="304"/>
              <w:rPr>
                <w:sz w:val="21"/>
              </w:rPr>
            </w:pPr>
            <w:r>
              <w:rPr>
                <w:sz w:val="21"/>
              </w:rPr>
              <w:t>硫化氢</w:t>
            </w:r>
          </w:p>
        </w:tc>
        <w:tc>
          <w:tcPr>
            <w:tcW w:w="2132" w:type="dxa"/>
          </w:tcPr>
          <w:p>
            <w:pPr>
              <w:pStyle w:val="19"/>
              <w:spacing w:before="45"/>
              <w:ind w:left="311" w:right="304"/>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2132" w:type="dxa"/>
          </w:tcPr>
          <w:p>
            <w:pPr>
              <w:pStyle w:val="19"/>
              <w:spacing w:before="48"/>
              <w:ind w:left="312" w:right="304"/>
              <w:rPr>
                <w:rFonts w:ascii="Times New Roman"/>
                <w:sz w:val="21"/>
              </w:rPr>
            </w:pPr>
            <w:r>
              <w:rPr>
                <w:rFonts w:ascii="Times New Roman"/>
                <w:sz w:val="21"/>
              </w:rPr>
              <w:t>0.0041</w:t>
            </w:r>
          </w:p>
        </w:tc>
        <w:tc>
          <w:tcPr>
            <w:tcW w:w="2132" w:type="dxa"/>
          </w:tcPr>
          <w:p>
            <w:pPr>
              <w:pStyle w:val="19"/>
              <w:spacing w:before="34"/>
              <w:ind w:left="311" w:right="304"/>
              <w:rPr>
                <w:sz w:val="21"/>
              </w:rPr>
            </w:pPr>
            <w:r>
              <w:rPr>
                <w:sz w:val="21"/>
              </w:rPr>
              <w:t>臭鸡蛋气味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32" w:type="dxa"/>
          </w:tcPr>
          <w:p>
            <w:pPr>
              <w:pStyle w:val="19"/>
              <w:spacing w:before="34"/>
              <w:ind w:left="311" w:right="304"/>
              <w:rPr>
                <w:sz w:val="21"/>
              </w:rPr>
            </w:pPr>
            <w:r>
              <w:rPr>
                <w:sz w:val="21"/>
              </w:rPr>
              <w:t>粪臭基硫酸</w:t>
            </w:r>
          </w:p>
        </w:tc>
        <w:tc>
          <w:tcPr>
            <w:tcW w:w="2132" w:type="dxa"/>
          </w:tcPr>
          <w:p>
            <w:pPr>
              <w:pStyle w:val="19"/>
              <w:spacing w:before="48"/>
              <w:ind w:left="8"/>
              <w:rPr>
                <w:rFonts w:ascii="Times New Roman"/>
                <w:sz w:val="21"/>
              </w:rPr>
            </w:pPr>
            <w:r>
              <w:rPr>
                <w:rFonts w:ascii="Times New Roman"/>
                <w:w w:val="99"/>
                <w:sz w:val="21"/>
              </w:rPr>
              <w:t>/</w:t>
            </w:r>
          </w:p>
        </w:tc>
        <w:tc>
          <w:tcPr>
            <w:tcW w:w="2132" w:type="dxa"/>
          </w:tcPr>
          <w:p>
            <w:pPr>
              <w:pStyle w:val="19"/>
              <w:spacing w:before="48"/>
              <w:ind w:left="314" w:right="304"/>
              <w:rPr>
                <w:rFonts w:ascii="Times New Roman"/>
                <w:sz w:val="21"/>
              </w:rPr>
            </w:pPr>
            <w:r>
              <w:rPr>
                <w:rFonts w:ascii="Times New Roman"/>
                <w:sz w:val="21"/>
              </w:rPr>
              <w:t>0.0000056</w:t>
            </w:r>
          </w:p>
        </w:tc>
        <w:tc>
          <w:tcPr>
            <w:tcW w:w="2132" w:type="dxa"/>
          </w:tcPr>
          <w:p>
            <w:pPr>
              <w:pStyle w:val="19"/>
              <w:spacing w:before="34"/>
              <w:ind w:left="311" w:right="304"/>
              <w:rPr>
                <w:sz w:val="21"/>
              </w:rPr>
            </w:pPr>
            <w:r>
              <w:rPr>
                <w:sz w:val="21"/>
              </w:rPr>
              <w:t>粪便臭味</w:t>
            </w:r>
          </w:p>
        </w:tc>
      </w:tr>
    </w:tbl>
    <w:p>
      <w:pPr>
        <w:pStyle w:val="7"/>
        <w:spacing w:before="7"/>
        <w:ind w:left="0"/>
        <w:rPr>
          <w:b/>
          <w:sz w:val="18"/>
        </w:rPr>
      </w:pPr>
    </w:p>
    <w:p>
      <w:pPr>
        <w:pStyle w:val="7"/>
        <w:ind w:left="1020"/>
        <w:jc w:val="both"/>
      </w:pPr>
      <w:r>
        <w:t>②恶臭气体源强</w:t>
      </w:r>
    </w:p>
    <w:p>
      <w:pPr>
        <w:pStyle w:val="7"/>
        <w:keepNext w:val="0"/>
        <w:keepLines w:val="0"/>
        <w:pageBreakBefore w:val="0"/>
        <w:widowControl w:val="0"/>
        <w:kinsoku/>
        <w:wordWrap/>
        <w:overflowPunct/>
        <w:topLinePunct w:val="0"/>
        <w:autoSpaceDE w:val="0"/>
        <w:autoSpaceDN w:val="0"/>
        <w:bidi w:val="0"/>
        <w:adjustRightInd/>
        <w:snapToGrid/>
        <w:spacing w:before="158" w:line="360" w:lineRule="auto"/>
        <w:ind w:left="220" w:leftChars="100" w:right="575" w:firstLine="482"/>
        <w:jc w:val="both"/>
        <w:textAlignment w:val="auto"/>
        <w:rPr>
          <w:color w:val="0000FF"/>
        </w:rPr>
      </w:pPr>
      <w:r>
        <w:rPr>
          <w:color w:val="0000FF"/>
          <w:spacing w:val="-6"/>
          <w:position w:val="2"/>
        </w:rPr>
        <w:t>本项目恶臭气体考虑</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spacing w:val="-32"/>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6"/>
          <w:position w:val="2"/>
          <w:vertAlign w:val="baseline"/>
        </w:rPr>
        <w:t>为主要污染物，恶臭气体产生源主要为羊舍</w:t>
      </w:r>
      <w:r>
        <w:rPr>
          <w:color w:val="0000FF"/>
          <w:vertAlign w:val="baseline"/>
        </w:rPr>
        <w:t>和堆肥厂。</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77" w:firstLine="482"/>
        <w:jc w:val="both"/>
        <w:textAlignment w:val="auto"/>
        <w:rPr>
          <w:color w:val="0000FF"/>
        </w:rPr>
      </w:pPr>
      <w:r>
        <w:rPr>
          <w:color w:val="0000FF"/>
          <w:spacing w:val="-5"/>
        </w:rPr>
        <w:t>本次评价采用资料调查法参考相关文献报道确定恶臭污染物源强。按照总存</w:t>
      </w:r>
      <w:r>
        <w:rPr>
          <w:color w:val="0000FF"/>
          <w:spacing w:val="-7"/>
        </w:rPr>
        <w:t>栏量核算有粪污中挥发出的恶臭物质量，将整个养羊场作为一个面源分析预测项</w:t>
      </w:r>
      <w:r>
        <w:rPr>
          <w:color w:val="0000FF"/>
          <w:spacing w:val="-8"/>
        </w:rPr>
        <w:t>目恶臭污染物的环境影响情况，以总存栏量产生的粪污所挥发的恶臭物质总量作</w:t>
      </w:r>
      <w:r>
        <w:rPr>
          <w:color w:val="0000FF"/>
        </w:rPr>
        <w:t>为恶臭物质排放源强。</w:t>
      </w:r>
    </w:p>
    <w:p>
      <w:pPr>
        <w:pStyle w:val="7"/>
        <w:keepNext w:val="0"/>
        <w:keepLines w:val="0"/>
        <w:pageBreakBefore w:val="0"/>
        <w:widowControl w:val="0"/>
        <w:kinsoku/>
        <w:wordWrap/>
        <w:overflowPunct/>
        <w:topLinePunct w:val="0"/>
        <w:autoSpaceDE w:val="0"/>
        <w:autoSpaceDN w:val="0"/>
        <w:bidi w:val="0"/>
        <w:adjustRightInd/>
        <w:snapToGrid/>
        <w:spacing w:before="33" w:line="360" w:lineRule="auto"/>
        <w:ind w:left="220" w:leftChars="100" w:right="575" w:firstLine="482"/>
        <w:jc w:val="both"/>
        <w:textAlignment w:val="auto"/>
        <w:rPr>
          <w:rFonts w:hint="default" w:ascii="Times New Roman" w:eastAsia="宋体"/>
          <w:color w:val="0000FF"/>
          <w:lang w:val="en-US" w:eastAsia="zh-CN"/>
        </w:rPr>
      </w:pPr>
      <w:r>
        <w:rPr>
          <w:color w:val="0000FF"/>
          <w:spacing w:val="-6"/>
        </w:rPr>
        <w:t>养羊场恶臭主要来自养羊棚舍和堆肥厂，其产生源分布面较广，均为低矮面</w:t>
      </w:r>
      <w:r>
        <w:rPr>
          <w:color w:val="0000FF"/>
          <w:spacing w:val="-4"/>
        </w:rPr>
        <w:t>源。根据《畜禽养殖业污染物排放标准》</w:t>
      </w:r>
      <w:r>
        <w:rPr>
          <w:color w:val="0000FF"/>
        </w:rPr>
        <w:t>（</w:t>
      </w:r>
      <w:r>
        <w:rPr>
          <w:rFonts w:ascii="Times New Roman" w:eastAsia="Times New Roman"/>
          <w:color w:val="0000FF"/>
        </w:rPr>
        <w:t>GB1859-2001</w:t>
      </w:r>
      <w:r>
        <w:rPr>
          <w:color w:val="0000FF"/>
        </w:rPr>
        <w:t>）</w:t>
      </w:r>
      <w:r>
        <w:rPr>
          <w:color w:val="0000FF"/>
          <w:spacing w:val="-4"/>
        </w:rPr>
        <w:t>的规定，将肉羊的养</w:t>
      </w:r>
      <w:r>
        <w:rPr>
          <w:color w:val="0000FF"/>
        </w:rPr>
        <w:t>殖量换算成猪的养殖量，换算比例为：</w:t>
      </w:r>
      <w:r>
        <w:rPr>
          <w:rFonts w:ascii="Times New Roman" w:eastAsia="Times New Roman"/>
          <w:color w:val="0000FF"/>
        </w:rPr>
        <w:t>3</w:t>
      </w:r>
      <w:r>
        <w:rPr>
          <w:color w:val="0000FF"/>
          <w:spacing w:val="-10"/>
        </w:rPr>
        <w:t>只羊换算成</w:t>
      </w:r>
      <w:r>
        <w:rPr>
          <w:rFonts w:ascii="Times New Roman" w:eastAsia="Times New Roman"/>
          <w:color w:val="0000FF"/>
        </w:rPr>
        <w:t>1</w:t>
      </w:r>
      <w:r>
        <w:rPr>
          <w:color w:val="0000FF"/>
          <w:spacing w:val="-6"/>
        </w:rPr>
        <w:t>头猪，本项目羊存栏量</w:t>
      </w:r>
      <w:r>
        <w:rPr>
          <w:rFonts w:hint="eastAsia"/>
          <w:color w:val="0000FF"/>
          <w:spacing w:val="-6"/>
          <w:lang w:val="en-US" w:eastAsia="zh-CN"/>
        </w:rPr>
        <w:t>10</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220" w:leftChars="100"/>
        <w:textAlignment w:val="auto"/>
        <w:rPr>
          <w:color w:val="0000FF"/>
        </w:rPr>
      </w:pPr>
      <w:r>
        <w:rPr>
          <w:color w:val="0000FF"/>
          <w:spacing w:val="-11"/>
        </w:rPr>
        <w:t>万只，羊换算后的量为</w:t>
      </w:r>
      <w:r>
        <w:rPr>
          <w:rFonts w:hint="eastAsia"/>
          <w:color w:val="0000FF"/>
          <w:spacing w:val="-11"/>
          <w:lang w:val="en-US" w:eastAsia="zh-CN"/>
        </w:rPr>
        <w:t>3.3</w:t>
      </w:r>
      <w:r>
        <w:rPr>
          <w:color w:val="0000FF"/>
          <w:spacing w:val="-9"/>
        </w:rPr>
        <w:t>万头猪。本次评价养羊场恶臭排放源强参照《第一次全</w:t>
      </w:r>
      <w:r>
        <w:rPr>
          <w:color w:val="0000FF"/>
          <w:spacing w:val="-5"/>
        </w:rPr>
        <w:t>国污染源普查畜禽养殖业源产排污系数手册》中猪的相关数据</w:t>
      </w:r>
      <w:r>
        <w:rPr>
          <w:color w:val="0000FF"/>
        </w:rPr>
        <w:t>（</w:t>
      </w:r>
      <w:r>
        <w:rPr>
          <w:color w:val="0000FF"/>
          <w:spacing w:val="-3"/>
        </w:rPr>
        <w:t>一头生猪一天产</w:t>
      </w:r>
      <w:r>
        <w:rPr>
          <w:color w:val="0000FF"/>
          <w:spacing w:val="-8"/>
          <w:position w:val="2"/>
        </w:rPr>
        <w:t>生的全氮为</w:t>
      </w:r>
      <w:r>
        <w:rPr>
          <w:rFonts w:ascii="Times New Roman" w:eastAsia="Times New Roman"/>
          <w:color w:val="0000FF"/>
          <w:position w:val="2"/>
        </w:rPr>
        <w:t>36.77g</w:t>
      </w:r>
      <w:r>
        <w:rPr>
          <w:color w:val="0000FF"/>
          <w:position w:val="2"/>
        </w:rPr>
        <w:t>）</w:t>
      </w:r>
      <w:r>
        <w:rPr>
          <w:color w:val="0000FF"/>
          <w:spacing w:val="-3"/>
          <w:position w:val="2"/>
        </w:rPr>
        <w:t>进行计算，恶臭无组织排放氮转化为</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position w:val="2"/>
          <w:vertAlign w:val="baseline"/>
        </w:rPr>
        <w:t>挥发的比率约为</w:t>
      </w:r>
      <w:r>
        <w:rPr>
          <w:rFonts w:ascii="Times New Roman" w:eastAsia="Times New Roman"/>
          <w:color w:val="0000FF"/>
          <w:position w:val="2"/>
        </w:rPr>
        <w:t>1%</w:t>
      </w:r>
      <w:r>
        <w:rPr>
          <w:color w:val="0000FF"/>
          <w:position w:val="2"/>
        </w:rPr>
        <w:t>，</w:t>
      </w:r>
      <w:r>
        <w:rPr>
          <w:rFonts w:ascii="Times New Roman" w:eastAsia="Times New Roman"/>
          <w:color w:val="0000FF"/>
          <w:position w:val="2"/>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约为</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color w:val="0000FF"/>
          <w:position w:val="2"/>
          <w:vertAlign w:val="baseline"/>
        </w:rPr>
        <w:t>的</w:t>
      </w:r>
      <w:r>
        <w:rPr>
          <w:rFonts w:ascii="Times New Roman" w:eastAsia="Times New Roman"/>
          <w:color w:val="0000FF"/>
          <w:position w:val="2"/>
          <w:vertAlign w:val="baseline"/>
        </w:rPr>
        <w:t>10%</w:t>
      </w:r>
      <w:r>
        <w:rPr>
          <w:color w:val="0000FF"/>
          <w:position w:val="2"/>
          <w:vertAlign w:val="baseline"/>
        </w:rPr>
        <w:t>。项目羊存栏量</w:t>
      </w:r>
      <w:r>
        <w:rPr>
          <w:rFonts w:hint="eastAsia"/>
          <w:color w:val="0000FF"/>
          <w:position w:val="2"/>
          <w:vertAlign w:val="baseline"/>
          <w:lang w:val="en-US" w:eastAsia="zh-CN"/>
        </w:rPr>
        <w:t>10</w:t>
      </w:r>
      <w:r>
        <w:rPr>
          <w:color w:val="0000FF"/>
          <w:position w:val="2"/>
          <w:vertAlign w:val="baseline"/>
        </w:rPr>
        <w:t>万只，则项目的</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color w:val="0000FF"/>
          <w:position w:val="2"/>
          <w:vertAlign w:val="baseline"/>
        </w:rPr>
        <w:t>的排放量约为</w:t>
      </w:r>
      <w:r>
        <w:rPr>
          <w:rFonts w:ascii="Times New Roman" w:eastAsia="Times New Roman"/>
          <w:color w:val="0000FF"/>
          <w:position w:val="2"/>
        </w:rPr>
        <w:t>0.</w:t>
      </w:r>
      <w:r>
        <w:rPr>
          <w:rFonts w:hint="eastAsia" w:ascii="Times New Roman" w:eastAsia="宋体"/>
          <w:color w:val="0000FF"/>
          <w:position w:val="2"/>
          <w:lang w:val="en-US" w:eastAsia="zh-CN"/>
        </w:rPr>
        <w:t>50949</w:t>
      </w:r>
      <w:r>
        <w:rPr>
          <w:rFonts w:ascii="Times New Roman" w:eastAsia="Times New Roman"/>
          <w:color w:val="0000FF"/>
          <w:position w:val="2"/>
        </w:rPr>
        <w:t>kg/h</w:t>
      </w:r>
      <w:r>
        <w:rPr>
          <w:color w:val="0000FF"/>
          <w:position w:val="2"/>
        </w:rPr>
        <w:t>（</w:t>
      </w:r>
      <w:r>
        <w:rPr>
          <w:rFonts w:hint="eastAsia" w:ascii="Times New Roman" w:eastAsia="宋体"/>
          <w:color w:val="0000FF"/>
          <w:position w:val="2"/>
          <w:lang w:val="en-US" w:eastAsia="zh-CN"/>
        </w:rPr>
        <w:t>4.4286</w:t>
      </w:r>
      <w:r>
        <w:rPr>
          <w:rFonts w:ascii="Times New Roman" w:eastAsia="Times New Roman"/>
          <w:color w:val="0000FF"/>
          <w:position w:val="2"/>
        </w:rPr>
        <w:t>t/a</w:t>
      </w:r>
      <w:r>
        <w:rPr>
          <w:color w:val="0000FF"/>
          <w:position w:val="2"/>
        </w:rPr>
        <w:t>），</w:t>
      </w:r>
      <w:r>
        <w:rPr>
          <w:rFonts w:ascii="Times New Roman" w:eastAsia="Times New Roman"/>
          <w:color w:val="0000FF"/>
          <w:position w:val="2"/>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的排放量约为</w:t>
      </w:r>
      <w:r>
        <w:rPr>
          <w:rFonts w:hint="eastAsia" w:ascii="Times New Roman" w:eastAsia="宋体"/>
          <w:color w:val="0000FF"/>
          <w:position w:val="2"/>
          <w:vertAlign w:val="baseline"/>
          <w:lang w:val="en-US" w:eastAsia="zh-CN"/>
        </w:rPr>
        <w:t>0.05095</w:t>
      </w:r>
      <w:r>
        <w:rPr>
          <w:rFonts w:ascii="Times New Roman" w:eastAsia="Times New Roman"/>
          <w:color w:val="0000FF"/>
          <w:position w:val="2"/>
          <w:vertAlign w:val="baseline"/>
        </w:rPr>
        <w:t>kg/h</w:t>
      </w:r>
      <w:r>
        <w:rPr>
          <w:color w:val="0000FF"/>
          <w:position w:val="2"/>
          <w:vertAlign w:val="baseline"/>
        </w:rPr>
        <w:t>（</w:t>
      </w:r>
      <w:r>
        <w:rPr>
          <w:rFonts w:hint="eastAsia" w:ascii="Times New Roman" w:eastAsia="宋体"/>
          <w:color w:val="0000FF"/>
          <w:position w:val="2"/>
          <w:vertAlign w:val="baseline"/>
          <w:lang w:val="en-US" w:eastAsia="zh-CN"/>
        </w:rPr>
        <w:t>0.4468</w:t>
      </w:r>
      <w:r>
        <w:rPr>
          <w:rFonts w:ascii="Times New Roman" w:eastAsia="Times New Roman"/>
          <w:color w:val="0000FF"/>
          <w:position w:val="2"/>
          <w:vertAlign w:val="baseline"/>
        </w:rPr>
        <w:t>t/a</w:t>
      </w:r>
      <w:r>
        <w:rPr>
          <w:color w:val="0000FF"/>
          <w:position w:val="2"/>
          <w:vertAlign w:val="baseline"/>
        </w:rPr>
        <w:t>），排放方式为</w:t>
      </w:r>
      <w:r>
        <w:rPr>
          <w:color w:val="0000FF"/>
          <w:vertAlign w:val="baseline"/>
        </w:rPr>
        <w:t>无组织排放的面源。</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firstLine="460" w:firstLineChars="200"/>
        <w:textAlignment w:val="auto"/>
        <w:rPr>
          <w:color w:val="0000FF"/>
        </w:rPr>
      </w:pPr>
      <w:r>
        <w:rPr>
          <w:color w:val="0000FF"/>
          <w:spacing w:val="-5"/>
        </w:rPr>
        <w:t>本项目拟在羊舍设置排气扇等换气设备加强通风，并科学合理调控饲粮，合</w:t>
      </w:r>
      <w:r>
        <w:rPr>
          <w:color w:val="0000FF"/>
          <w:spacing w:val="-7"/>
        </w:rPr>
        <w:t>理配置饲料成分，同时加强羊养殖场的环境跟踪和管理，对羊舍、堆肥厂定期喷</w:t>
      </w:r>
      <w:r>
        <w:rPr>
          <w:color w:val="0000FF"/>
          <w:spacing w:val="-11"/>
        </w:rPr>
        <w:t>洒除臭剂，羊舍每天定时清理羊粪，减少恶臭污染物的蓄积，经过上述综合措施</w:t>
      </w:r>
      <w:r>
        <w:rPr>
          <w:color w:val="0000FF"/>
          <w:spacing w:val="-19"/>
        </w:rPr>
        <w:t>处理后，臭气浓度排放值可满足《畜禽养殖业污染物排放标准》</w:t>
      </w:r>
      <w:r>
        <w:rPr>
          <w:color w:val="0000FF"/>
          <w:spacing w:val="-3"/>
        </w:rPr>
        <w:t>（</w:t>
      </w:r>
      <w:r>
        <w:rPr>
          <w:rFonts w:ascii="Times New Roman" w:eastAsia="Times New Roman"/>
          <w:color w:val="0000FF"/>
          <w:spacing w:val="-3"/>
        </w:rPr>
        <w:t>GB18596-2001</w:t>
      </w:r>
      <w:r>
        <w:rPr>
          <w:color w:val="0000FF"/>
          <w:spacing w:val="-3"/>
        </w:rPr>
        <w:t>）</w:t>
      </w:r>
      <w:r>
        <w:rPr>
          <w:color w:val="0000FF"/>
          <w:spacing w:val="-2"/>
        </w:rPr>
        <w:t>中限值要求，即</w:t>
      </w:r>
      <w:r>
        <w:rPr>
          <w:rFonts w:ascii="Times New Roman" w:eastAsia="Times New Roman"/>
          <w:color w:val="0000FF"/>
        </w:rPr>
        <w:t>&lt;70</w:t>
      </w:r>
      <w:r>
        <w:rPr>
          <w:color w:val="0000FF"/>
          <w:spacing w:val="-3"/>
        </w:rPr>
        <w:t>。恶臭污染去除率可达到</w:t>
      </w:r>
      <w:r>
        <w:rPr>
          <w:rFonts w:ascii="Times New Roman" w:eastAsia="Times New Roman"/>
          <w:color w:val="0000FF"/>
        </w:rPr>
        <w:t>80%</w:t>
      </w:r>
      <w:r>
        <w:rPr>
          <w:color w:val="0000FF"/>
          <w:spacing w:val="-3"/>
        </w:rPr>
        <w:t>以上，即</w:t>
      </w:r>
      <w:r>
        <w:rPr>
          <w:rFonts w:ascii="Times New Roman" w:eastAsia="Times New Roman"/>
          <w:color w:val="0000FF"/>
        </w:rPr>
        <w:t>NH</w:t>
      </w:r>
      <w:r>
        <w:rPr>
          <w:rFonts w:ascii="Times New Roman" w:eastAsia="Times New Roman"/>
          <w:color w:val="0000FF"/>
          <w:vertAlign w:val="subscript"/>
        </w:rPr>
        <w:t>3</w:t>
      </w:r>
      <w:r>
        <w:rPr>
          <w:color w:val="0000FF"/>
          <w:vertAlign w:val="baseline"/>
        </w:rPr>
        <w:t>和</w:t>
      </w:r>
      <w:r>
        <w:rPr>
          <w:rFonts w:ascii="Times New Roman" w:eastAsia="Times New Roman"/>
          <w:color w:val="0000FF"/>
          <w:vertAlign w:val="baseline"/>
        </w:rPr>
        <w:t>H</w:t>
      </w:r>
      <w:r>
        <w:rPr>
          <w:rFonts w:ascii="Times New Roman" w:eastAsia="Times New Roman"/>
          <w:color w:val="0000FF"/>
          <w:vertAlign w:val="subscript"/>
        </w:rPr>
        <w:t>2</w:t>
      </w:r>
      <w:r>
        <w:rPr>
          <w:rFonts w:ascii="Times New Roman" w:eastAsia="Times New Roman"/>
          <w:color w:val="0000FF"/>
          <w:vertAlign w:val="baseline"/>
        </w:rPr>
        <w:t>S</w:t>
      </w:r>
      <w:r>
        <w:rPr>
          <w:color w:val="0000FF"/>
          <w:vertAlign w:val="baseline"/>
        </w:rPr>
        <w:t>的降解率＞</w:t>
      </w:r>
      <w:r>
        <w:rPr>
          <w:rFonts w:ascii="Times New Roman" w:eastAsia="Times New Roman"/>
          <w:color w:val="0000FF"/>
          <w:spacing w:val="3"/>
          <w:vertAlign w:val="baseline"/>
        </w:rPr>
        <w:t>80%</w:t>
      </w:r>
      <w:r>
        <w:rPr>
          <w:color w:val="0000FF"/>
          <w:spacing w:val="4"/>
          <w:vertAlign w:val="baseline"/>
        </w:rPr>
        <w:t>，达产后养羊场恶臭污染物排放量为</w:t>
      </w:r>
      <w:r>
        <w:rPr>
          <w:rFonts w:ascii="Times New Roman" w:eastAsia="Times New Roman"/>
          <w:color w:val="0000FF"/>
          <w:vertAlign w:val="baseline"/>
        </w:rPr>
        <w:t>NH</w:t>
      </w:r>
      <w:r>
        <w:rPr>
          <w:rFonts w:ascii="Times New Roman" w:eastAsia="Times New Roman"/>
          <w:color w:val="0000FF"/>
          <w:vertAlign w:val="subscript"/>
        </w:rPr>
        <w:t>3</w:t>
      </w:r>
      <w:r>
        <w:rPr>
          <w:color w:val="0000FF"/>
          <w:vertAlign w:val="baseline"/>
        </w:rPr>
        <w:t>：</w:t>
      </w:r>
      <w:r>
        <w:rPr>
          <w:rFonts w:ascii="Times New Roman" w:eastAsia="Times New Roman"/>
          <w:color w:val="0000FF"/>
          <w:vertAlign w:val="baseline"/>
        </w:rPr>
        <w:t>0.</w:t>
      </w:r>
      <w:r>
        <w:rPr>
          <w:rFonts w:hint="eastAsia" w:ascii="Times New Roman" w:eastAsia="宋体"/>
          <w:color w:val="0000FF"/>
          <w:vertAlign w:val="baseline"/>
          <w:lang w:val="en-US" w:eastAsia="zh-CN"/>
        </w:rPr>
        <w:t>1019</w:t>
      </w:r>
      <w:r>
        <w:rPr>
          <w:rFonts w:ascii="Times New Roman" w:eastAsia="Times New Roman"/>
          <w:color w:val="0000FF"/>
          <w:vertAlign w:val="baseline"/>
        </w:rPr>
        <w:t>kg/h</w:t>
      </w:r>
      <w:r>
        <w:rPr>
          <w:color w:val="0000FF"/>
          <w:vertAlign w:val="baseline"/>
        </w:rPr>
        <w:t>（</w:t>
      </w:r>
      <w:r>
        <w:rPr>
          <w:rFonts w:ascii="Times New Roman" w:eastAsia="Times New Roman"/>
          <w:color w:val="0000FF"/>
          <w:vertAlign w:val="baseline"/>
        </w:rPr>
        <w:t>0.</w:t>
      </w:r>
      <w:r>
        <w:rPr>
          <w:rFonts w:hint="eastAsia" w:ascii="Times New Roman" w:eastAsia="宋体"/>
          <w:color w:val="0000FF"/>
          <w:vertAlign w:val="baseline"/>
          <w:lang w:val="en-US" w:eastAsia="zh-CN"/>
        </w:rPr>
        <w:t>0.0058</w:t>
      </w:r>
      <w:r>
        <w:rPr>
          <w:rFonts w:ascii="Times New Roman" w:eastAsia="Times New Roman"/>
          <w:color w:val="0000FF"/>
          <w:vertAlign w:val="baseline"/>
        </w:rPr>
        <w:t>t/a</w:t>
      </w:r>
      <w:r>
        <w:rPr>
          <w:color w:val="0000FF"/>
          <w:vertAlign w:val="baseline"/>
        </w:rPr>
        <w:t>），</w:t>
      </w:r>
      <w:r>
        <w:rPr>
          <w:rFonts w:ascii="Times New Roman" w:eastAsia="Times New Roman"/>
          <w:color w:val="0000FF"/>
          <w:vertAlign w:val="baseline"/>
        </w:rPr>
        <w:t>H</w:t>
      </w:r>
      <w:r>
        <w:rPr>
          <w:rFonts w:ascii="Times New Roman" w:eastAsia="Times New Roman"/>
          <w:color w:val="0000FF"/>
          <w:vertAlign w:val="subscript"/>
        </w:rPr>
        <w:t>2</w:t>
      </w:r>
      <w:r>
        <w:rPr>
          <w:rFonts w:ascii="Times New Roman" w:eastAsia="Times New Roman"/>
          <w:color w:val="0000FF"/>
          <w:vertAlign w:val="baseline"/>
        </w:rPr>
        <w:t>S</w:t>
      </w:r>
      <w:r>
        <w:rPr>
          <w:color w:val="0000FF"/>
          <w:vertAlign w:val="baseline"/>
        </w:rPr>
        <w:t>：</w:t>
      </w:r>
      <w:r>
        <w:rPr>
          <w:rFonts w:hint="eastAsia" w:ascii="Times New Roman" w:eastAsia="宋体"/>
          <w:color w:val="0000FF"/>
          <w:lang w:val="en-US" w:eastAsia="zh-CN"/>
        </w:rPr>
        <w:t>0.0102</w:t>
      </w:r>
      <w:r>
        <w:rPr>
          <w:rFonts w:ascii="Times New Roman" w:eastAsia="Times New Roman"/>
          <w:color w:val="0000FF"/>
        </w:rPr>
        <w:t>kg/h</w:t>
      </w:r>
      <w:r>
        <w:rPr>
          <w:color w:val="0000FF"/>
        </w:rPr>
        <w:t>（</w:t>
      </w:r>
      <w:r>
        <w:rPr>
          <w:rFonts w:hint="eastAsia"/>
          <w:color w:val="0000FF"/>
          <w:lang w:val="en-US" w:eastAsia="zh-CN"/>
        </w:rPr>
        <w:t>0.0893</w:t>
      </w:r>
      <w:r>
        <w:rPr>
          <w:rFonts w:ascii="Times New Roman" w:eastAsia="Times New Roman"/>
          <w:color w:val="0000FF"/>
        </w:rPr>
        <w:t>t/a</w:t>
      </w:r>
      <w:r>
        <w:rPr>
          <w:color w:val="0000FF"/>
        </w:rPr>
        <w:t>）。</w:t>
      </w:r>
    </w:p>
    <w:p>
      <w:pPr>
        <w:pStyle w:val="7"/>
        <w:spacing w:before="9"/>
        <w:ind w:left="0"/>
        <w:rPr>
          <w:color w:val="0000FF"/>
          <w:sz w:val="18"/>
        </w:rPr>
      </w:pPr>
    </w:p>
    <w:p>
      <w:pPr>
        <w:pStyle w:val="7"/>
        <w:bidi w:val="0"/>
        <w:jc w:val="center"/>
        <w:rPr>
          <w:color w:val="0000FF"/>
        </w:rPr>
      </w:pPr>
    </w:p>
    <w:p>
      <w:pPr>
        <w:pStyle w:val="7"/>
        <w:bidi w:val="0"/>
        <w:jc w:val="center"/>
        <w:rPr>
          <w:color w:val="0000FF"/>
        </w:rPr>
      </w:pPr>
    </w:p>
    <w:p>
      <w:pPr>
        <w:pStyle w:val="7"/>
        <w:bidi w:val="0"/>
        <w:jc w:val="center"/>
        <w:rPr>
          <w:color w:val="0000FF"/>
        </w:rPr>
      </w:pPr>
      <w:r>
        <w:rPr>
          <w:color w:val="0000FF"/>
        </w:rPr>
        <w:t>表</w:t>
      </w:r>
      <w:r>
        <w:rPr>
          <w:rFonts w:ascii="Times New Roman" w:eastAsia="Times New Roman"/>
          <w:color w:val="0000FF"/>
        </w:rPr>
        <w:t>3.2-5</w:t>
      </w:r>
      <w:r>
        <w:rPr>
          <w:rFonts w:ascii="Times New Roman" w:eastAsia="Times New Roman"/>
          <w:color w:val="0000FF"/>
        </w:rPr>
        <w:tab/>
      </w:r>
      <w:r>
        <w:rPr>
          <w:color w:val="0000FF"/>
        </w:rPr>
        <w:t>羊舍恶臭污染物产排情况一览表</w:t>
      </w:r>
    </w:p>
    <w:tbl>
      <w:tblPr>
        <w:tblStyle w:val="15"/>
        <w:tblW w:w="0" w:type="auto"/>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2"/>
        <w:gridCol w:w="1111"/>
        <w:gridCol w:w="1112"/>
        <w:gridCol w:w="3045"/>
        <w:gridCol w:w="1137"/>
        <w:gridCol w:w="1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12" w:type="dxa"/>
            <w:vMerge w:val="restart"/>
          </w:tcPr>
          <w:p>
            <w:pPr>
              <w:pStyle w:val="19"/>
              <w:spacing w:before="4"/>
              <w:jc w:val="left"/>
              <w:rPr>
                <w:b/>
                <w:color w:val="0000FF"/>
                <w:sz w:val="15"/>
              </w:rPr>
            </w:pPr>
          </w:p>
          <w:p>
            <w:pPr>
              <w:pStyle w:val="19"/>
              <w:spacing w:line="278" w:lineRule="auto"/>
              <w:ind w:left="300" w:right="184" w:hanging="106"/>
              <w:jc w:val="left"/>
              <w:rPr>
                <w:b/>
                <w:color w:val="0000FF"/>
                <w:sz w:val="21"/>
              </w:rPr>
            </w:pPr>
            <w:r>
              <w:rPr>
                <w:b/>
                <w:color w:val="0000FF"/>
                <w:sz w:val="21"/>
              </w:rPr>
              <w:t>污染物</w:t>
            </w:r>
          </w:p>
        </w:tc>
        <w:tc>
          <w:tcPr>
            <w:tcW w:w="2223" w:type="dxa"/>
            <w:gridSpan w:val="2"/>
          </w:tcPr>
          <w:p>
            <w:pPr>
              <w:pStyle w:val="19"/>
              <w:spacing w:before="35"/>
              <w:ind w:left="691"/>
              <w:jc w:val="left"/>
              <w:rPr>
                <w:b/>
                <w:color w:val="0000FF"/>
                <w:sz w:val="21"/>
              </w:rPr>
            </w:pPr>
            <w:r>
              <w:rPr>
                <w:b/>
                <w:color w:val="0000FF"/>
                <w:sz w:val="21"/>
              </w:rPr>
              <w:t>产生情况</w:t>
            </w:r>
          </w:p>
        </w:tc>
        <w:tc>
          <w:tcPr>
            <w:tcW w:w="3045" w:type="dxa"/>
            <w:vMerge w:val="restart"/>
          </w:tcPr>
          <w:p>
            <w:pPr>
              <w:pStyle w:val="19"/>
              <w:spacing w:before="6"/>
              <w:jc w:val="left"/>
              <w:rPr>
                <w:b/>
                <w:color w:val="0000FF"/>
                <w:sz w:val="27"/>
              </w:rPr>
            </w:pPr>
          </w:p>
          <w:p>
            <w:pPr>
              <w:pStyle w:val="19"/>
              <w:ind w:left="155" w:right="146"/>
              <w:rPr>
                <w:b/>
                <w:color w:val="0000FF"/>
                <w:sz w:val="21"/>
              </w:rPr>
            </w:pPr>
            <w:r>
              <w:rPr>
                <w:b/>
                <w:color w:val="0000FF"/>
                <w:sz w:val="21"/>
              </w:rPr>
              <w:t>治理措施</w:t>
            </w:r>
          </w:p>
        </w:tc>
        <w:tc>
          <w:tcPr>
            <w:tcW w:w="2275" w:type="dxa"/>
            <w:gridSpan w:val="2"/>
          </w:tcPr>
          <w:p>
            <w:pPr>
              <w:pStyle w:val="19"/>
              <w:spacing w:before="35"/>
              <w:ind w:left="717"/>
              <w:jc w:val="left"/>
              <w:rPr>
                <w:b/>
                <w:color w:val="0000FF"/>
                <w:sz w:val="21"/>
              </w:rPr>
            </w:pPr>
            <w:r>
              <w:rPr>
                <w:b/>
                <w:color w:val="0000FF"/>
                <w:sz w:val="21"/>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2" w:type="dxa"/>
            <w:vMerge w:val="continue"/>
            <w:tcBorders>
              <w:top w:val="nil"/>
            </w:tcBorders>
          </w:tcPr>
          <w:p>
            <w:pPr>
              <w:rPr>
                <w:color w:val="0000FF"/>
                <w:sz w:val="2"/>
                <w:szCs w:val="2"/>
              </w:rPr>
            </w:pPr>
          </w:p>
        </w:tc>
        <w:tc>
          <w:tcPr>
            <w:tcW w:w="1111" w:type="dxa"/>
          </w:tcPr>
          <w:p>
            <w:pPr>
              <w:pStyle w:val="19"/>
              <w:spacing w:before="21"/>
              <w:ind w:left="134"/>
              <w:jc w:val="left"/>
              <w:rPr>
                <w:b/>
                <w:color w:val="0000FF"/>
                <w:sz w:val="21"/>
              </w:rPr>
            </w:pPr>
            <w:r>
              <w:rPr>
                <w:b/>
                <w:color w:val="0000FF"/>
                <w:w w:val="95"/>
                <w:sz w:val="21"/>
              </w:rPr>
              <w:t>产生速率</w:t>
            </w:r>
          </w:p>
          <w:p>
            <w:pPr>
              <w:pStyle w:val="19"/>
              <w:spacing w:before="43"/>
              <w:ind w:left="148"/>
              <w:jc w:val="left"/>
              <w:rPr>
                <w:b/>
                <w:color w:val="0000FF"/>
                <w:sz w:val="21"/>
              </w:rPr>
            </w:pPr>
            <w:r>
              <w:rPr>
                <w:b/>
                <w:color w:val="0000FF"/>
                <w:sz w:val="21"/>
              </w:rPr>
              <w:t>（</w:t>
            </w:r>
            <w:r>
              <w:rPr>
                <w:rFonts w:ascii="Times New Roman" w:eastAsia="Times New Roman"/>
                <w:b/>
                <w:color w:val="0000FF"/>
                <w:sz w:val="21"/>
              </w:rPr>
              <w:t>kg/h</w:t>
            </w:r>
            <w:r>
              <w:rPr>
                <w:b/>
                <w:color w:val="0000FF"/>
                <w:sz w:val="21"/>
              </w:rPr>
              <w:t>）</w:t>
            </w:r>
          </w:p>
        </w:tc>
        <w:tc>
          <w:tcPr>
            <w:tcW w:w="1112" w:type="dxa"/>
          </w:tcPr>
          <w:p>
            <w:pPr>
              <w:pStyle w:val="19"/>
              <w:spacing w:before="21"/>
              <w:ind w:left="240"/>
              <w:jc w:val="left"/>
              <w:rPr>
                <w:b/>
                <w:color w:val="0000FF"/>
                <w:sz w:val="21"/>
              </w:rPr>
            </w:pPr>
            <w:r>
              <w:rPr>
                <w:b/>
                <w:color w:val="0000FF"/>
                <w:w w:val="95"/>
                <w:sz w:val="21"/>
              </w:rPr>
              <w:t>产生量</w:t>
            </w:r>
          </w:p>
          <w:p>
            <w:pPr>
              <w:pStyle w:val="19"/>
              <w:spacing w:before="43"/>
              <w:ind w:left="230"/>
              <w:jc w:val="left"/>
              <w:rPr>
                <w:b/>
                <w:color w:val="0000FF"/>
                <w:sz w:val="21"/>
              </w:rPr>
            </w:pPr>
            <w:r>
              <w:rPr>
                <w:b/>
                <w:color w:val="0000FF"/>
                <w:sz w:val="21"/>
              </w:rPr>
              <w:t>（</w:t>
            </w:r>
            <w:r>
              <w:rPr>
                <w:rFonts w:ascii="Times New Roman" w:eastAsia="Times New Roman"/>
                <w:b/>
                <w:color w:val="0000FF"/>
                <w:sz w:val="21"/>
              </w:rPr>
              <w:t>t/a</w:t>
            </w:r>
            <w:r>
              <w:rPr>
                <w:b/>
                <w:color w:val="0000FF"/>
                <w:sz w:val="21"/>
              </w:rPr>
              <w:t>）</w:t>
            </w:r>
          </w:p>
        </w:tc>
        <w:tc>
          <w:tcPr>
            <w:tcW w:w="3045" w:type="dxa"/>
            <w:vMerge w:val="continue"/>
            <w:tcBorders>
              <w:top w:val="nil"/>
            </w:tcBorders>
          </w:tcPr>
          <w:p>
            <w:pPr>
              <w:rPr>
                <w:color w:val="0000FF"/>
                <w:sz w:val="2"/>
                <w:szCs w:val="2"/>
              </w:rPr>
            </w:pPr>
          </w:p>
        </w:tc>
        <w:tc>
          <w:tcPr>
            <w:tcW w:w="1137" w:type="dxa"/>
          </w:tcPr>
          <w:p>
            <w:pPr>
              <w:pStyle w:val="19"/>
              <w:spacing w:before="21"/>
              <w:ind w:left="148"/>
              <w:jc w:val="left"/>
              <w:rPr>
                <w:b/>
                <w:color w:val="0000FF"/>
                <w:sz w:val="21"/>
              </w:rPr>
            </w:pPr>
            <w:r>
              <w:rPr>
                <w:b/>
                <w:color w:val="0000FF"/>
                <w:w w:val="95"/>
                <w:sz w:val="21"/>
              </w:rPr>
              <w:t>排放速率</w:t>
            </w:r>
          </w:p>
          <w:p>
            <w:pPr>
              <w:pStyle w:val="19"/>
              <w:spacing w:before="43"/>
              <w:ind w:left="160"/>
              <w:jc w:val="left"/>
              <w:rPr>
                <w:b/>
                <w:color w:val="0000FF"/>
                <w:sz w:val="21"/>
              </w:rPr>
            </w:pPr>
            <w:r>
              <w:rPr>
                <w:b/>
                <w:color w:val="0000FF"/>
                <w:sz w:val="21"/>
              </w:rPr>
              <w:t>（</w:t>
            </w:r>
            <w:r>
              <w:rPr>
                <w:rFonts w:ascii="Times New Roman" w:eastAsia="Times New Roman"/>
                <w:b/>
                <w:color w:val="0000FF"/>
                <w:sz w:val="21"/>
              </w:rPr>
              <w:t>kg/h</w:t>
            </w:r>
            <w:r>
              <w:rPr>
                <w:b/>
                <w:color w:val="0000FF"/>
                <w:sz w:val="21"/>
              </w:rPr>
              <w:t>）</w:t>
            </w:r>
          </w:p>
        </w:tc>
        <w:tc>
          <w:tcPr>
            <w:tcW w:w="1138" w:type="dxa"/>
          </w:tcPr>
          <w:p>
            <w:pPr>
              <w:pStyle w:val="19"/>
              <w:spacing w:before="21"/>
              <w:ind w:left="252"/>
              <w:jc w:val="left"/>
              <w:rPr>
                <w:b/>
                <w:color w:val="0000FF"/>
                <w:sz w:val="21"/>
              </w:rPr>
            </w:pPr>
            <w:r>
              <w:rPr>
                <w:b/>
                <w:color w:val="0000FF"/>
                <w:w w:val="95"/>
                <w:sz w:val="21"/>
              </w:rPr>
              <w:t>排放量</w:t>
            </w:r>
          </w:p>
          <w:p>
            <w:pPr>
              <w:pStyle w:val="19"/>
              <w:spacing w:before="43"/>
              <w:ind w:left="242"/>
              <w:jc w:val="left"/>
              <w:rPr>
                <w:b/>
                <w:color w:val="0000FF"/>
                <w:sz w:val="21"/>
              </w:rPr>
            </w:pPr>
            <w:r>
              <w:rPr>
                <w:b/>
                <w:color w:val="0000FF"/>
                <w:sz w:val="21"/>
              </w:rPr>
              <w:t>（</w:t>
            </w:r>
            <w:r>
              <w:rPr>
                <w:rFonts w:ascii="Times New Roman" w:eastAsia="Times New Roman"/>
                <w:b/>
                <w:color w:val="0000FF"/>
                <w:sz w:val="21"/>
              </w:rPr>
              <w:t>t/a</w:t>
            </w:r>
            <w:r>
              <w:rPr>
                <w:b/>
                <w:color w:val="0000FF"/>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12" w:type="dxa"/>
          </w:tcPr>
          <w:p>
            <w:pPr>
              <w:pStyle w:val="19"/>
              <w:spacing w:before="46"/>
              <w:ind w:left="221"/>
              <w:jc w:val="left"/>
              <w:rPr>
                <w:rFonts w:ascii="Times New Roman"/>
                <w:color w:val="0000FF"/>
                <w:sz w:val="21"/>
              </w:rPr>
            </w:pPr>
            <w:r>
              <w:rPr>
                <w:rFonts w:ascii="Times New Roman"/>
                <w:color w:val="0000FF"/>
                <w:position w:val="2"/>
                <w:sz w:val="21"/>
              </w:rPr>
              <w:t>NH</w:t>
            </w:r>
            <w:r>
              <w:rPr>
                <w:rFonts w:ascii="Times New Roman"/>
                <w:color w:val="0000FF"/>
                <w:position w:val="2"/>
                <w:sz w:val="21"/>
                <w:vertAlign w:val="subscript"/>
              </w:rPr>
              <w:t>3</w:t>
            </w:r>
          </w:p>
        </w:tc>
        <w:tc>
          <w:tcPr>
            <w:tcW w:w="1111" w:type="dxa"/>
          </w:tcPr>
          <w:p>
            <w:pPr>
              <w:pStyle w:val="19"/>
              <w:spacing w:before="49"/>
              <w:ind w:left="319"/>
              <w:jc w:val="left"/>
              <w:rPr>
                <w:rFonts w:hint="default" w:ascii="Times New Roman" w:eastAsia="宋体"/>
                <w:color w:val="0000FF"/>
                <w:sz w:val="21"/>
                <w:lang w:val="en-US" w:eastAsia="zh-CN"/>
              </w:rPr>
            </w:pPr>
            <w:r>
              <w:rPr>
                <w:rFonts w:hint="eastAsia" w:ascii="Times New Roman"/>
                <w:color w:val="0000FF"/>
                <w:sz w:val="21"/>
                <w:lang w:val="en-US" w:eastAsia="zh-CN"/>
              </w:rPr>
              <w:t>0.50949</w:t>
            </w:r>
          </w:p>
        </w:tc>
        <w:tc>
          <w:tcPr>
            <w:tcW w:w="1112" w:type="dxa"/>
          </w:tcPr>
          <w:p>
            <w:pPr>
              <w:pStyle w:val="19"/>
              <w:spacing w:before="49"/>
              <w:ind w:left="319"/>
              <w:jc w:val="left"/>
              <w:rPr>
                <w:rFonts w:hint="default" w:ascii="Times New Roman" w:eastAsia="宋体"/>
                <w:color w:val="0000FF"/>
                <w:sz w:val="21"/>
                <w:lang w:val="en-US" w:eastAsia="zh-CN"/>
              </w:rPr>
            </w:pPr>
            <w:r>
              <w:rPr>
                <w:rFonts w:hint="eastAsia" w:ascii="Times New Roman"/>
                <w:color w:val="0000FF"/>
                <w:sz w:val="21"/>
                <w:lang w:val="en-US" w:eastAsia="zh-CN"/>
              </w:rPr>
              <w:t>4.4286</w:t>
            </w:r>
          </w:p>
        </w:tc>
        <w:tc>
          <w:tcPr>
            <w:tcW w:w="3045" w:type="dxa"/>
            <w:vMerge w:val="restart"/>
          </w:tcPr>
          <w:p>
            <w:pPr>
              <w:pStyle w:val="19"/>
              <w:spacing w:before="1" w:line="240" w:lineRule="exact"/>
              <w:ind w:left="157" w:right="146"/>
              <w:rPr>
                <w:rFonts w:ascii="Times New Roman" w:eastAsia="Times New Roman"/>
                <w:color w:val="0000FF"/>
                <w:sz w:val="21"/>
              </w:rPr>
            </w:pPr>
            <w:r>
              <w:rPr>
                <w:color w:val="0000FF"/>
                <w:w w:val="95"/>
                <w:sz w:val="21"/>
              </w:rPr>
              <w:t>采取加强通风、合理配置饲料成分、定期喷洒除臭剂、加强清洁卫生管理等防护措施；效</w:t>
            </w:r>
            <w:r>
              <w:rPr>
                <w:color w:val="0000FF"/>
                <w:sz w:val="21"/>
              </w:rPr>
              <w:t>率</w:t>
            </w:r>
            <w:r>
              <w:rPr>
                <w:rFonts w:ascii="Times New Roman" w:eastAsia="Times New Roman"/>
                <w:color w:val="0000FF"/>
                <w:sz w:val="21"/>
              </w:rPr>
              <w:t>80%</w:t>
            </w:r>
          </w:p>
        </w:tc>
        <w:tc>
          <w:tcPr>
            <w:tcW w:w="1137" w:type="dxa"/>
          </w:tcPr>
          <w:p>
            <w:pPr>
              <w:pStyle w:val="19"/>
              <w:spacing w:before="49"/>
              <w:ind w:right="266"/>
              <w:jc w:val="right"/>
              <w:rPr>
                <w:rFonts w:hint="default" w:ascii="Times New Roman" w:eastAsia="宋体"/>
                <w:color w:val="0000FF"/>
                <w:sz w:val="21"/>
                <w:lang w:val="en-US" w:eastAsia="zh-CN"/>
              </w:rPr>
            </w:pPr>
            <w:r>
              <w:rPr>
                <w:rFonts w:hint="eastAsia" w:ascii="Times New Roman"/>
                <w:color w:val="0000FF"/>
                <w:w w:val="95"/>
                <w:sz w:val="21"/>
                <w:lang w:val="en-US" w:eastAsia="zh-CN"/>
              </w:rPr>
              <w:t>0.1019</w:t>
            </w:r>
          </w:p>
        </w:tc>
        <w:tc>
          <w:tcPr>
            <w:tcW w:w="1138" w:type="dxa"/>
          </w:tcPr>
          <w:p>
            <w:pPr>
              <w:pStyle w:val="19"/>
              <w:spacing w:before="49"/>
              <w:ind w:left="126" w:right="117"/>
              <w:rPr>
                <w:rFonts w:hint="default" w:ascii="Times New Roman" w:eastAsia="宋体"/>
                <w:color w:val="0000FF"/>
                <w:sz w:val="21"/>
                <w:lang w:val="en-US" w:eastAsia="zh-CN"/>
              </w:rPr>
            </w:pPr>
            <w:r>
              <w:rPr>
                <w:rFonts w:hint="eastAsia" w:ascii="Times New Roman"/>
                <w:color w:val="0000FF"/>
                <w:sz w:val="21"/>
                <w:lang w:val="en-US" w:eastAsia="zh-CN"/>
              </w:rPr>
              <w:t>0.8858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812" w:type="dxa"/>
          </w:tcPr>
          <w:p>
            <w:pPr>
              <w:pStyle w:val="19"/>
              <w:spacing w:before="181"/>
              <w:ind w:left="238"/>
              <w:jc w:val="left"/>
              <w:rPr>
                <w:rFonts w:ascii="Times New Roman"/>
                <w:color w:val="0000FF"/>
                <w:sz w:val="21"/>
              </w:rPr>
            </w:pPr>
            <w:r>
              <w:rPr>
                <w:rFonts w:ascii="Times New Roman"/>
                <w:color w:val="0000FF"/>
                <w:position w:val="2"/>
                <w:sz w:val="21"/>
              </w:rPr>
              <w:t>H</w:t>
            </w:r>
            <w:r>
              <w:rPr>
                <w:rFonts w:ascii="Times New Roman"/>
                <w:color w:val="0000FF"/>
                <w:position w:val="2"/>
                <w:sz w:val="21"/>
                <w:vertAlign w:val="subscript"/>
              </w:rPr>
              <w:t>2</w:t>
            </w:r>
            <w:r>
              <w:rPr>
                <w:rFonts w:ascii="Times New Roman"/>
                <w:color w:val="0000FF"/>
                <w:position w:val="2"/>
                <w:sz w:val="21"/>
                <w:vertAlign w:val="baseline"/>
              </w:rPr>
              <w:t>S</w:t>
            </w:r>
          </w:p>
        </w:tc>
        <w:tc>
          <w:tcPr>
            <w:tcW w:w="1111" w:type="dxa"/>
          </w:tcPr>
          <w:p>
            <w:pPr>
              <w:pStyle w:val="19"/>
              <w:spacing w:before="184"/>
              <w:ind w:left="266"/>
              <w:jc w:val="left"/>
              <w:rPr>
                <w:rFonts w:hint="default" w:ascii="Times New Roman" w:eastAsia="宋体"/>
                <w:color w:val="0000FF"/>
                <w:sz w:val="21"/>
                <w:lang w:val="en-US" w:eastAsia="zh-CN"/>
              </w:rPr>
            </w:pPr>
            <w:r>
              <w:rPr>
                <w:rFonts w:hint="eastAsia" w:ascii="Times New Roman"/>
                <w:color w:val="0000FF"/>
                <w:sz w:val="21"/>
                <w:lang w:val="en-US" w:eastAsia="zh-CN"/>
              </w:rPr>
              <w:t>0.05095</w:t>
            </w:r>
          </w:p>
        </w:tc>
        <w:tc>
          <w:tcPr>
            <w:tcW w:w="1112" w:type="dxa"/>
          </w:tcPr>
          <w:p>
            <w:pPr>
              <w:pStyle w:val="19"/>
              <w:spacing w:before="184"/>
              <w:ind w:left="266"/>
              <w:jc w:val="left"/>
              <w:rPr>
                <w:rFonts w:hint="default" w:ascii="Times New Roman" w:eastAsia="宋体"/>
                <w:color w:val="0000FF"/>
                <w:sz w:val="21"/>
                <w:lang w:val="en-US" w:eastAsia="zh-CN"/>
              </w:rPr>
            </w:pPr>
            <w:r>
              <w:rPr>
                <w:rFonts w:hint="eastAsia" w:ascii="Times New Roman"/>
                <w:color w:val="0000FF"/>
                <w:sz w:val="21"/>
                <w:lang w:val="en-US" w:eastAsia="zh-CN"/>
              </w:rPr>
              <w:t>0.4468</w:t>
            </w:r>
          </w:p>
        </w:tc>
        <w:tc>
          <w:tcPr>
            <w:tcW w:w="3045" w:type="dxa"/>
            <w:vMerge w:val="continue"/>
            <w:tcBorders>
              <w:top w:val="nil"/>
            </w:tcBorders>
          </w:tcPr>
          <w:p>
            <w:pPr>
              <w:rPr>
                <w:color w:val="0000FF"/>
                <w:sz w:val="2"/>
                <w:szCs w:val="2"/>
              </w:rPr>
            </w:pPr>
          </w:p>
        </w:tc>
        <w:tc>
          <w:tcPr>
            <w:tcW w:w="1137" w:type="dxa"/>
          </w:tcPr>
          <w:p>
            <w:pPr>
              <w:pStyle w:val="19"/>
              <w:spacing w:before="184"/>
              <w:ind w:right="216"/>
              <w:jc w:val="right"/>
              <w:rPr>
                <w:rFonts w:hint="default" w:ascii="Times New Roman" w:eastAsia="宋体"/>
                <w:color w:val="0000FF"/>
                <w:sz w:val="21"/>
                <w:lang w:val="en-US" w:eastAsia="zh-CN"/>
              </w:rPr>
            </w:pPr>
            <w:r>
              <w:rPr>
                <w:rFonts w:hint="eastAsia" w:ascii="Times New Roman"/>
                <w:color w:val="0000FF"/>
                <w:w w:val="95"/>
                <w:sz w:val="21"/>
                <w:lang w:val="en-US" w:eastAsia="zh-CN"/>
              </w:rPr>
              <w:t>0.0102</w:t>
            </w:r>
          </w:p>
        </w:tc>
        <w:tc>
          <w:tcPr>
            <w:tcW w:w="1138" w:type="dxa"/>
          </w:tcPr>
          <w:p>
            <w:pPr>
              <w:pStyle w:val="19"/>
              <w:spacing w:before="184"/>
              <w:ind w:left="124" w:right="117"/>
              <w:rPr>
                <w:rFonts w:hint="default" w:ascii="Times New Roman" w:eastAsia="宋体"/>
                <w:color w:val="0000FF"/>
                <w:sz w:val="21"/>
                <w:lang w:val="en-US" w:eastAsia="zh-CN"/>
              </w:rPr>
            </w:pPr>
            <w:r>
              <w:rPr>
                <w:rFonts w:ascii="Times New Roman"/>
                <w:color w:val="0000FF"/>
                <w:sz w:val="21"/>
              </w:rPr>
              <w:t>0.</w:t>
            </w:r>
            <w:r>
              <w:rPr>
                <w:rFonts w:hint="eastAsia" w:ascii="Times New Roman"/>
                <w:color w:val="0000FF"/>
                <w:sz w:val="21"/>
                <w:lang w:val="en-US" w:eastAsia="zh-CN"/>
              </w:rPr>
              <w:t>0893</w:t>
            </w:r>
          </w:p>
        </w:tc>
      </w:tr>
    </w:tbl>
    <w:p>
      <w:pPr>
        <w:pStyle w:val="7"/>
        <w:spacing w:before="7"/>
        <w:ind w:left="0"/>
        <w:rPr>
          <w:b/>
          <w:sz w:val="18"/>
        </w:rPr>
      </w:pPr>
    </w:p>
    <w:p>
      <w:pPr>
        <w:pStyle w:val="7"/>
        <w:ind w:left="1020"/>
      </w:pPr>
      <w:r>
        <w:t>无组织排放的恶臭浓度计算公式如下式：</w:t>
      </w:r>
    </w:p>
    <w:p>
      <w:pPr>
        <w:pStyle w:val="7"/>
        <w:spacing w:before="174"/>
        <w:ind w:left="0" w:right="36"/>
        <w:jc w:val="center"/>
        <w:rPr>
          <w:rFonts w:ascii="Times New Roman" w:hAnsi="Times New Roman"/>
          <w:sz w:val="15"/>
        </w:rPr>
      </w:pPr>
      <w:r>
        <w:rPr>
          <w:rFonts w:ascii="Times New Roman" w:hAnsi="Times New Roman"/>
        </w:rPr>
        <w:t>C=Q/V×10</w:t>
      </w:r>
      <w:r>
        <w:rPr>
          <w:rFonts w:ascii="Times New Roman" w:hAnsi="Times New Roman"/>
          <w:position w:val="8"/>
          <w:sz w:val="15"/>
        </w:rPr>
        <w:t>-6</w:t>
      </w:r>
    </w:p>
    <w:p>
      <w:pPr>
        <w:pStyle w:val="7"/>
        <w:spacing w:before="179"/>
        <w:ind w:left="1500"/>
      </w:pPr>
      <w:r>
        <w:t>式中：</w:t>
      </w:r>
      <w:r>
        <w:rPr>
          <w:rFonts w:ascii="Times New Roman" w:hAnsi="Times New Roman" w:eastAsia="Times New Roman"/>
        </w:rPr>
        <w:t>C</w:t>
      </w:r>
      <w:r>
        <w:t>—恶臭污染物的浓度，</w:t>
      </w:r>
      <w:r>
        <w:rPr>
          <w:rFonts w:ascii="Times New Roman" w:hAnsi="Times New Roman" w:eastAsia="Times New Roman"/>
        </w:rPr>
        <w:t>mg/m</w:t>
      </w:r>
      <w:r>
        <w:rPr>
          <w:rFonts w:ascii="Times New Roman" w:hAnsi="Times New Roman" w:eastAsia="Times New Roman"/>
          <w:position w:val="8"/>
          <w:sz w:val="15"/>
        </w:rPr>
        <w:t>3</w:t>
      </w:r>
      <w:r>
        <w:t>；</w:t>
      </w:r>
    </w:p>
    <w:p>
      <w:pPr>
        <w:pStyle w:val="7"/>
        <w:spacing w:before="160"/>
        <w:ind w:left="2220"/>
      </w:pPr>
      <w:r>
        <w:rPr>
          <w:rFonts w:ascii="Times New Roman" w:hAnsi="Times New Roman" w:eastAsia="Times New Roman"/>
        </w:rPr>
        <w:t>Q</w:t>
      </w:r>
      <w:r>
        <w:t>—恶臭污染物排放量，</w:t>
      </w:r>
      <w:r>
        <w:rPr>
          <w:rFonts w:ascii="Times New Roman" w:hAnsi="Times New Roman" w:eastAsia="Times New Roman"/>
        </w:rPr>
        <w:t>kg/h</w:t>
      </w:r>
      <w:r>
        <w:t>；</w:t>
      </w:r>
    </w:p>
    <w:p>
      <w:pPr>
        <w:pStyle w:val="7"/>
        <w:spacing w:before="161"/>
        <w:ind w:left="2220"/>
      </w:pPr>
      <w:r>
        <w:rPr>
          <w:rFonts w:ascii="Times New Roman" w:hAnsi="Times New Roman" w:eastAsia="Times New Roman"/>
        </w:rPr>
        <w:t>V</w:t>
      </w:r>
      <w:r>
        <w:t>—烟囱或排气筒的气体流量，</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/h</w:t>
      </w:r>
      <w:r>
        <w:t>。</w:t>
      </w:r>
    </w:p>
    <w:p>
      <w:pPr>
        <w:pStyle w:val="7"/>
        <w:spacing w:before="160" w:line="364" w:lineRule="auto"/>
        <w:ind w:right="575" w:firstLine="480"/>
        <w:jc w:val="both"/>
        <w:rPr>
          <w:color w:val="0000FF"/>
        </w:rPr>
      </w:pPr>
      <w:r>
        <w:rPr>
          <w:color w:val="0000FF"/>
          <w:spacing w:val="-11"/>
        </w:rPr>
        <w:t>风量：舍、羊舍为半敞开式，以自然通风为主，同时设置新风系统来持羊舍</w:t>
      </w:r>
      <w:r>
        <w:rPr>
          <w:color w:val="0000FF"/>
          <w:spacing w:val="-2"/>
        </w:rPr>
        <w:t>空气的流通和新鲜。按照羊舍的设计标准，羊舍通风量为</w:t>
      </w:r>
      <w:r>
        <w:rPr>
          <w:rFonts w:ascii="Times New Roman" w:hAnsi="Times New Roman" w:eastAsia="Times New Roman"/>
          <w:color w:val="0000FF"/>
        </w:rPr>
        <w:t>20m</w:t>
      </w:r>
      <w:r>
        <w:rPr>
          <w:rFonts w:ascii="Times New Roman" w:hAnsi="Times New Roman" w:eastAsia="Times New Roman"/>
          <w:color w:val="0000FF"/>
          <w:position w:val="8"/>
          <w:sz w:val="15"/>
        </w:rPr>
        <w:t>3</w:t>
      </w:r>
      <w:r>
        <w:rPr>
          <w:rFonts w:ascii="Times New Roman" w:hAnsi="Times New Roman" w:eastAsia="Times New Roman"/>
          <w:color w:val="0000FF"/>
        </w:rPr>
        <w:t>/</w:t>
      </w:r>
      <w:r>
        <w:rPr>
          <w:color w:val="0000FF"/>
        </w:rPr>
        <w:t>（只</w:t>
      </w:r>
      <w:r>
        <w:rPr>
          <w:rFonts w:ascii="Times New Roman" w:hAnsi="Times New Roman" w:eastAsia="Times New Roman"/>
          <w:color w:val="0000FF"/>
        </w:rPr>
        <w:t>·h</w:t>
      </w:r>
      <w:r>
        <w:rPr>
          <w:color w:val="0000FF"/>
        </w:rPr>
        <w:t>），项目</w:t>
      </w:r>
      <w:r>
        <w:rPr>
          <w:color w:val="0000FF"/>
          <w:spacing w:val="-9"/>
        </w:rPr>
        <w:t>羊只存栏量为</w:t>
      </w:r>
      <w:r>
        <w:rPr>
          <w:rFonts w:hint="eastAsia" w:ascii="Times New Roman" w:hAnsi="Times New Roman" w:eastAsia="宋体"/>
          <w:color w:val="0000FF"/>
          <w:lang w:val="en-US" w:eastAsia="zh-CN"/>
        </w:rPr>
        <w:t>10</w:t>
      </w:r>
      <w:r>
        <w:rPr>
          <w:color w:val="0000FF"/>
          <w:spacing w:val="-3"/>
        </w:rPr>
        <w:t>万只，由此计算出羊舍全年小时平均排风量为</w:t>
      </w:r>
      <w:r>
        <w:rPr>
          <w:rFonts w:hint="eastAsia" w:ascii="Times New Roman" w:hAnsi="Times New Roman" w:eastAsia="宋体"/>
          <w:color w:val="0000FF"/>
          <w:lang w:val="en-US" w:eastAsia="zh-CN"/>
        </w:rPr>
        <w:t>20</w:t>
      </w:r>
      <w:r>
        <w:rPr>
          <w:rFonts w:ascii="Times New Roman" w:hAnsi="Times New Roman" w:eastAsia="Times New Roman"/>
          <w:color w:val="0000FF"/>
        </w:rPr>
        <w:t>0</w:t>
      </w:r>
      <w:r>
        <w:rPr>
          <w:color w:val="0000FF"/>
          <w:spacing w:val="-30"/>
        </w:rPr>
        <w:t>万</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/h</w:t>
      </w:r>
      <w:r>
        <w:rPr>
          <w:color w:val="0000FF"/>
        </w:rPr>
        <w:t>。</w:t>
      </w:r>
    </w:p>
    <w:p>
      <w:pPr>
        <w:tabs>
          <w:tab w:val="left" w:pos="4132"/>
        </w:tabs>
        <w:spacing w:before="2" w:line="424" w:lineRule="auto"/>
        <w:ind w:left="2613" w:right="1664" w:hanging="1594"/>
        <w:jc w:val="both"/>
        <w:rPr>
          <w:b/>
          <w:sz w:val="24"/>
        </w:rPr>
      </w:pPr>
      <w:r>
        <w:rPr>
          <w:sz w:val="24"/>
        </w:rPr>
        <w:t>经计算，正常情况下恶臭气体</w:t>
      </w:r>
      <w:r>
        <w:rPr>
          <w:rFonts w:ascii="Times New Roman" w:eastAsia="Times New Roman"/>
          <w:sz w:val="24"/>
        </w:rPr>
        <w:t>H</w:t>
      </w:r>
      <w:r>
        <w:rPr>
          <w:rFonts w:ascii="Times New Roman" w:eastAsia="Times New Roman"/>
          <w:sz w:val="15"/>
        </w:rPr>
        <w:t>2</w:t>
      </w:r>
      <w:r>
        <w:rPr>
          <w:rFonts w:ascii="Times New Roman" w:eastAsia="Times New Roman"/>
          <w:sz w:val="24"/>
        </w:rPr>
        <w:t>S</w:t>
      </w:r>
      <w:r>
        <w:rPr>
          <w:sz w:val="24"/>
        </w:rPr>
        <w:t>、</w:t>
      </w:r>
      <w:r>
        <w:rPr>
          <w:rFonts w:ascii="Times New Roman" w:eastAsia="Times New Roman"/>
          <w:sz w:val="24"/>
        </w:rPr>
        <w:t>NH</w:t>
      </w:r>
      <w:r>
        <w:rPr>
          <w:rFonts w:ascii="Times New Roman" w:eastAsia="Times New Roman"/>
          <w:sz w:val="15"/>
        </w:rPr>
        <w:t>3</w:t>
      </w:r>
      <w:r>
        <w:rPr>
          <w:sz w:val="24"/>
        </w:rPr>
        <w:t>的边界浓度见表</w:t>
      </w:r>
      <w:r>
        <w:rPr>
          <w:rFonts w:ascii="Times New Roman" w:eastAsia="Times New Roman"/>
          <w:sz w:val="24"/>
        </w:rPr>
        <w:t>3.2-6</w:t>
      </w:r>
      <w:r>
        <w:rPr>
          <w:spacing w:val="-12"/>
          <w:sz w:val="24"/>
        </w:rPr>
        <w:t>。</w:t>
      </w:r>
      <w:r>
        <w:rPr>
          <w:b/>
          <w:sz w:val="24"/>
        </w:rPr>
        <w:t>表</w:t>
      </w:r>
      <w:r>
        <w:rPr>
          <w:rFonts w:ascii="Times New Roman" w:eastAsia="Times New Roman"/>
          <w:b/>
          <w:sz w:val="24"/>
        </w:rPr>
        <w:t>3.2-6</w:t>
      </w:r>
      <w:r>
        <w:rPr>
          <w:rFonts w:ascii="Times New Roman" w:eastAsia="Times New Roman"/>
          <w:b/>
          <w:sz w:val="24"/>
        </w:rPr>
        <w:tab/>
      </w:r>
      <w:r>
        <w:rPr>
          <w:b/>
          <w:sz w:val="24"/>
        </w:rPr>
        <w:t>羊圈舍恶臭气体源强计算</w:t>
      </w:r>
    </w:p>
    <w:tbl>
      <w:tblPr>
        <w:tblStyle w:val="1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980"/>
        <w:gridCol w:w="1172"/>
        <w:gridCol w:w="1217"/>
        <w:gridCol w:w="1361"/>
        <w:gridCol w:w="1343"/>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6" w:type="dxa"/>
            <w:vMerge w:val="restart"/>
          </w:tcPr>
          <w:p>
            <w:pPr>
              <w:pStyle w:val="19"/>
              <w:spacing w:before="13" w:line="310" w:lineRule="atLeast"/>
              <w:ind w:left="317" w:right="201" w:hanging="106"/>
              <w:jc w:val="left"/>
              <w:rPr>
                <w:b/>
                <w:sz w:val="21"/>
              </w:rPr>
            </w:pPr>
            <w:r>
              <w:rPr>
                <w:b/>
                <w:sz w:val="21"/>
              </w:rPr>
              <w:t>排放源</w:t>
            </w:r>
          </w:p>
        </w:tc>
        <w:tc>
          <w:tcPr>
            <w:tcW w:w="2152" w:type="dxa"/>
            <w:gridSpan w:val="2"/>
          </w:tcPr>
          <w:p>
            <w:pPr>
              <w:pStyle w:val="19"/>
              <w:spacing w:before="34"/>
              <w:ind w:left="247"/>
              <w:jc w:val="left"/>
              <w:rPr>
                <w:b/>
                <w:sz w:val="21"/>
              </w:rPr>
            </w:pPr>
            <w:r>
              <w:rPr>
                <w:b/>
                <w:sz w:val="21"/>
              </w:rPr>
              <w:t>排放速率（</w:t>
            </w:r>
            <w:r>
              <w:rPr>
                <w:rFonts w:ascii="Times New Roman" w:eastAsia="Times New Roman"/>
                <w:b/>
                <w:sz w:val="21"/>
              </w:rPr>
              <w:t>kg/h</w:t>
            </w:r>
            <w:r>
              <w:rPr>
                <w:b/>
                <w:sz w:val="21"/>
              </w:rPr>
              <w:t>）</w:t>
            </w:r>
          </w:p>
        </w:tc>
        <w:tc>
          <w:tcPr>
            <w:tcW w:w="2578" w:type="dxa"/>
            <w:gridSpan w:val="2"/>
          </w:tcPr>
          <w:p>
            <w:pPr>
              <w:pStyle w:val="19"/>
              <w:spacing w:before="34"/>
              <w:ind w:left="648"/>
              <w:jc w:val="left"/>
              <w:rPr>
                <w:b/>
                <w:sz w:val="21"/>
              </w:rPr>
            </w:pPr>
            <w:r>
              <w:rPr>
                <w:b/>
                <w:sz w:val="21"/>
              </w:rPr>
              <w:t>排放量（</w:t>
            </w:r>
            <w:r>
              <w:rPr>
                <w:rFonts w:ascii="Times New Roman" w:eastAsia="Times New Roman"/>
                <w:b/>
                <w:sz w:val="21"/>
              </w:rPr>
              <w:t>t/a</w:t>
            </w:r>
            <w:r>
              <w:rPr>
                <w:b/>
                <w:sz w:val="21"/>
              </w:rPr>
              <w:t>）</w:t>
            </w:r>
          </w:p>
        </w:tc>
        <w:tc>
          <w:tcPr>
            <w:tcW w:w="2943" w:type="dxa"/>
            <w:gridSpan w:val="2"/>
          </w:tcPr>
          <w:p>
            <w:pPr>
              <w:pStyle w:val="19"/>
              <w:spacing w:before="34"/>
              <w:ind w:left="552"/>
              <w:jc w:val="left"/>
              <w:rPr>
                <w:b/>
                <w:sz w:val="21"/>
              </w:rPr>
            </w:pPr>
            <w:r>
              <w:rPr>
                <w:b/>
                <w:sz w:val="21"/>
              </w:rPr>
              <w:t>边界浓度（</w:t>
            </w:r>
            <w:r>
              <w:rPr>
                <w:rFonts w:ascii="Times New Roman" w:eastAsia="Times New Roman"/>
                <w:b/>
                <w:sz w:val="21"/>
              </w:rPr>
              <w:t>mg/m</w:t>
            </w:r>
            <w:r>
              <w:rPr>
                <w:rFonts w:ascii="Times New Roman" w:eastAsia="Times New Roman"/>
                <w:b/>
                <w:position w:val="7"/>
                <w:sz w:val="13"/>
              </w:rPr>
              <w:t>3</w:t>
            </w:r>
            <w:r>
              <w:rPr>
                <w:b/>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6" w:type="dxa"/>
            <w:vMerge w:val="continue"/>
          </w:tcPr>
          <w:p>
            <w:pPr>
              <w:rPr>
                <w:sz w:val="2"/>
                <w:szCs w:val="2"/>
              </w:rPr>
            </w:pPr>
          </w:p>
        </w:tc>
        <w:tc>
          <w:tcPr>
            <w:tcW w:w="980" w:type="dxa"/>
          </w:tcPr>
          <w:p>
            <w:pPr>
              <w:pStyle w:val="19"/>
              <w:spacing w:before="46"/>
              <w:ind w:left="181" w:right="171"/>
              <w:rPr>
                <w:rFonts w:ascii="Times New Roman"/>
                <w:sz w:val="21"/>
              </w:rPr>
            </w:pPr>
            <w:r>
              <w:rPr>
                <w:rFonts w:ascii="Times New Roman"/>
                <w:position w:val="2"/>
                <w:sz w:val="21"/>
              </w:rPr>
              <w:t>NH</w:t>
            </w:r>
            <w:r>
              <w:rPr>
                <w:rFonts w:ascii="Times New Roman"/>
                <w:position w:val="2"/>
                <w:sz w:val="21"/>
                <w:vertAlign w:val="subscript"/>
              </w:rPr>
              <w:t>3</w:t>
            </w:r>
          </w:p>
        </w:tc>
        <w:tc>
          <w:tcPr>
            <w:tcW w:w="1172" w:type="dxa"/>
          </w:tcPr>
          <w:p>
            <w:pPr>
              <w:pStyle w:val="19"/>
              <w:spacing w:before="46"/>
              <w:ind w:left="223" w:right="215"/>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217" w:type="dxa"/>
          </w:tcPr>
          <w:p>
            <w:pPr>
              <w:pStyle w:val="19"/>
              <w:spacing w:before="46"/>
              <w:ind w:left="423"/>
              <w:jc w:val="left"/>
              <w:rPr>
                <w:rFonts w:ascii="Times New Roman"/>
                <w:sz w:val="21"/>
              </w:rPr>
            </w:pPr>
            <w:r>
              <w:rPr>
                <w:rFonts w:ascii="Times New Roman"/>
                <w:position w:val="2"/>
                <w:sz w:val="21"/>
              </w:rPr>
              <w:t>NH</w:t>
            </w:r>
            <w:r>
              <w:rPr>
                <w:rFonts w:ascii="Times New Roman"/>
                <w:position w:val="2"/>
                <w:sz w:val="21"/>
                <w:vertAlign w:val="subscript"/>
              </w:rPr>
              <w:t>3</w:t>
            </w:r>
          </w:p>
        </w:tc>
        <w:tc>
          <w:tcPr>
            <w:tcW w:w="1361" w:type="dxa"/>
          </w:tcPr>
          <w:p>
            <w:pPr>
              <w:pStyle w:val="19"/>
              <w:spacing w:before="46"/>
              <w:ind w:left="371" w:right="362"/>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343" w:type="dxa"/>
          </w:tcPr>
          <w:p>
            <w:pPr>
              <w:pStyle w:val="19"/>
              <w:spacing w:before="46"/>
              <w:ind w:left="361" w:right="353"/>
              <w:rPr>
                <w:rFonts w:ascii="Times New Roman"/>
                <w:sz w:val="21"/>
              </w:rPr>
            </w:pPr>
            <w:r>
              <w:rPr>
                <w:rFonts w:ascii="Times New Roman"/>
                <w:position w:val="2"/>
                <w:sz w:val="21"/>
              </w:rPr>
              <w:t>NH</w:t>
            </w:r>
            <w:r>
              <w:rPr>
                <w:rFonts w:ascii="Times New Roman"/>
                <w:position w:val="2"/>
                <w:sz w:val="21"/>
                <w:vertAlign w:val="subscript"/>
              </w:rPr>
              <w:t>3</w:t>
            </w:r>
          </w:p>
        </w:tc>
        <w:tc>
          <w:tcPr>
            <w:tcW w:w="1600" w:type="dxa"/>
          </w:tcPr>
          <w:p>
            <w:pPr>
              <w:pStyle w:val="19"/>
              <w:spacing w:before="46"/>
              <w:ind w:left="436" w:right="427"/>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6" w:type="dxa"/>
          </w:tcPr>
          <w:p>
            <w:pPr>
              <w:pStyle w:val="19"/>
              <w:spacing w:before="35"/>
              <w:ind w:left="212"/>
              <w:jc w:val="left"/>
              <w:rPr>
                <w:sz w:val="21"/>
              </w:rPr>
            </w:pPr>
            <w:r>
              <w:rPr>
                <w:sz w:val="21"/>
              </w:rPr>
              <w:t>羊舍</w:t>
            </w:r>
          </w:p>
        </w:tc>
        <w:tc>
          <w:tcPr>
            <w:tcW w:w="980" w:type="dxa"/>
          </w:tcPr>
          <w:p>
            <w:pPr>
              <w:pStyle w:val="19"/>
              <w:spacing w:before="49"/>
              <w:ind w:left="181" w:right="171"/>
              <w:rPr>
                <w:rFonts w:ascii="Times New Roman"/>
                <w:sz w:val="21"/>
              </w:rPr>
            </w:pPr>
            <w:r>
              <w:rPr>
                <w:rFonts w:ascii="Times New Roman"/>
                <w:sz w:val="21"/>
              </w:rPr>
              <w:t>0.0306</w:t>
            </w:r>
          </w:p>
        </w:tc>
        <w:tc>
          <w:tcPr>
            <w:tcW w:w="1172" w:type="dxa"/>
          </w:tcPr>
          <w:p>
            <w:pPr>
              <w:pStyle w:val="19"/>
              <w:spacing w:before="49"/>
              <w:ind w:left="223" w:right="215"/>
              <w:rPr>
                <w:rFonts w:ascii="Times New Roman"/>
                <w:sz w:val="21"/>
              </w:rPr>
            </w:pPr>
            <w:r>
              <w:rPr>
                <w:rFonts w:ascii="Times New Roman"/>
                <w:sz w:val="21"/>
              </w:rPr>
              <w:t>0.00306</w:t>
            </w:r>
          </w:p>
        </w:tc>
        <w:tc>
          <w:tcPr>
            <w:tcW w:w="1217" w:type="dxa"/>
          </w:tcPr>
          <w:p>
            <w:pPr>
              <w:pStyle w:val="19"/>
              <w:spacing w:before="49"/>
              <w:ind w:left="372"/>
              <w:jc w:val="left"/>
              <w:rPr>
                <w:rFonts w:ascii="Times New Roman"/>
                <w:sz w:val="21"/>
              </w:rPr>
            </w:pPr>
            <w:r>
              <w:rPr>
                <w:rFonts w:ascii="Times New Roman"/>
                <w:sz w:val="21"/>
              </w:rPr>
              <w:t>0.268</w:t>
            </w:r>
          </w:p>
        </w:tc>
        <w:tc>
          <w:tcPr>
            <w:tcW w:w="1361" w:type="dxa"/>
          </w:tcPr>
          <w:p>
            <w:pPr>
              <w:pStyle w:val="19"/>
              <w:spacing w:before="49"/>
              <w:ind w:left="371" w:right="362"/>
              <w:rPr>
                <w:rFonts w:ascii="Times New Roman"/>
                <w:sz w:val="21"/>
              </w:rPr>
            </w:pPr>
            <w:r>
              <w:rPr>
                <w:rFonts w:ascii="Times New Roman"/>
                <w:sz w:val="21"/>
              </w:rPr>
              <w:t>0.0268</w:t>
            </w:r>
          </w:p>
        </w:tc>
        <w:tc>
          <w:tcPr>
            <w:tcW w:w="1343" w:type="dxa"/>
          </w:tcPr>
          <w:p>
            <w:pPr>
              <w:pStyle w:val="19"/>
              <w:spacing w:before="49"/>
              <w:ind w:left="361" w:right="353"/>
              <w:rPr>
                <w:rFonts w:ascii="Times New Roman"/>
                <w:sz w:val="21"/>
              </w:rPr>
            </w:pPr>
            <w:r>
              <w:rPr>
                <w:rFonts w:ascii="Times New Roman"/>
                <w:sz w:val="21"/>
              </w:rPr>
              <w:t>0.0184</w:t>
            </w:r>
          </w:p>
        </w:tc>
        <w:tc>
          <w:tcPr>
            <w:tcW w:w="1600" w:type="dxa"/>
          </w:tcPr>
          <w:p>
            <w:pPr>
              <w:pStyle w:val="19"/>
              <w:spacing w:before="49"/>
              <w:ind w:left="439" w:right="427"/>
              <w:rPr>
                <w:rFonts w:ascii="Times New Roman"/>
                <w:sz w:val="21"/>
              </w:rPr>
            </w:pPr>
            <w:r>
              <w:rPr>
                <w:rFonts w:ascii="Times New Roman"/>
                <w:sz w:val="21"/>
              </w:rPr>
              <w:t>0.00184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576" w:type="dxa"/>
            <w:gridSpan w:val="5"/>
          </w:tcPr>
          <w:p>
            <w:pPr>
              <w:pStyle w:val="19"/>
              <w:spacing w:before="1" w:line="240" w:lineRule="exact"/>
              <w:ind w:left="1841" w:right="63" w:hanging="1702"/>
              <w:jc w:val="left"/>
              <w:rPr>
                <w:sz w:val="21"/>
              </w:rPr>
            </w:pPr>
            <w:r>
              <w:rPr>
                <w:sz w:val="21"/>
              </w:rPr>
              <w:t>《恶臭污染物排放标准》（</w:t>
            </w:r>
            <w:r>
              <w:rPr>
                <w:rFonts w:ascii="Times New Roman" w:eastAsia="Times New Roman"/>
                <w:sz w:val="21"/>
              </w:rPr>
              <w:t>GB14554-1993</w:t>
            </w:r>
            <w:r>
              <w:rPr>
                <w:sz w:val="21"/>
              </w:rPr>
              <w:t xml:space="preserve">）表 </w:t>
            </w:r>
            <w:r>
              <w:rPr>
                <w:rFonts w:ascii="Times New Roman" w:eastAsia="Times New Roman"/>
                <w:sz w:val="21"/>
              </w:rPr>
              <w:t xml:space="preserve">1 </w:t>
            </w:r>
            <w:r>
              <w:rPr>
                <w:sz w:val="21"/>
              </w:rPr>
              <w:t>恶臭污染物厂界标准二级标准</w:t>
            </w:r>
          </w:p>
        </w:tc>
        <w:tc>
          <w:tcPr>
            <w:tcW w:w="1343" w:type="dxa"/>
          </w:tcPr>
          <w:p>
            <w:pPr>
              <w:pStyle w:val="19"/>
              <w:spacing w:before="119"/>
              <w:ind w:left="361" w:right="351"/>
              <w:rPr>
                <w:rFonts w:ascii="Times New Roman"/>
                <w:sz w:val="21"/>
              </w:rPr>
            </w:pPr>
            <w:r>
              <w:rPr>
                <w:rFonts w:ascii="Times New Roman"/>
                <w:sz w:val="21"/>
              </w:rPr>
              <w:t>0.5</w:t>
            </w:r>
          </w:p>
        </w:tc>
        <w:tc>
          <w:tcPr>
            <w:tcW w:w="1600" w:type="dxa"/>
          </w:tcPr>
          <w:p>
            <w:pPr>
              <w:pStyle w:val="19"/>
              <w:spacing w:before="119"/>
              <w:ind w:left="437" w:right="427"/>
              <w:rPr>
                <w:rFonts w:ascii="Times New Roman"/>
                <w:sz w:val="21"/>
              </w:rPr>
            </w:pPr>
            <w:r>
              <w:rPr>
                <w:rFonts w:ascii="Times New Roman"/>
                <w:sz w:val="21"/>
              </w:rPr>
              <w:t>0.06</w:t>
            </w:r>
          </w:p>
        </w:tc>
      </w:tr>
    </w:tbl>
    <w:p>
      <w:pPr>
        <w:pStyle w:val="7"/>
        <w:spacing w:before="143"/>
        <w:ind w:left="1020"/>
      </w:pPr>
      <w:r>
        <w:t>③无组织排放恶臭的治理措施</w:t>
      </w:r>
    </w:p>
    <w:p>
      <w:pPr>
        <w:pStyle w:val="7"/>
        <w:spacing w:before="160" w:line="364" w:lineRule="auto"/>
        <w:ind w:right="577" w:firstLine="480"/>
      </w:pPr>
      <w:r>
        <w:rPr>
          <w:spacing w:val="-5"/>
        </w:rPr>
        <w:t>此类无组织排放恶臭的治理方法主要从减少臭气产生、防止恶臭扩散等多种</w:t>
      </w:r>
      <w:r>
        <w:t>方法并举。建设单位拟采取如下措施：</w:t>
      </w:r>
    </w:p>
    <w:p>
      <w:pPr>
        <w:pStyle w:val="7"/>
        <w:spacing w:before="1" w:line="364" w:lineRule="auto"/>
        <w:ind w:right="618" w:firstLine="480"/>
      </w:pPr>
      <w:r>
        <w:rPr>
          <w:rFonts w:ascii="Times New Roman" w:eastAsia="Times New Roman"/>
        </w:rPr>
        <w:t>a</w:t>
      </w:r>
      <w:r>
        <w:t>、本项目采取干清粪法处理羊粪便，粪便日产日清，及时运往堆肥厂，提高圈舍的环境卫生条件，以减少臭气的散发；</w:t>
      </w:r>
    </w:p>
    <w:p>
      <w:pPr>
        <w:pStyle w:val="7"/>
        <w:spacing w:before="2" w:line="364" w:lineRule="auto"/>
        <w:ind w:right="605" w:firstLine="480"/>
      </w:pPr>
      <w:r>
        <w:rPr>
          <w:rFonts w:ascii="Times New Roman" w:eastAsia="Times New Roman"/>
        </w:rPr>
        <w:t>b</w:t>
      </w:r>
      <w:r>
        <w:t>、羊舍均采用自然通风辅助机械通风方式加强通风，来保持羊舍空气的流通和新鲜。</w:t>
      </w:r>
    </w:p>
    <w:p>
      <w:pPr>
        <w:pStyle w:val="7"/>
        <w:spacing w:before="1" w:line="364" w:lineRule="auto"/>
        <w:ind w:right="618" w:firstLine="480"/>
      </w:pPr>
      <w:r>
        <w:rPr>
          <w:rFonts w:ascii="Times New Roman" w:eastAsia="Times New Roman"/>
        </w:rPr>
        <w:t>c</w:t>
      </w:r>
      <w:r>
        <w:t>、对圈舍定期清理和消毒，保持舍内、设备的清洁卫生，减少恶臭污染物的产生。</w:t>
      </w:r>
    </w:p>
    <w:p>
      <w:pPr>
        <w:pStyle w:val="7"/>
        <w:spacing w:before="1" w:line="364" w:lineRule="auto"/>
        <w:ind w:right="665" w:firstLine="480"/>
      </w:pPr>
      <w:r>
        <w:rPr>
          <w:rFonts w:ascii="Times New Roman" w:eastAsia="Times New Roman"/>
        </w:rPr>
        <w:t>d</w:t>
      </w:r>
      <w:r>
        <w:rPr>
          <w:spacing w:val="-5"/>
        </w:rPr>
        <w:t>、同时进行喷洒除臭，以</w:t>
      </w:r>
      <w:r>
        <w:rPr>
          <w:rFonts w:ascii="Times New Roman" w:eastAsia="Times New Roman"/>
        </w:rPr>
        <w:t>1</w:t>
      </w:r>
      <w:r>
        <w:t>：</w:t>
      </w:r>
      <w:r>
        <w:rPr>
          <w:rFonts w:ascii="Times New Roman" w:eastAsia="Times New Roman"/>
        </w:rPr>
        <w:t>50</w:t>
      </w:r>
      <w:r>
        <w:t>（除臭剂：消毒用水）</w:t>
      </w:r>
      <w:r>
        <w:rPr>
          <w:spacing w:val="-10"/>
        </w:rPr>
        <w:t>的除臭液每</w:t>
      </w:r>
      <w:r>
        <w:rPr>
          <w:rFonts w:ascii="Times New Roman" w:eastAsia="Times New Roman"/>
        </w:rPr>
        <w:t>7</w:t>
      </w:r>
      <w:r>
        <w:rPr>
          <w:spacing w:val="-10"/>
        </w:rPr>
        <w:t>天喷</w:t>
      </w:r>
      <w:r>
        <w:rPr>
          <w:spacing w:val="-6"/>
        </w:rPr>
        <w:t>洒一次，除臭效率约为</w:t>
      </w:r>
      <w:r>
        <w:rPr>
          <w:rFonts w:ascii="Times New Roman" w:eastAsia="Times New Roman"/>
        </w:rPr>
        <w:t>80%</w:t>
      </w:r>
      <w:r>
        <w:t>。</w:t>
      </w:r>
    </w:p>
    <w:p>
      <w:pPr>
        <w:pStyle w:val="7"/>
        <w:spacing w:before="1" w:line="364" w:lineRule="auto"/>
        <w:ind w:right="457" w:firstLine="480"/>
      </w:pPr>
      <w:r>
        <w:rPr>
          <w:rFonts w:ascii="Times New Roman" w:eastAsia="Times New Roman"/>
          <w:spacing w:val="-1"/>
        </w:rPr>
        <w:t>e</w:t>
      </w:r>
      <w:r>
        <w:rPr>
          <w:spacing w:val="-16"/>
        </w:rPr>
        <w:t>、本项目计划采用科学饲喂技术，提高饲料的利用率</w:t>
      </w:r>
      <w:r>
        <w:t>（</w:t>
      </w:r>
      <w:r>
        <w:rPr>
          <w:spacing w:val="-1"/>
        </w:rPr>
        <w:t>尤其是氮的利用率</w:t>
      </w:r>
      <w:r>
        <w:rPr>
          <w:spacing w:val="-128"/>
        </w:rPr>
        <w:t>）</w:t>
      </w:r>
      <w:r>
        <w:rPr>
          <w:spacing w:val="-8"/>
        </w:rPr>
        <w:t>，</w:t>
      </w:r>
      <w:r>
        <w:t>降低排泄物中氮的含量及恶臭气体的排放。</w:t>
      </w:r>
    </w:p>
    <w:p>
      <w:pPr>
        <w:pStyle w:val="7"/>
        <w:spacing w:before="1" w:line="364" w:lineRule="auto"/>
        <w:ind w:right="461" w:firstLine="480"/>
        <w:rPr>
          <w:color w:val="0000FF"/>
        </w:rPr>
      </w:pPr>
      <w:r>
        <w:rPr>
          <w:rFonts w:ascii="Times New Roman" w:eastAsia="Times New Roman"/>
        </w:rPr>
        <w:t>f</w:t>
      </w:r>
      <w:r>
        <w:rPr>
          <w:spacing w:val="-12"/>
        </w:rPr>
        <w:t>、</w:t>
      </w:r>
      <w:r>
        <w:rPr>
          <w:color w:val="0000FF"/>
          <w:spacing w:val="-12"/>
        </w:rPr>
        <w:t>本项目总绿化面积达到</w:t>
      </w:r>
      <w:r>
        <w:rPr>
          <w:rFonts w:hint="eastAsia"/>
          <w:color w:val="0000FF"/>
          <w:spacing w:val="-12"/>
          <w:lang w:val="en-US" w:eastAsia="zh-CN"/>
        </w:rPr>
        <w:t>3109.5</w:t>
      </w:r>
      <w:r>
        <w:rPr>
          <w:rFonts w:ascii="Times New Roman" w:eastAsia="Times New Roman"/>
          <w:color w:val="0000FF"/>
        </w:rPr>
        <w:t>m</w:t>
      </w:r>
      <w:r>
        <w:rPr>
          <w:rFonts w:ascii="Times New Roman" w:eastAsia="Times New Roman"/>
          <w:color w:val="0000FF"/>
          <w:position w:val="8"/>
          <w:sz w:val="15"/>
        </w:rPr>
        <w:t>2</w:t>
      </w:r>
      <w:r>
        <w:rPr>
          <w:color w:val="0000FF"/>
          <w:spacing w:val="-12"/>
        </w:rPr>
        <w:t>。鉴于养殖行业特殊性，在树种选择上，</w:t>
      </w:r>
      <w:r>
        <w:rPr>
          <w:color w:val="0000FF"/>
          <w:spacing w:val="-6"/>
        </w:rPr>
        <w:t>不仅要考虑美化效果，还必须考虑在除臭、防火、吸尘、杀菌等方面的作用。建议防疫隔离带选用杨树、榆树等树种或灌木；防护林选用乔木和灌木混合林带，乔木可选择大叶杨、早柳、榆树，最大限度地防止臭味对周围大气环境的影响。</w:t>
      </w:r>
    </w:p>
    <w:p>
      <w:pPr>
        <w:pStyle w:val="7"/>
        <w:spacing w:before="3" w:line="364" w:lineRule="auto"/>
        <w:ind w:right="577" w:firstLine="480"/>
      </w:pPr>
      <w:r>
        <w:rPr>
          <w:spacing w:val="-7"/>
        </w:rPr>
        <w:t>区内空地和路边尽量植树及种植花草，以最大限度地防止臭味对周围大气环</w:t>
      </w:r>
      <w:r>
        <w:t>境的影响。</w:t>
      </w:r>
    </w:p>
    <w:p>
      <w:pPr>
        <w:pStyle w:val="7"/>
        <w:spacing w:before="1" w:line="364" w:lineRule="auto"/>
        <w:ind w:right="725" w:firstLine="480"/>
      </w:pPr>
      <w:r>
        <w:rPr>
          <w:spacing w:val="-1"/>
        </w:rPr>
        <w:t>本项目运营期采取上述畜禽养殖污染预防措施和养殖场臭气污染控制措施</w:t>
      </w:r>
      <w:r>
        <w:t>后，可以大大减少恶臭气体的产生。</w:t>
      </w:r>
    </w:p>
    <w:p>
      <w:pPr>
        <w:pStyle w:val="18"/>
        <w:numPr>
          <w:ilvl w:val="0"/>
          <w:numId w:val="34"/>
        </w:numPr>
        <w:tabs>
          <w:tab w:val="left" w:pos="1621"/>
        </w:tabs>
        <w:spacing w:before="1" w:after="0" w:line="240" w:lineRule="auto"/>
        <w:ind w:left="1621" w:right="0" w:hanging="601"/>
        <w:jc w:val="left"/>
        <w:rPr>
          <w:sz w:val="24"/>
        </w:rPr>
      </w:pPr>
      <w:r>
        <w:rPr>
          <w:sz w:val="24"/>
        </w:rPr>
        <w:t>堆肥厂恶臭</w:t>
      </w:r>
    </w:p>
    <w:p>
      <w:pPr>
        <w:pStyle w:val="7"/>
        <w:spacing w:before="161"/>
        <w:ind w:left="1020"/>
      </w:pPr>
      <w:r>
        <w:t>经类比调查，养殖场恶臭排放源的源强特征见表</w:t>
      </w:r>
      <w:r>
        <w:rPr>
          <w:rFonts w:ascii="Times New Roman" w:eastAsia="Times New Roman"/>
        </w:rPr>
        <w:t>3.2-7</w:t>
      </w:r>
      <w:r>
        <w:t>为每平米排放</w:t>
      </w:r>
      <w:r>
        <w:rPr>
          <w:rFonts w:ascii="Times New Roman" w:eastAsia="Times New Roman"/>
        </w:rPr>
        <w:t>NH</w:t>
      </w:r>
      <w:r>
        <w:rPr>
          <w:rFonts w:ascii="Times New Roman" w:eastAsia="Times New Roman"/>
          <w:vertAlign w:val="subscript"/>
        </w:rPr>
        <w:t>3</w:t>
      </w:r>
      <w:r>
        <w:rPr>
          <w:vertAlign w:val="baseline"/>
        </w:rPr>
        <w:t>和</w:t>
      </w:r>
    </w:p>
    <w:p>
      <w:pPr>
        <w:pStyle w:val="7"/>
        <w:spacing w:before="176"/>
        <w:rPr>
          <w:rFonts w:ascii="Times New Roman"/>
        </w:rPr>
      </w:pPr>
      <w:r>
        <w:rPr>
          <w:rFonts w:ascii="Times New Roman"/>
        </w:rPr>
        <w:t>H</w:t>
      </w:r>
      <w:r>
        <w:rPr>
          <w:rFonts w:ascii="Times New Roman"/>
          <w:vertAlign w:val="subscript"/>
        </w:rPr>
        <w:t>2</w:t>
      </w:r>
      <w:r>
        <w:rPr>
          <w:rFonts w:ascii="Times New Roman"/>
          <w:vertAlign w:val="baseline"/>
        </w:rPr>
        <w:t>S</w:t>
      </w:r>
    </w:p>
    <w:p>
      <w:pPr>
        <w:pStyle w:val="7"/>
        <w:spacing w:before="7"/>
        <w:ind w:left="0"/>
        <w:rPr>
          <w:rFonts w:ascii="Times New Roman"/>
          <w:sz w:val="15"/>
        </w:rPr>
      </w:pPr>
    </w:p>
    <w:p>
      <w:pPr>
        <w:pStyle w:val="7"/>
        <w:bidi w:val="0"/>
        <w:jc w:val="center"/>
      </w:pPr>
      <w:r>
        <w:t>表</w:t>
      </w:r>
      <w:r>
        <w:rPr>
          <w:rFonts w:ascii="Times New Roman" w:eastAsia="Times New Roman"/>
        </w:rPr>
        <w:t>3.2-7</w:t>
      </w:r>
      <w:r>
        <w:rPr>
          <w:rFonts w:ascii="Times New Roman" w:eastAsia="Times New Roman"/>
        </w:rPr>
        <w:tab/>
      </w:r>
      <w:r>
        <w:t>堆肥厂恶臭源强一览表</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7"/>
        <w:gridCol w:w="1619"/>
        <w:gridCol w:w="1941"/>
        <w:gridCol w:w="3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97" w:type="dxa"/>
            <w:vMerge w:val="restart"/>
          </w:tcPr>
          <w:p>
            <w:pPr>
              <w:pStyle w:val="19"/>
              <w:spacing w:before="9"/>
              <w:jc w:val="left"/>
              <w:rPr>
                <w:b/>
                <w:sz w:val="15"/>
              </w:rPr>
            </w:pPr>
          </w:p>
          <w:p>
            <w:pPr>
              <w:pStyle w:val="19"/>
              <w:ind w:left="382"/>
              <w:jc w:val="left"/>
              <w:rPr>
                <w:b/>
                <w:sz w:val="21"/>
              </w:rPr>
            </w:pPr>
            <w:r>
              <w:rPr>
                <w:b/>
                <w:sz w:val="21"/>
              </w:rPr>
              <w:t>排放源</w:t>
            </w:r>
          </w:p>
        </w:tc>
        <w:tc>
          <w:tcPr>
            <w:tcW w:w="3560" w:type="dxa"/>
            <w:gridSpan w:val="2"/>
          </w:tcPr>
          <w:p>
            <w:pPr>
              <w:pStyle w:val="19"/>
              <w:spacing w:before="31"/>
              <w:ind w:left="1338" w:right="1327"/>
              <w:rPr>
                <w:b/>
                <w:sz w:val="21"/>
              </w:rPr>
            </w:pPr>
            <w:r>
              <w:rPr>
                <w:b/>
                <w:sz w:val="21"/>
              </w:rPr>
              <w:t>排放速率</w:t>
            </w:r>
          </w:p>
        </w:tc>
        <w:tc>
          <w:tcPr>
            <w:tcW w:w="3562" w:type="dxa"/>
            <w:vMerge w:val="restart"/>
          </w:tcPr>
          <w:p>
            <w:pPr>
              <w:pStyle w:val="19"/>
              <w:spacing w:before="9"/>
              <w:jc w:val="left"/>
              <w:rPr>
                <w:b/>
                <w:sz w:val="15"/>
              </w:rPr>
            </w:pPr>
          </w:p>
          <w:p>
            <w:pPr>
              <w:pStyle w:val="19"/>
              <w:ind w:left="1548" w:right="1541"/>
              <w:rPr>
                <w:b/>
                <w:sz w:val="21"/>
              </w:rPr>
            </w:pPr>
            <w:r>
              <w:rPr>
                <w:b/>
                <w:sz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97" w:type="dxa"/>
            <w:vMerge w:val="continue"/>
            <w:tcBorders>
              <w:top w:val="nil"/>
            </w:tcBorders>
          </w:tcPr>
          <w:p>
            <w:pPr>
              <w:rPr>
                <w:sz w:val="2"/>
                <w:szCs w:val="2"/>
              </w:rPr>
            </w:pPr>
          </w:p>
        </w:tc>
        <w:tc>
          <w:tcPr>
            <w:tcW w:w="1619" w:type="dxa"/>
          </w:tcPr>
          <w:p>
            <w:pPr>
              <w:pStyle w:val="19"/>
              <w:spacing w:before="40"/>
              <w:ind w:left="258" w:right="249"/>
              <w:rPr>
                <w:rFonts w:ascii="Times New Roman"/>
                <w:sz w:val="21"/>
              </w:rPr>
            </w:pPr>
            <w:r>
              <w:rPr>
                <w:rFonts w:ascii="Times New Roman"/>
                <w:position w:val="2"/>
                <w:sz w:val="21"/>
              </w:rPr>
              <w:t>NH</w:t>
            </w:r>
            <w:r>
              <w:rPr>
                <w:rFonts w:ascii="Times New Roman"/>
                <w:position w:val="2"/>
                <w:sz w:val="21"/>
                <w:vertAlign w:val="subscript"/>
              </w:rPr>
              <w:t>3</w:t>
            </w:r>
          </w:p>
        </w:tc>
        <w:tc>
          <w:tcPr>
            <w:tcW w:w="1941" w:type="dxa"/>
          </w:tcPr>
          <w:p>
            <w:pPr>
              <w:pStyle w:val="19"/>
              <w:spacing w:before="40"/>
              <w:ind w:left="419" w:right="409"/>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35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97" w:type="dxa"/>
            <w:vMerge w:val="restart"/>
          </w:tcPr>
          <w:p>
            <w:pPr>
              <w:pStyle w:val="19"/>
              <w:spacing w:before="8"/>
              <w:jc w:val="left"/>
              <w:rPr>
                <w:b/>
                <w:sz w:val="15"/>
              </w:rPr>
            </w:pPr>
          </w:p>
          <w:p>
            <w:pPr>
              <w:pStyle w:val="19"/>
              <w:ind w:left="382"/>
              <w:jc w:val="left"/>
              <w:rPr>
                <w:sz w:val="21"/>
              </w:rPr>
            </w:pPr>
            <w:r>
              <w:rPr>
                <w:sz w:val="21"/>
              </w:rPr>
              <w:t>堆肥厂</w:t>
            </w:r>
          </w:p>
        </w:tc>
        <w:tc>
          <w:tcPr>
            <w:tcW w:w="1619" w:type="dxa"/>
          </w:tcPr>
          <w:p>
            <w:pPr>
              <w:pStyle w:val="19"/>
              <w:spacing w:before="44"/>
              <w:ind w:left="256" w:right="249"/>
              <w:rPr>
                <w:rFonts w:ascii="Times New Roman"/>
                <w:sz w:val="21"/>
              </w:rPr>
            </w:pPr>
            <w:r>
              <w:rPr>
                <w:rFonts w:ascii="Times New Roman"/>
                <w:sz w:val="21"/>
              </w:rPr>
              <w:t>0.00012</w:t>
            </w:r>
          </w:p>
        </w:tc>
        <w:tc>
          <w:tcPr>
            <w:tcW w:w="1941" w:type="dxa"/>
          </w:tcPr>
          <w:p>
            <w:pPr>
              <w:pStyle w:val="19"/>
              <w:spacing w:before="44"/>
              <w:ind w:left="417" w:right="409"/>
              <w:rPr>
                <w:rFonts w:ascii="Times New Roman"/>
                <w:sz w:val="21"/>
              </w:rPr>
            </w:pPr>
            <w:r>
              <w:rPr>
                <w:rFonts w:ascii="Times New Roman"/>
                <w:sz w:val="21"/>
              </w:rPr>
              <w:t>0.00001</w:t>
            </w:r>
          </w:p>
        </w:tc>
        <w:tc>
          <w:tcPr>
            <w:tcW w:w="3562" w:type="dxa"/>
          </w:tcPr>
          <w:p>
            <w:pPr>
              <w:pStyle w:val="19"/>
              <w:spacing w:before="30"/>
              <w:ind w:left="1214"/>
              <w:jc w:val="left"/>
              <w:rPr>
                <w:b/>
                <w:sz w:val="21"/>
              </w:rPr>
            </w:pPr>
            <w:r>
              <w:rPr>
                <w:b/>
                <w:sz w:val="21"/>
              </w:rPr>
              <w:t>（</w:t>
            </w:r>
            <w:r>
              <w:rPr>
                <w:rFonts w:ascii="Times New Roman" w:eastAsia="Times New Roman"/>
                <w:b/>
                <w:sz w:val="21"/>
              </w:rPr>
              <w:t>mg/s.m</w:t>
            </w:r>
            <w:r>
              <w:rPr>
                <w:rFonts w:ascii="Times New Roman" w:eastAsia="Times New Roman"/>
                <w:b/>
                <w:position w:val="7"/>
                <w:sz w:val="13"/>
              </w:rPr>
              <w:t>2</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97" w:type="dxa"/>
            <w:vMerge w:val="continue"/>
            <w:tcBorders>
              <w:top w:val="nil"/>
            </w:tcBorders>
          </w:tcPr>
          <w:p>
            <w:pPr>
              <w:rPr>
                <w:sz w:val="2"/>
                <w:szCs w:val="2"/>
              </w:rPr>
            </w:pPr>
          </w:p>
        </w:tc>
        <w:tc>
          <w:tcPr>
            <w:tcW w:w="1619" w:type="dxa"/>
          </w:tcPr>
          <w:p>
            <w:pPr>
              <w:pStyle w:val="19"/>
              <w:spacing w:before="30"/>
              <w:ind w:left="258" w:right="249"/>
              <w:rPr>
                <w:rFonts w:ascii="Times New Roman" w:hAnsi="Times New Roman" w:eastAsia="Times New Roman"/>
                <w:sz w:val="13"/>
              </w:rPr>
            </w:pPr>
            <w:r>
              <w:rPr>
                <w:rFonts w:ascii="Times New Roman" w:hAnsi="Times New Roman" w:eastAsia="Times New Roman"/>
                <w:spacing w:val="1"/>
                <w:w w:val="99"/>
                <w:sz w:val="21"/>
              </w:rPr>
              <w:t>0</w:t>
            </w:r>
            <w:r>
              <w:rPr>
                <w:rFonts w:ascii="Times New Roman" w:hAnsi="Times New Roman" w:eastAsia="Times New Roman"/>
                <w:w w:val="99"/>
                <w:sz w:val="21"/>
              </w:rPr>
              <w:t>.</w:t>
            </w:r>
            <w:r>
              <w:rPr>
                <w:rFonts w:ascii="Times New Roman" w:hAnsi="Times New Roman" w:eastAsia="Times New Roman"/>
                <w:spacing w:val="1"/>
                <w:w w:val="99"/>
                <w:sz w:val="21"/>
              </w:rPr>
              <w:t>43</w:t>
            </w:r>
            <w:r>
              <w:rPr>
                <w:rFonts w:ascii="Times New Roman" w:hAnsi="Times New Roman" w:eastAsia="Times New Roman"/>
                <w:spacing w:val="-2"/>
                <w:w w:val="99"/>
                <w:sz w:val="21"/>
              </w:rPr>
              <w:t>2</w:t>
            </w:r>
            <w:r>
              <w:rPr>
                <w:spacing w:val="-1"/>
                <w:w w:val="99"/>
                <w:sz w:val="21"/>
              </w:rPr>
              <w:t>×</w:t>
            </w:r>
            <w:r>
              <w:rPr>
                <w:rFonts w:ascii="Times New Roman" w:hAnsi="Times New Roman" w:eastAsia="Times New Roman"/>
                <w:spacing w:val="1"/>
                <w:w w:val="99"/>
                <w:sz w:val="21"/>
              </w:rPr>
              <w:t>10</w:t>
            </w:r>
            <w:r>
              <w:rPr>
                <w:spacing w:val="-3"/>
                <w:w w:val="106"/>
                <w:position w:val="11"/>
                <w:sz w:val="10"/>
              </w:rPr>
              <w:t>﹣</w:t>
            </w:r>
            <w:r>
              <w:rPr>
                <w:rFonts w:ascii="Times New Roman" w:hAnsi="Times New Roman" w:eastAsia="Times New Roman"/>
                <w:w w:val="105"/>
                <w:position w:val="7"/>
                <w:sz w:val="13"/>
              </w:rPr>
              <w:t>6</w:t>
            </w:r>
          </w:p>
        </w:tc>
        <w:tc>
          <w:tcPr>
            <w:tcW w:w="1941" w:type="dxa"/>
          </w:tcPr>
          <w:p>
            <w:pPr>
              <w:pStyle w:val="19"/>
              <w:spacing w:before="30"/>
              <w:ind w:left="420" w:right="409"/>
              <w:rPr>
                <w:rFonts w:ascii="Times New Roman" w:hAnsi="Times New Roman" w:eastAsia="Times New Roman"/>
                <w:sz w:val="13"/>
              </w:rPr>
            </w:pPr>
            <w:r>
              <w:rPr>
                <w:rFonts w:ascii="Times New Roman" w:hAnsi="Times New Roman" w:eastAsia="Times New Roman"/>
                <w:spacing w:val="1"/>
                <w:w w:val="99"/>
                <w:sz w:val="21"/>
              </w:rPr>
              <w:t>0</w:t>
            </w:r>
            <w:r>
              <w:rPr>
                <w:rFonts w:ascii="Times New Roman" w:hAnsi="Times New Roman" w:eastAsia="Times New Roman"/>
                <w:w w:val="99"/>
                <w:sz w:val="21"/>
              </w:rPr>
              <w:t>.</w:t>
            </w:r>
            <w:r>
              <w:rPr>
                <w:rFonts w:ascii="Times New Roman" w:hAnsi="Times New Roman" w:eastAsia="Times New Roman"/>
                <w:spacing w:val="-2"/>
                <w:w w:val="99"/>
                <w:sz w:val="21"/>
              </w:rPr>
              <w:t>0</w:t>
            </w:r>
            <w:r>
              <w:rPr>
                <w:rFonts w:ascii="Times New Roman" w:hAnsi="Times New Roman" w:eastAsia="Times New Roman"/>
                <w:spacing w:val="1"/>
                <w:w w:val="99"/>
                <w:sz w:val="21"/>
              </w:rPr>
              <w:t>3</w:t>
            </w:r>
            <w:r>
              <w:rPr>
                <w:rFonts w:ascii="Times New Roman" w:hAnsi="Times New Roman" w:eastAsia="Times New Roman"/>
                <w:spacing w:val="-2"/>
                <w:w w:val="99"/>
                <w:sz w:val="21"/>
              </w:rPr>
              <w:t>6</w:t>
            </w:r>
            <w:r>
              <w:rPr>
                <w:spacing w:val="2"/>
                <w:w w:val="99"/>
                <w:sz w:val="21"/>
              </w:rPr>
              <w:t>×</w:t>
            </w:r>
            <w:r>
              <w:rPr>
                <w:rFonts w:ascii="Times New Roman" w:hAnsi="Times New Roman" w:eastAsia="Times New Roman"/>
                <w:spacing w:val="1"/>
                <w:w w:val="99"/>
                <w:sz w:val="21"/>
              </w:rPr>
              <w:t>1</w:t>
            </w:r>
            <w:r>
              <w:rPr>
                <w:rFonts w:ascii="Times New Roman" w:hAnsi="Times New Roman" w:eastAsia="Times New Roman"/>
                <w:spacing w:val="-2"/>
                <w:w w:val="99"/>
                <w:sz w:val="21"/>
              </w:rPr>
              <w:t>0</w:t>
            </w:r>
            <w:r>
              <w:rPr>
                <w:spacing w:val="-1"/>
                <w:w w:val="106"/>
                <w:position w:val="11"/>
                <w:sz w:val="10"/>
              </w:rPr>
              <w:t>﹣</w:t>
            </w:r>
            <w:r>
              <w:rPr>
                <w:rFonts w:ascii="Times New Roman" w:hAnsi="Times New Roman" w:eastAsia="Times New Roman"/>
                <w:w w:val="105"/>
                <w:position w:val="7"/>
                <w:sz w:val="13"/>
              </w:rPr>
              <w:t>6</w:t>
            </w:r>
          </w:p>
        </w:tc>
        <w:tc>
          <w:tcPr>
            <w:tcW w:w="3562" w:type="dxa"/>
          </w:tcPr>
          <w:p>
            <w:pPr>
              <w:pStyle w:val="19"/>
              <w:spacing w:before="30"/>
              <w:ind w:left="1226"/>
              <w:jc w:val="left"/>
              <w:rPr>
                <w:b/>
                <w:sz w:val="21"/>
              </w:rPr>
            </w:pPr>
            <w:r>
              <w:rPr>
                <w:b/>
                <w:sz w:val="21"/>
              </w:rPr>
              <w:t>（</w:t>
            </w:r>
            <w:r>
              <w:rPr>
                <w:rFonts w:ascii="Times New Roman" w:eastAsia="Times New Roman"/>
                <w:b/>
                <w:sz w:val="21"/>
              </w:rPr>
              <w:t>kg/h.m</w:t>
            </w:r>
            <w:r>
              <w:rPr>
                <w:rFonts w:ascii="Times New Roman" w:eastAsia="Times New Roman"/>
                <w:b/>
                <w:position w:val="7"/>
                <w:sz w:val="13"/>
              </w:rPr>
              <w:t>2</w:t>
            </w:r>
            <w:r>
              <w:rPr>
                <w:b/>
                <w:sz w:val="21"/>
              </w:rPr>
              <w:t>）</w:t>
            </w:r>
          </w:p>
        </w:tc>
      </w:tr>
    </w:tbl>
    <w:p>
      <w:pPr>
        <w:pStyle w:val="7"/>
        <w:spacing w:before="77" w:line="362" w:lineRule="auto"/>
        <w:ind w:right="455" w:firstLine="480"/>
      </w:pPr>
      <w:r>
        <w:rPr>
          <w:spacing w:val="-8"/>
          <w:position w:val="2"/>
        </w:rPr>
        <w:t>根据堆肥厂面积计算</w:t>
      </w:r>
      <w:r>
        <w:rPr>
          <w:spacing w:val="-3"/>
          <w:position w:val="2"/>
        </w:rPr>
        <w:t>（</w:t>
      </w:r>
      <w:r>
        <w:rPr>
          <w:spacing w:val="-9"/>
          <w:position w:val="2"/>
        </w:rPr>
        <w:t>堆肥场面积</w:t>
      </w:r>
      <w:r>
        <w:rPr>
          <w:rFonts w:ascii="Times New Roman" w:eastAsia="Times New Roman"/>
          <w:spacing w:val="-15"/>
          <w:position w:val="2"/>
        </w:rPr>
        <w:t>6000m</w:t>
      </w:r>
      <w:r>
        <w:rPr>
          <w:rFonts w:ascii="Times New Roman" w:eastAsia="Times New Roman"/>
          <w:spacing w:val="-15"/>
          <w:position w:val="2"/>
          <w:vertAlign w:val="superscript"/>
        </w:rPr>
        <w:t>2</w:t>
      </w:r>
      <w:r>
        <w:rPr>
          <w:spacing w:val="-15"/>
          <w:position w:val="2"/>
          <w:vertAlign w:val="baseline"/>
        </w:rPr>
        <w:t>），</w:t>
      </w:r>
      <w:r>
        <w:rPr>
          <w:rFonts w:ascii="Times New Roman" w:eastAsia="Times New Roman"/>
          <w:spacing w:val="-15"/>
          <w:position w:val="2"/>
          <w:vertAlign w:val="baseline"/>
        </w:rPr>
        <w:t>NH</w:t>
      </w:r>
      <w:r>
        <w:rPr>
          <w:rFonts w:ascii="Times New Roman" w:eastAsia="Times New Roman"/>
          <w:spacing w:val="-15"/>
          <w:position w:val="2"/>
          <w:vertAlign w:val="subscript"/>
        </w:rPr>
        <w:t>3</w:t>
      </w:r>
      <w:r>
        <w:rPr>
          <w:spacing w:val="-8"/>
          <w:position w:val="2"/>
          <w:vertAlign w:val="baseline"/>
        </w:rPr>
        <w:t>的产生强度为</w:t>
      </w:r>
      <w:r>
        <w:rPr>
          <w:rFonts w:ascii="Times New Roman" w:eastAsia="Times New Roman"/>
          <w:spacing w:val="-3"/>
          <w:position w:val="2"/>
          <w:vertAlign w:val="baseline"/>
        </w:rPr>
        <w:t>0.0026kg/h</w:t>
      </w:r>
      <w:r>
        <w:rPr>
          <w:spacing w:val="-3"/>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9"/>
          <w:position w:val="2"/>
          <w:vertAlign w:val="baseline"/>
        </w:rPr>
        <w:t>的产生强度为</w:t>
      </w:r>
      <w:r>
        <w:rPr>
          <w:rFonts w:ascii="Times New Roman" w:eastAsia="Times New Roman"/>
          <w:position w:val="2"/>
          <w:vertAlign w:val="baseline"/>
        </w:rPr>
        <w:t>0.000216kg/h</w:t>
      </w:r>
      <w:r>
        <w:rPr>
          <w:position w:val="2"/>
          <w:vertAlign w:val="baseline"/>
        </w:rPr>
        <w:t>。</w:t>
      </w:r>
    </w:p>
    <w:p>
      <w:pPr>
        <w:pStyle w:val="7"/>
        <w:spacing w:before="140" w:line="362" w:lineRule="auto"/>
        <w:ind w:right="575" w:firstLine="480"/>
        <w:jc w:val="both"/>
      </w:pPr>
      <w:r>
        <w:rPr>
          <w:spacing w:val="6"/>
          <w:position w:val="2"/>
        </w:rPr>
        <w:t>经过预测，堆肥厂</w:t>
      </w:r>
      <w:r>
        <w:rPr>
          <w:rFonts w:ascii="Times New Roman" w:eastAsia="Times New Roman"/>
          <w:position w:val="2"/>
        </w:rPr>
        <w:t>NH</w:t>
      </w:r>
      <w:r>
        <w:rPr>
          <w:rFonts w:ascii="Times New Roman" w:eastAsia="Times New Roman"/>
          <w:position w:val="2"/>
          <w:vertAlign w:val="subscript"/>
        </w:rPr>
        <w:t>3</w:t>
      </w:r>
      <w:r>
        <w:rPr>
          <w:spacing w:val="4"/>
          <w:position w:val="2"/>
          <w:vertAlign w:val="baseline"/>
        </w:rPr>
        <w:t>最大浓度值为</w:t>
      </w:r>
      <w:r>
        <w:rPr>
          <w:rFonts w:ascii="Times New Roman" w:eastAsia="Times New Roman"/>
          <w:position w:val="2"/>
          <w:vertAlign w:val="baseline"/>
        </w:rPr>
        <w:t>0.00231mg/m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9"/>
          <w:position w:val="2"/>
          <w:vertAlign w:val="baseline"/>
        </w:rPr>
        <w:t>最大浓度值为</w:t>
      </w:r>
      <w:r>
        <w:rPr>
          <w:rFonts w:ascii="Times New Roman" w:eastAsia="Times New Roman"/>
          <w:vertAlign w:val="baseline"/>
        </w:rPr>
        <w:t>0.00019mg/m</w:t>
      </w:r>
      <w:r>
        <w:rPr>
          <w:rFonts w:ascii="Times New Roman" w:eastAsia="Times New Roman"/>
          <w:position w:val="8"/>
          <w:sz w:val="15"/>
          <w:vertAlign w:val="baseline"/>
        </w:rPr>
        <w:t>3</w:t>
      </w:r>
      <w:r>
        <w:rPr>
          <w:spacing w:val="2"/>
          <w:vertAlign w:val="baseline"/>
        </w:rPr>
        <w:t>，均小于《恶臭污染物排放标准》</w:t>
      </w:r>
      <w:r>
        <w:rPr>
          <w:vertAlign w:val="baseline"/>
        </w:rPr>
        <w:t>（</w:t>
      </w:r>
      <w:r>
        <w:rPr>
          <w:rFonts w:ascii="Times New Roman" w:eastAsia="Times New Roman"/>
          <w:vertAlign w:val="baseline"/>
        </w:rPr>
        <w:t>GB14554-93</w:t>
      </w:r>
      <w:r>
        <w:rPr>
          <w:vertAlign w:val="baseline"/>
        </w:rPr>
        <w:t>）</w:t>
      </w:r>
      <w:r>
        <w:rPr>
          <w:spacing w:val="3"/>
          <w:vertAlign w:val="baseline"/>
        </w:rPr>
        <w:t>中无组织排放</w:t>
      </w:r>
      <w:r>
        <w:rPr>
          <w:rFonts w:ascii="Times New Roman" w:eastAsia="Times New Roman"/>
          <w:spacing w:val="3"/>
          <w:position w:val="2"/>
          <w:vertAlign w:val="baseline"/>
        </w:rPr>
        <w:t>NH</w:t>
      </w:r>
      <w:r>
        <w:rPr>
          <w:rFonts w:ascii="Times New Roman" w:eastAsia="Times New Roman"/>
          <w:spacing w:val="3"/>
          <w:position w:val="2"/>
          <w:vertAlign w:val="subscript"/>
        </w:rPr>
        <w:t>3</w:t>
      </w:r>
      <w:r>
        <w:rPr>
          <w:spacing w:val="24"/>
          <w:position w:val="2"/>
          <w:vertAlign w:val="baseline"/>
        </w:rPr>
        <w:t>厂界监控浓度限值</w:t>
      </w:r>
      <w:r>
        <w:rPr>
          <w:position w:val="2"/>
          <w:vertAlign w:val="baseline"/>
        </w:rPr>
        <w:t>（</w:t>
      </w:r>
      <w:r>
        <w:rPr>
          <w:rFonts w:ascii="Times New Roman" w:eastAsia="Times New Roman"/>
          <w:position w:val="2"/>
          <w:vertAlign w:val="baseline"/>
        </w:rPr>
        <w:t>1.5mg/m</w:t>
      </w:r>
      <w:r>
        <w:rPr>
          <w:rFonts w:ascii="Times New Roman" w:eastAsia="Times New Roman"/>
          <w:position w:val="2"/>
          <w:vertAlign w:val="superscript"/>
        </w:rPr>
        <w:t>3</w:t>
      </w:r>
      <w:r>
        <w:rPr>
          <w:position w:val="2"/>
          <w:vertAlign w:val="baseline"/>
        </w:rPr>
        <w:t>）</w:t>
      </w:r>
      <w:r>
        <w:rPr>
          <w:spacing w:val="-2"/>
          <w:position w:val="2"/>
          <w:vertAlign w:val="baseline"/>
        </w:rPr>
        <w:t>和无组织排放</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18"/>
          <w:position w:val="2"/>
          <w:vertAlign w:val="baseline"/>
        </w:rPr>
        <w:t>厂界监控浓度限值</w:t>
      </w:r>
    </w:p>
    <w:p>
      <w:pPr>
        <w:pStyle w:val="7"/>
        <w:spacing w:before="5"/>
      </w:pPr>
      <w:r>
        <w:t>（</w:t>
      </w:r>
      <w:r>
        <w:rPr>
          <w:rFonts w:ascii="Times New Roman" w:eastAsia="Times New Roman"/>
        </w:rPr>
        <w:t>0.06mg/m</w:t>
      </w:r>
      <w:r>
        <w:rPr>
          <w:rFonts w:ascii="Times New Roman" w:eastAsia="Times New Roman"/>
          <w:position w:val="8"/>
          <w:sz w:val="15"/>
        </w:rPr>
        <w:t>3</w:t>
      </w:r>
      <w:r>
        <w:t>）。</w:t>
      </w:r>
    </w:p>
    <w:p>
      <w:pPr>
        <w:pStyle w:val="18"/>
        <w:numPr>
          <w:ilvl w:val="0"/>
          <w:numId w:val="34"/>
        </w:numPr>
        <w:tabs>
          <w:tab w:val="left" w:pos="1621"/>
        </w:tabs>
        <w:spacing w:before="160" w:after="0" w:line="240" w:lineRule="auto"/>
        <w:ind w:left="1621" w:right="0" w:hanging="601"/>
        <w:jc w:val="left"/>
        <w:rPr>
          <w:sz w:val="24"/>
        </w:rPr>
      </w:pPr>
      <w:r>
        <w:rPr>
          <w:sz w:val="24"/>
        </w:rPr>
        <w:t>畜禽无害化处理化制废气</w:t>
      </w:r>
    </w:p>
    <w:p>
      <w:pPr>
        <w:pStyle w:val="7"/>
        <w:spacing w:before="161" w:line="364" w:lineRule="auto"/>
        <w:ind w:right="577" w:firstLine="480"/>
      </w:pPr>
      <w:r>
        <w:rPr>
          <w:spacing w:val="-5"/>
        </w:rPr>
        <w:t>本项目病死羊废物采用干化法畜禽无害化处理方式处理。项目区拟建畜禽无</w:t>
      </w:r>
      <w:r>
        <w:rPr>
          <w:spacing w:val="-3"/>
        </w:rPr>
        <w:t>害化处理车间紧邻堆肥厂，并购进畜禽无害化处理</w:t>
      </w:r>
      <w:r>
        <w:rPr>
          <w:rFonts w:ascii="Times New Roman" w:eastAsia="Times New Roman"/>
        </w:rPr>
        <w:t>1</w:t>
      </w:r>
      <w:r>
        <w:t>吨</w:t>
      </w:r>
      <w:r>
        <w:rPr>
          <w:rFonts w:ascii="Times New Roman" w:eastAsia="Times New Roman"/>
        </w:rPr>
        <w:t>/</w:t>
      </w:r>
      <w:r>
        <w:t>次成套设备。畜禽无害</w:t>
      </w:r>
      <w:r>
        <w:rPr>
          <w:spacing w:val="-10"/>
        </w:rPr>
        <w:t>化处理过程中，化制工序高温高压杀菌工段会产生废气，主要成分为水蒸气和恶</w:t>
      </w:r>
      <w:r>
        <w:rPr>
          <w:spacing w:val="-9"/>
          <w:position w:val="2"/>
        </w:rPr>
        <w:t>臭，污染物以</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计。</w:t>
      </w:r>
    </w:p>
    <w:p>
      <w:pPr>
        <w:pStyle w:val="7"/>
        <w:spacing w:line="305" w:lineRule="exact"/>
        <w:ind w:left="1020"/>
        <w:rPr>
          <w:rFonts w:ascii="Times New Roman" w:eastAsia="Times New Roman"/>
          <w:color w:val="0000FF"/>
        </w:rPr>
      </w:pPr>
      <w:r>
        <w:rPr>
          <w:color w:val="0000FF"/>
        </w:rPr>
        <w:t>类比陆川县科环病死畜禽无害化处理公司等同工艺类型项目，年处理</w:t>
      </w:r>
      <w:r>
        <w:rPr>
          <w:rFonts w:ascii="Times New Roman" w:eastAsia="Times New Roman"/>
          <w:color w:val="0000FF"/>
        </w:rPr>
        <w:t>3000t</w:t>
      </w:r>
    </w:p>
    <w:p>
      <w:pPr>
        <w:pStyle w:val="7"/>
        <w:spacing w:before="157"/>
        <w:rPr>
          <w:color w:val="0000FF"/>
        </w:rPr>
      </w:pPr>
      <w:r>
        <w:rPr>
          <w:color w:val="0000FF"/>
          <w:position w:val="2"/>
        </w:rPr>
        <w:t>病死畜禽</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产生量为</w:t>
      </w:r>
      <w:r>
        <w:rPr>
          <w:rFonts w:ascii="Times New Roman" w:eastAsia="Times New Roman"/>
          <w:color w:val="0000FF"/>
          <w:position w:val="2"/>
          <w:vertAlign w:val="baseline"/>
        </w:rPr>
        <w:t>3t/a</w:t>
      </w:r>
      <w:r>
        <w:rPr>
          <w:color w:val="0000FF"/>
          <w:position w:val="2"/>
          <w:vertAlign w:val="baseline"/>
        </w:rPr>
        <w:t>、</w:t>
      </w:r>
      <w:r>
        <w:rPr>
          <w:rFonts w:ascii="Times New Roman" w:eastAsia="Times New Roman"/>
          <w:color w:val="0000FF"/>
          <w:position w:val="2"/>
          <w:vertAlign w:val="baseline"/>
        </w:rPr>
        <w:t>0.3t/a</w:t>
      </w:r>
      <w:r>
        <w:rPr>
          <w:color w:val="0000FF"/>
          <w:position w:val="2"/>
          <w:vertAlign w:val="baseline"/>
        </w:rPr>
        <w:t>。</w:t>
      </w:r>
    </w:p>
    <w:p>
      <w:pPr>
        <w:pStyle w:val="7"/>
        <w:spacing w:before="160" w:line="362" w:lineRule="auto"/>
        <w:ind w:right="457" w:firstLine="480"/>
        <w:rPr>
          <w:color w:val="0000FF"/>
        </w:rPr>
      </w:pPr>
      <w:r>
        <w:rPr>
          <w:color w:val="0000FF"/>
          <w:spacing w:val="-6"/>
        </w:rPr>
        <w:t>类比分析，羊的病死率按</w:t>
      </w:r>
      <w:r>
        <w:rPr>
          <w:rFonts w:ascii="Times New Roman" w:eastAsia="Times New Roman"/>
          <w:color w:val="0000FF"/>
        </w:rPr>
        <w:t>0.5%</w:t>
      </w:r>
      <w:r>
        <w:rPr>
          <w:color w:val="0000FF"/>
          <w:spacing w:val="-8"/>
        </w:rPr>
        <w:t>计，羊只出栏量</w:t>
      </w:r>
      <w:r>
        <w:rPr>
          <w:rFonts w:ascii="Times New Roman" w:eastAsia="Times New Roman"/>
          <w:color w:val="0000FF"/>
        </w:rPr>
        <w:t>4</w:t>
      </w:r>
      <w:r>
        <w:rPr>
          <w:color w:val="0000FF"/>
          <w:spacing w:val="-7"/>
        </w:rPr>
        <w:t>万只，则年死亡羊</w:t>
      </w:r>
      <w:r>
        <w:rPr>
          <w:rFonts w:hint="eastAsia"/>
          <w:color w:val="0000FF"/>
          <w:spacing w:val="-7"/>
          <w:lang w:val="en-US" w:eastAsia="zh-CN"/>
        </w:rPr>
        <w:t>200</w:t>
      </w:r>
      <w:r>
        <w:rPr>
          <w:color w:val="0000FF"/>
          <w:spacing w:val="-18"/>
          <w:position w:val="2"/>
        </w:rPr>
        <w:t>只，每只羊重约</w:t>
      </w:r>
      <w:r>
        <w:rPr>
          <w:rFonts w:ascii="Times New Roman" w:eastAsia="Times New Roman"/>
          <w:color w:val="0000FF"/>
          <w:spacing w:val="-15"/>
          <w:position w:val="2"/>
        </w:rPr>
        <w:t>40kg</w:t>
      </w:r>
      <w:r>
        <w:rPr>
          <w:color w:val="0000FF"/>
          <w:spacing w:val="-19"/>
          <w:position w:val="2"/>
        </w:rPr>
        <w:t>，合计</w:t>
      </w:r>
      <w:r>
        <w:rPr>
          <w:rFonts w:hint="eastAsia"/>
          <w:color w:val="0000FF"/>
          <w:spacing w:val="-19"/>
          <w:position w:val="2"/>
          <w:lang w:val="en-US" w:eastAsia="zh-CN"/>
        </w:rPr>
        <w:t>8</w:t>
      </w:r>
      <w:r>
        <w:rPr>
          <w:rFonts w:ascii="Times New Roman" w:eastAsia="Times New Roman"/>
          <w:color w:val="0000FF"/>
          <w:position w:val="2"/>
        </w:rPr>
        <w:t>t</w:t>
      </w:r>
      <w:r>
        <w:rPr>
          <w:color w:val="0000FF"/>
          <w:spacing w:val="-12"/>
          <w:position w:val="2"/>
        </w:rPr>
        <w:t>。本项目年处理病死羊废物总量约</w:t>
      </w:r>
      <w:r>
        <w:rPr>
          <w:rFonts w:ascii="Times New Roman" w:eastAsia="Times New Roman"/>
          <w:color w:val="0000FF"/>
          <w:spacing w:val="-7"/>
          <w:position w:val="2"/>
        </w:rPr>
        <w:t>8t/a</w:t>
      </w:r>
      <w:r>
        <w:rPr>
          <w:color w:val="0000FF"/>
          <w:spacing w:val="-7"/>
          <w:position w:val="2"/>
        </w:rPr>
        <w:t>，</w:t>
      </w:r>
      <w:r>
        <w:rPr>
          <w:rFonts w:ascii="Times New Roman" w:eastAsia="Times New Roman"/>
          <w:color w:val="0000FF"/>
          <w:spacing w:val="-7"/>
          <w:position w:val="2"/>
        </w:rPr>
        <w:t>NH</w:t>
      </w:r>
      <w:r>
        <w:rPr>
          <w:rFonts w:ascii="Times New Roman" w:eastAsia="Times New Roman"/>
          <w:color w:val="0000FF"/>
          <w:spacing w:val="-7"/>
          <w:position w:val="2"/>
          <w:vertAlign w:val="subscript"/>
        </w:rPr>
        <w:t>3</w:t>
      </w:r>
      <w:r>
        <w:rPr>
          <w:color w:val="0000FF"/>
          <w:spacing w:val="-18"/>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9"/>
          <w:position w:val="2"/>
          <w:vertAlign w:val="baseline"/>
        </w:rPr>
        <w:t>产生量分别为</w:t>
      </w:r>
      <w:r>
        <w:rPr>
          <w:rFonts w:ascii="Times New Roman" w:eastAsia="Times New Roman"/>
          <w:color w:val="0000FF"/>
          <w:position w:val="2"/>
          <w:vertAlign w:val="baseline"/>
        </w:rPr>
        <w:t>0.0</w:t>
      </w:r>
      <w:r>
        <w:rPr>
          <w:rFonts w:hint="eastAsia" w:ascii="Times New Roman" w:eastAsia="宋体"/>
          <w:color w:val="0000FF"/>
          <w:position w:val="2"/>
          <w:vertAlign w:val="baseline"/>
          <w:lang w:val="en-US" w:eastAsia="zh-CN"/>
        </w:rPr>
        <w:t>0</w:t>
      </w:r>
      <w:r>
        <w:rPr>
          <w:rFonts w:ascii="Times New Roman" w:eastAsia="Times New Roman"/>
          <w:color w:val="0000FF"/>
          <w:position w:val="2"/>
          <w:vertAlign w:val="baseline"/>
        </w:rPr>
        <w:t>8t/a</w:t>
      </w:r>
      <w:r>
        <w:rPr>
          <w:color w:val="0000FF"/>
          <w:spacing w:val="-41"/>
          <w:position w:val="2"/>
          <w:vertAlign w:val="baseline"/>
        </w:rPr>
        <w:t>、</w:t>
      </w:r>
      <w:r>
        <w:rPr>
          <w:rFonts w:ascii="Times New Roman" w:eastAsia="Times New Roman"/>
          <w:color w:val="0000FF"/>
          <w:position w:val="2"/>
          <w:vertAlign w:val="baseline"/>
        </w:rPr>
        <w:t>0.00</w:t>
      </w:r>
      <w:r>
        <w:rPr>
          <w:rFonts w:hint="eastAsia" w:ascii="Times New Roman" w:eastAsia="宋体"/>
          <w:color w:val="0000FF"/>
          <w:position w:val="2"/>
          <w:vertAlign w:val="baseline"/>
          <w:lang w:val="en-US" w:eastAsia="zh-CN"/>
        </w:rPr>
        <w:t>0</w:t>
      </w:r>
      <w:r>
        <w:rPr>
          <w:rFonts w:ascii="Times New Roman" w:eastAsia="Times New Roman"/>
          <w:color w:val="0000FF"/>
          <w:position w:val="2"/>
          <w:vertAlign w:val="baseline"/>
        </w:rPr>
        <w:t>8t/a</w:t>
      </w:r>
      <w:r>
        <w:rPr>
          <w:color w:val="0000FF"/>
          <w:spacing w:val="-10"/>
          <w:position w:val="2"/>
          <w:vertAlign w:val="baseline"/>
        </w:rPr>
        <w:t>。每处理一吨病死动物，全部处理过程约</w:t>
      </w:r>
      <w:r>
        <w:rPr>
          <w:rFonts w:ascii="Times New Roman" w:eastAsia="Times New Roman"/>
          <w:color w:val="0000FF"/>
          <w:spacing w:val="-10"/>
          <w:position w:val="2"/>
          <w:vertAlign w:val="baseline"/>
        </w:rPr>
        <w:t>480min</w:t>
      </w:r>
      <w:r>
        <w:rPr>
          <w:color w:val="0000FF"/>
          <w:spacing w:val="-10"/>
          <w:position w:val="2"/>
          <w:vertAlign w:val="baseline"/>
        </w:rPr>
        <w:t>（</w:t>
      </w:r>
      <w:r>
        <w:rPr>
          <w:rFonts w:ascii="Times New Roman" w:eastAsia="Times New Roman"/>
          <w:color w:val="0000FF"/>
          <w:spacing w:val="-10"/>
          <w:position w:val="2"/>
          <w:vertAlign w:val="baseline"/>
        </w:rPr>
        <w:t>8h</w:t>
      </w:r>
      <w:r>
        <w:rPr>
          <w:color w:val="0000FF"/>
          <w:spacing w:val="-10"/>
          <w:position w:val="2"/>
          <w:vertAlign w:val="baseline"/>
        </w:rPr>
        <w:t>），</w:t>
      </w:r>
      <w:r>
        <w:rPr>
          <w:color w:val="0000FF"/>
          <w:spacing w:val="-16"/>
          <w:position w:val="2"/>
          <w:vertAlign w:val="baseline"/>
        </w:rPr>
        <w:t>本项目年处理时间为</w:t>
      </w:r>
      <w:r>
        <w:rPr>
          <w:rFonts w:hint="eastAsia"/>
          <w:color w:val="0000FF"/>
          <w:spacing w:val="-16"/>
          <w:position w:val="2"/>
          <w:vertAlign w:val="baseline"/>
          <w:lang w:val="en-US" w:eastAsia="zh-CN"/>
        </w:rPr>
        <w:t xml:space="preserve">64 </w:t>
      </w:r>
      <w:r>
        <w:rPr>
          <w:rFonts w:ascii="Times New Roman" w:eastAsia="Times New Roman"/>
          <w:color w:val="0000FF"/>
          <w:position w:val="2"/>
          <w:vertAlign w:val="baseline"/>
        </w:rPr>
        <w:t>h/a</w:t>
      </w:r>
      <w:r>
        <w:rPr>
          <w:color w:val="0000FF"/>
          <w:spacing w:val="-20"/>
          <w:position w:val="2"/>
          <w:vertAlign w:val="baseline"/>
        </w:rPr>
        <w:t>，则</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color w:val="0000FF"/>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年产生量分别为</w:t>
      </w:r>
      <w:r>
        <w:rPr>
          <w:rFonts w:ascii="Times New Roman" w:eastAsia="Times New Roman"/>
          <w:color w:val="0000FF"/>
          <w:position w:val="2"/>
        </w:rPr>
        <w:t>0.</w:t>
      </w:r>
      <w:r>
        <w:rPr>
          <w:rFonts w:hint="eastAsia" w:ascii="Times New Roman" w:eastAsia="宋体"/>
          <w:color w:val="0000FF"/>
          <w:position w:val="2"/>
          <w:lang w:val="en-US" w:eastAsia="zh-CN"/>
        </w:rPr>
        <w:t>512</w:t>
      </w:r>
      <w:r>
        <w:rPr>
          <w:rFonts w:ascii="Times New Roman" w:eastAsia="Times New Roman"/>
          <w:color w:val="0000FF"/>
          <w:position w:val="2"/>
        </w:rPr>
        <w:t>kg/h</w:t>
      </w:r>
      <w:r>
        <w:rPr>
          <w:color w:val="0000FF"/>
          <w:position w:val="2"/>
        </w:rPr>
        <w:t>、</w:t>
      </w:r>
      <w:r>
        <w:rPr>
          <w:rFonts w:ascii="Times New Roman" w:eastAsia="Times New Roman"/>
          <w:color w:val="0000FF"/>
          <w:position w:val="2"/>
        </w:rPr>
        <w:t>0.</w:t>
      </w:r>
      <w:r>
        <w:rPr>
          <w:rFonts w:hint="eastAsia" w:ascii="Times New Roman" w:eastAsia="宋体"/>
          <w:color w:val="0000FF"/>
          <w:position w:val="2"/>
          <w:lang w:val="en-US" w:eastAsia="zh-CN"/>
        </w:rPr>
        <w:t>0512</w:t>
      </w:r>
      <w:r>
        <w:rPr>
          <w:rFonts w:ascii="Times New Roman" w:eastAsia="Times New Roman"/>
          <w:color w:val="0000FF"/>
          <w:position w:val="2"/>
        </w:rPr>
        <w:t>kg/h</w:t>
      </w:r>
      <w:r>
        <w:rPr>
          <w:color w:val="0000FF"/>
          <w:position w:val="2"/>
        </w:rPr>
        <w:t>。引风机风量为</w:t>
      </w:r>
      <w:r>
        <w:rPr>
          <w:rFonts w:ascii="Times New Roman" w:eastAsia="Times New Roman"/>
          <w:color w:val="0000FF"/>
          <w:position w:val="2"/>
        </w:rPr>
        <w:t>2000m</w:t>
      </w:r>
      <w:r>
        <w:rPr>
          <w:rFonts w:ascii="Times New Roman" w:eastAsia="Times New Roman"/>
          <w:color w:val="0000FF"/>
          <w:position w:val="2"/>
          <w:vertAlign w:val="superscript"/>
        </w:rPr>
        <w:t>3</w:t>
      </w:r>
      <w:r>
        <w:rPr>
          <w:rFonts w:ascii="Times New Roman" w:eastAsia="Times New Roman"/>
          <w:color w:val="0000FF"/>
          <w:position w:val="2"/>
          <w:vertAlign w:val="baseline"/>
        </w:rPr>
        <w:t>/h</w:t>
      </w:r>
      <w:r>
        <w:rPr>
          <w:color w:val="0000FF"/>
          <w:position w:val="2"/>
          <w:vertAlign w:val="baseline"/>
        </w:rPr>
        <w:t>，则</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color w:val="0000FF"/>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产生浓度分别为</w:t>
      </w:r>
      <w:r>
        <w:rPr>
          <w:rFonts w:hint="eastAsia" w:ascii="Times New Roman" w:eastAsia="宋体"/>
          <w:color w:val="0000FF"/>
          <w:lang w:val="en-US" w:eastAsia="zh-CN"/>
        </w:rPr>
        <w:t>0.625</w:t>
      </w:r>
      <w:r>
        <w:rPr>
          <w:rFonts w:ascii="Times New Roman" w:eastAsia="Times New Roman"/>
          <w:color w:val="0000FF"/>
        </w:rPr>
        <w:t>mg/m</w:t>
      </w:r>
      <w:r>
        <w:rPr>
          <w:rFonts w:ascii="Times New Roman" w:eastAsia="Times New Roman"/>
          <w:color w:val="0000FF"/>
          <w:position w:val="8"/>
          <w:sz w:val="15"/>
        </w:rPr>
        <w:t>3</w:t>
      </w:r>
      <w:r>
        <w:rPr>
          <w:color w:val="0000FF"/>
        </w:rPr>
        <w:t>、</w:t>
      </w:r>
      <w:r>
        <w:rPr>
          <w:rFonts w:hint="eastAsia" w:ascii="Times New Roman" w:eastAsia="宋体"/>
          <w:color w:val="0000FF"/>
          <w:lang w:val="en-US" w:eastAsia="zh-CN"/>
        </w:rPr>
        <w:t>0.0625</w:t>
      </w:r>
      <w:r>
        <w:rPr>
          <w:rFonts w:ascii="Times New Roman" w:eastAsia="Times New Roman"/>
          <w:color w:val="0000FF"/>
        </w:rPr>
        <w:t>mg/m</w:t>
      </w:r>
      <w:r>
        <w:rPr>
          <w:rFonts w:ascii="Times New Roman" w:eastAsia="Times New Roman"/>
          <w:color w:val="0000FF"/>
          <w:position w:val="8"/>
          <w:sz w:val="15"/>
        </w:rPr>
        <w:t>3</w:t>
      </w:r>
      <w:r>
        <w:rPr>
          <w:color w:val="0000FF"/>
        </w:rPr>
        <w:t>。</w:t>
      </w:r>
    </w:p>
    <w:p>
      <w:pPr>
        <w:pStyle w:val="7"/>
        <w:spacing w:before="160" w:line="364" w:lineRule="auto"/>
        <w:ind w:right="577" w:firstLine="480"/>
        <w:jc w:val="both"/>
        <w:rPr>
          <w:color w:val="0000FF"/>
        </w:rPr>
      </w:pPr>
      <w:r>
        <w:rPr>
          <w:color w:val="0000FF"/>
        </w:rPr>
        <w:t>该废气采用集中负压引流，先进行</w:t>
      </w:r>
      <w:r>
        <w:rPr>
          <w:rFonts w:ascii="Times New Roman" w:eastAsia="Times New Roman"/>
          <w:color w:val="0000FF"/>
        </w:rPr>
        <w:t>=</w:t>
      </w:r>
      <w:r>
        <w:rPr>
          <w:color w:val="0000FF"/>
        </w:rPr>
        <w:t>间接冷凝处理，</w:t>
      </w:r>
      <w:r>
        <w:rPr>
          <w:rFonts w:ascii="Times New Roman" w:eastAsia="Times New Roman"/>
          <w:color w:val="0000FF"/>
        </w:rPr>
        <w:t>90%</w:t>
      </w:r>
      <w:r>
        <w:rPr>
          <w:color w:val="0000FF"/>
        </w:rPr>
        <w:t>水蒸气在冷凝器中</w:t>
      </w:r>
      <w:r>
        <w:rPr>
          <w:color w:val="0000FF"/>
          <w:spacing w:val="-13"/>
        </w:rPr>
        <w:t>冷凝下来成污水排入排水沟，剩余</w:t>
      </w:r>
      <w:r>
        <w:rPr>
          <w:rFonts w:ascii="Times New Roman" w:eastAsia="Times New Roman"/>
          <w:color w:val="0000FF"/>
        </w:rPr>
        <w:t>10%</w:t>
      </w:r>
      <w:r>
        <w:rPr>
          <w:color w:val="0000FF"/>
          <w:spacing w:val="-1"/>
        </w:rPr>
        <w:t>以水蒸气的形式伴随其他废气引入光解除</w:t>
      </w:r>
      <w:r>
        <w:rPr>
          <w:color w:val="0000FF"/>
          <w:spacing w:val="-4"/>
          <w:position w:val="2"/>
        </w:rPr>
        <w:t>臭装置吸收处理</w:t>
      </w:r>
      <w:r>
        <w:rPr>
          <w:color w:val="0000FF"/>
          <w:position w:val="2"/>
        </w:rPr>
        <w:t>（</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spacing w:val="-22"/>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9"/>
          <w:position w:val="2"/>
          <w:vertAlign w:val="baseline"/>
        </w:rPr>
        <w:t>的去除率可达</w:t>
      </w:r>
      <w:r>
        <w:rPr>
          <w:rFonts w:ascii="Times New Roman" w:eastAsia="Times New Roman"/>
          <w:color w:val="0000FF"/>
          <w:position w:val="2"/>
          <w:vertAlign w:val="baseline"/>
        </w:rPr>
        <w:t>90%</w:t>
      </w:r>
      <w:r>
        <w:rPr>
          <w:color w:val="0000FF"/>
          <w:position w:val="2"/>
          <w:vertAlign w:val="baseline"/>
        </w:rPr>
        <w:t>以上</w:t>
      </w:r>
      <w:r>
        <w:rPr>
          <w:color w:val="0000FF"/>
          <w:spacing w:val="-22"/>
          <w:position w:val="2"/>
          <w:vertAlign w:val="baseline"/>
        </w:rPr>
        <w:t>）</w:t>
      </w:r>
      <w:r>
        <w:rPr>
          <w:color w:val="0000FF"/>
          <w:spacing w:val="-12"/>
          <w:position w:val="2"/>
          <w:vertAlign w:val="baseline"/>
        </w:rPr>
        <w:t>后，经引风机引至</w:t>
      </w:r>
      <w:r>
        <w:rPr>
          <w:rFonts w:ascii="Times New Roman" w:eastAsia="Times New Roman"/>
          <w:color w:val="0000FF"/>
          <w:position w:val="2"/>
          <w:vertAlign w:val="baseline"/>
        </w:rPr>
        <w:t>15m</w:t>
      </w:r>
      <w:r>
        <w:rPr>
          <w:color w:val="0000FF"/>
          <w:spacing w:val="-17"/>
          <w:position w:val="2"/>
          <w:vertAlign w:val="baseline"/>
        </w:rPr>
        <w:t>高</w:t>
      </w:r>
      <w:r>
        <w:rPr>
          <w:color w:val="0000FF"/>
          <w:vertAlign w:val="baseline"/>
        </w:rPr>
        <w:t>排气筒集中排放。</w:t>
      </w:r>
    </w:p>
    <w:p>
      <w:pPr>
        <w:pStyle w:val="7"/>
        <w:spacing w:line="362" w:lineRule="auto"/>
        <w:ind w:right="449" w:firstLine="480"/>
        <w:jc w:val="both"/>
        <w:rPr>
          <w:color w:val="0000FF"/>
        </w:rPr>
      </w:pPr>
      <w:r>
        <w:rPr>
          <w:color w:val="0000FF"/>
          <w:spacing w:val="-11"/>
          <w:position w:val="2"/>
        </w:rPr>
        <w:t>经处理后</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spacing w:val="-120"/>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4"/>
          <w:position w:val="2"/>
          <w:vertAlign w:val="baseline"/>
        </w:rPr>
        <w:t>通过有组织排放的排放量分别为</w:t>
      </w:r>
      <w:r>
        <w:rPr>
          <w:rFonts w:hint="eastAsia" w:ascii="Times New Roman" w:eastAsia="宋体"/>
          <w:color w:val="0000FF"/>
          <w:position w:val="2"/>
          <w:vertAlign w:val="baseline"/>
          <w:lang w:val="en-US" w:eastAsia="zh-CN"/>
        </w:rPr>
        <w:t>0.008</w:t>
      </w:r>
      <w:r>
        <w:rPr>
          <w:rFonts w:ascii="Times New Roman" w:eastAsia="Times New Roman"/>
          <w:color w:val="0000FF"/>
          <w:position w:val="2"/>
          <w:vertAlign w:val="baseline"/>
        </w:rPr>
        <w:t>t/a</w:t>
      </w:r>
      <w:r>
        <w:rPr>
          <w:color w:val="0000FF"/>
          <w:spacing w:val="-120"/>
          <w:position w:val="2"/>
          <w:vertAlign w:val="baseline"/>
        </w:rPr>
        <w:t>、</w:t>
      </w:r>
      <w:r>
        <w:rPr>
          <w:rFonts w:hint="eastAsia" w:ascii="Times New Roman" w:eastAsia="宋体"/>
          <w:color w:val="0000FF"/>
          <w:spacing w:val="-3"/>
          <w:position w:val="2"/>
          <w:vertAlign w:val="baseline"/>
          <w:lang w:val="en-US" w:eastAsia="zh-CN"/>
        </w:rPr>
        <w:t>0.0008</w:t>
      </w:r>
      <w:r>
        <w:rPr>
          <w:rFonts w:ascii="Times New Roman" w:eastAsia="Times New Roman"/>
          <w:color w:val="0000FF"/>
          <w:spacing w:val="-3"/>
          <w:position w:val="2"/>
          <w:vertAlign w:val="baseline"/>
        </w:rPr>
        <w:t>t/a</w:t>
      </w:r>
      <w:r>
        <w:rPr>
          <w:color w:val="0000FF"/>
          <w:spacing w:val="-3"/>
          <w:position w:val="2"/>
          <w:vertAlign w:val="baseline"/>
        </w:rPr>
        <w:t>，</w:t>
      </w:r>
      <w:r>
        <w:rPr>
          <w:rFonts w:ascii="Times New Roman" w:eastAsia="Times New Roman"/>
          <w:color w:val="0000FF"/>
          <w:spacing w:val="-1"/>
          <w:position w:val="2"/>
          <w:vertAlign w:val="baseline"/>
        </w:rPr>
        <w:t>NH</w:t>
      </w:r>
      <w:r>
        <w:rPr>
          <w:rFonts w:ascii="Times New Roman" w:eastAsia="Times New Roman"/>
          <w:color w:val="0000FF"/>
          <w:spacing w:val="1"/>
          <w:w w:val="103"/>
          <w:position w:val="2"/>
          <w:vertAlign w:val="subscript"/>
        </w:rPr>
        <w:t>3</w:t>
      </w:r>
      <w:r>
        <w:rPr>
          <w:color w:val="0000FF"/>
          <w:spacing w:val="-108"/>
          <w:position w:val="2"/>
          <w:vertAlign w:val="baseline"/>
        </w:rPr>
        <w:t>、</w:t>
      </w:r>
      <w:r>
        <w:rPr>
          <w:rFonts w:ascii="Times New Roman" w:eastAsia="Times New Roman"/>
          <w:color w:val="0000FF"/>
          <w:spacing w:val="-1"/>
          <w:position w:val="2"/>
          <w:vertAlign w:val="baseline"/>
        </w:rPr>
        <w:t>H</w:t>
      </w:r>
      <w:r>
        <w:rPr>
          <w:rFonts w:ascii="Times New Roman" w:eastAsia="Times New Roman"/>
          <w:color w:val="0000FF"/>
          <w:spacing w:val="-2"/>
          <w:w w:val="103"/>
          <w:position w:val="2"/>
          <w:vertAlign w:val="subscript"/>
        </w:rPr>
        <w:t>2</w:t>
      </w:r>
      <w:r>
        <w:rPr>
          <w:rFonts w:ascii="Times New Roman" w:eastAsia="Times New Roman"/>
          <w:color w:val="0000FF"/>
          <w:position w:val="2"/>
          <w:vertAlign w:val="baseline"/>
        </w:rPr>
        <w:t>S</w:t>
      </w:r>
      <w:r>
        <w:rPr>
          <w:color w:val="0000FF"/>
          <w:spacing w:val="-9"/>
          <w:position w:val="2"/>
          <w:vertAlign w:val="baseline"/>
        </w:rPr>
        <w:t>的排放浓度为</w:t>
      </w:r>
      <w:r>
        <w:rPr>
          <w:rFonts w:ascii="Times New Roman" w:eastAsia="Times New Roman"/>
          <w:color w:val="0000FF"/>
          <w:position w:val="2"/>
          <w:vertAlign w:val="baseline"/>
        </w:rPr>
        <w:t>0.625m</w:t>
      </w:r>
      <w:r>
        <w:rPr>
          <w:rFonts w:ascii="Times New Roman" w:eastAsia="Times New Roman"/>
          <w:color w:val="0000FF"/>
          <w:spacing w:val="-3"/>
          <w:position w:val="2"/>
          <w:vertAlign w:val="baseline"/>
        </w:rPr>
        <w:t>g</w:t>
      </w:r>
      <w:r>
        <w:rPr>
          <w:rFonts w:ascii="Times New Roman" w:eastAsia="Times New Roman"/>
          <w:color w:val="0000FF"/>
          <w:position w:val="2"/>
          <w:vertAlign w:val="baseline"/>
        </w:rPr>
        <w:t>/m</w:t>
      </w:r>
      <w:r>
        <w:rPr>
          <w:rFonts w:ascii="Times New Roman" w:eastAsia="Times New Roman"/>
          <w:color w:val="0000FF"/>
          <w:spacing w:val="1"/>
          <w:w w:val="103"/>
          <w:position w:val="2"/>
          <w:vertAlign w:val="superscript"/>
        </w:rPr>
        <w:t>3</w:t>
      </w:r>
      <w:r>
        <w:rPr>
          <w:color w:val="0000FF"/>
          <w:spacing w:val="-108"/>
          <w:position w:val="2"/>
          <w:vertAlign w:val="baseline"/>
        </w:rPr>
        <w:t>、</w:t>
      </w:r>
      <w:r>
        <w:rPr>
          <w:rFonts w:ascii="Times New Roman" w:eastAsia="Times New Roman"/>
          <w:color w:val="0000FF"/>
          <w:position w:val="2"/>
          <w:vertAlign w:val="baseline"/>
        </w:rPr>
        <w:t>0.0625m</w:t>
      </w:r>
      <w:r>
        <w:rPr>
          <w:rFonts w:ascii="Times New Roman" w:eastAsia="Times New Roman"/>
          <w:color w:val="0000FF"/>
          <w:spacing w:val="-3"/>
          <w:position w:val="2"/>
          <w:vertAlign w:val="baseline"/>
        </w:rPr>
        <w:t>g</w:t>
      </w:r>
      <w:r>
        <w:rPr>
          <w:rFonts w:ascii="Times New Roman" w:eastAsia="Times New Roman"/>
          <w:color w:val="0000FF"/>
          <w:position w:val="2"/>
          <w:vertAlign w:val="baseline"/>
        </w:rPr>
        <w:t>/m</w:t>
      </w:r>
      <w:r>
        <w:rPr>
          <w:rFonts w:ascii="Times New Roman" w:eastAsia="Times New Roman"/>
          <w:color w:val="0000FF"/>
          <w:spacing w:val="-2"/>
          <w:w w:val="103"/>
          <w:position w:val="2"/>
          <w:vertAlign w:val="superscript"/>
        </w:rPr>
        <w:t>3</w:t>
      </w:r>
      <w:r>
        <w:rPr>
          <w:color w:val="0000FF"/>
          <w:spacing w:val="-20"/>
          <w:position w:val="2"/>
          <w:vertAlign w:val="baseline"/>
        </w:rPr>
        <w:t>，排放速率分别为</w:t>
      </w:r>
      <w:r>
        <w:rPr>
          <w:rFonts w:hint="eastAsia" w:ascii="Times New Roman" w:eastAsia="宋体"/>
          <w:color w:val="0000FF"/>
          <w:position w:val="2"/>
          <w:vertAlign w:val="baseline"/>
          <w:lang w:val="en-US" w:eastAsia="zh-CN"/>
        </w:rPr>
        <w:t>0.512</w:t>
      </w:r>
      <w:r>
        <w:rPr>
          <w:rFonts w:ascii="Times New Roman" w:eastAsia="Times New Roman"/>
          <w:color w:val="0000FF"/>
          <w:position w:val="2"/>
          <w:vertAlign w:val="baseline"/>
        </w:rPr>
        <w:t>k</w:t>
      </w:r>
      <w:r>
        <w:rPr>
          <w:rFonts w:ascii="Times New Roman" w:eastAsia="Times New Roman"/>
          <w:color w:val="0000FF"/>
          <w:spacing w:val="-3"/>
          <w:position w:val="2"/>
          <w:vertAlign w:val="baseline"/>
        </w:rPr>
        <w:t>g</w:t>
      </w:r>
      <w:r>
        <w:rPr>
          <w:rFonts w:ascii="Times New Roman" w:eastAsia="Times New Roman"/>
          <w:color w:val="0000FF"/>
          <w:position w:val="2"/>
          <w:vertAlign w:val="baseline"/>
        </w:rPr>
        <w:t>/</w:t>
      </w:r>
      <w:r>
        <w:rPr>
          <w:rFonts w:ascii="Times New Roman" w:eastAsia="Times New Roman"/>
          <w:color w:val="0000FF"/>
          <w:spacing w:val="2"/>
          <w:position w:val="2"/>
          <w:vertAlign w:val="baseline"/>
        </w:rPr>
        <w:t>h</w:t>
      </w:r>
      <w:r>
        <w:rPr>
          <w:color w:val="0000FF"/>
          <w:spacing w:val="-20"/>
          <w:position w:val="2"/>
          <w:vertAlign w:val="baseline"/>
        </w:rPr>
        <w:t>、</w:t>
      </w:r>
      <w:r>
        <w:rPr>
          <w:rFonts w:hint="eastAsia" w:ascii="Times New Roman" w:eastAsia="宋体"/>
          <w:color w:val="0000FF"/>
          <w:vertAlign w:val="baseline"/>
          <w:lang w:val="en-US" w:eastAsia="zh-CN"/>
        </w:rPr>
        <w:t>0.0512</w:t>
      </w:r>
      <w:r>
        <w:rPr>
          <w:rFonts w:ascii="Times New Roman" w:eastAsia="Times New Roman"/>
          <w:color w:val="0000FF"/>
          <w:vertAlign w:val="baseline"/>
        </w:rPr>
        <w:t>kg/h</w:t>
      </w:r>
      <w:r>
        <w:rPr>
          <w:color w:val="0000FF"/>
          <w:vertAlign w:val="baseline"/>
        </w:rPr>
        <w:t>；符合《恶臭污染物排放标准》（</w:t>
      </w:r>
      <w:r>
        <w:rPr>
          <w:rFonts w:ascii="Times New Roman" w:eastAsia="Times New Roman"/>
          <w:color w:val="0000FF"/>
          <w:vertAlign w:val="baseline"/>
        </w:rPr>
        <w:t>GB14554-93</w:t>
      </w:r>
      <w:r>
        <w:rPr>
          <w:color w:val="0000FF"/>
          <w:vertAlign w:val="baseline"/>
        </w:rPr>
        <w:t>）。</w:t>
      </w:r>
    </w:p>
    <w:p>
      <w:pPr>
        <w:pStyle w:val="18"/>
        <w:numPr>
          <w:ilvl w:val="0"/>
          <w:numId w:val="34"/>
        </w:numPr>
        <w:tabs>
          <w:tab w:val="left" w:pos="1621"/>
        </w:tabs>
        <w:spacing w:before="0" w:after="0" w:line="240" w:lineRule="auto"/>
        <w:ind w:left="1621" w:right="0" w:hanging="601"/>
        <w:jc w:val="left"/>
        <w:rPr>
          <w:sz w:val="24"/>
        </w:rPr>
      </w:pPr>
      <w:r>
        <w:rPr>
          <w:sz w:val="24"/>
        </w:rPr>
        <w:t>废气产生及处置情况汇总</w:t>
      </w:r>
    </w:p>
    <w:p>
      <w:pPr>
        <w:pStyle w:val="7"/>
        <w:spacing w:before="11"/>
        <w:ind w:left="0" w:firstLine="480" w:firstLineChars="200"/>
        <w:jc w:val="both"/>
        <w:rPr>
          <w:sz w:val="24"/>
        </w:rPr>
      </w:pPr>
      <w:r>
        <w:rPr>
          <w:sz w:val="24"/>
        </w:rPr>
        <w:t>综上所述，本项目废气产、排放情况见表</w:t>
      </w:r>
      <w:r>
        <w:rPr>
          <w:rFonts w:ascii="Times New Roman" w:eastAsia="Times New Roman"/>
          <w:sz w:val="24"/>
        </w:rPr>
        <w:t>3.2-8</w:t>
      </w:r>
      <w:r>
        <w:rPr>
          <w:sz w:val="24"/>
        </w:rPr>
        <w:t>和</w:t>
      </w:r>
      <w:r>
        <w:rPr>
          <w:rFonts w:ascii="Times New Roman" w:eastAsia="Times New Roman"/>
          <w:sz w:val="24"/>
        </w:rPr>
        <w:t>3.2-9</w:t>
      </w:r>
      <w:r>
        <w:rPr>
          <w:sz w:val="24"/>
        </w:rPr>
        <w:t>。</w:t>
      </w:r>
    </w:p>
    <w:p>
      <w:pPr>
        <w:pStyle w:val="7"/>
        <w:spacing w:before="11"/>
        <w:ind w:left="0"/>
        <w:jc w:val="center"/>
        <w:rPr>
          <w:b/>
          <w:spacing w:val="-15"/>
          <w:sz w:val="24"/>
        </w:rPr>
      </w:pPr>
      <w:r>
        <w:rPr>
          <w:b/>
          <w:sz w:val="24"/>
        </w:rPr>
        <w:t>表</w:t>
      </w:r>
      <w:r>
        <w:rPr>
          <w:rFonts w:ascii="Times New Roman" w:eastAsia="Times New Roman"/>
          <w:b/>
          <w:sz w:val="24"/>
        </w:rPr>
        <w:t>3.2-8</w:t>
      </w:r>
      <w:r>
        <w:rPr>
          <w:rFonts w:ascii="Times New Roman" w:eastAsia="Times New Roman"/>
          <w:b/>
          <w:sz w:val="24"/>
        </w:rPr>
        <w:tab/>
      </w:r>
      <w:r>
        <w:rPr>
          <w:b/>
          <w:sz w:val="24"/>
        </w:rPr>
        <w:t>大气污染物无组织排放量核算</w:t>
      </w:r>
      <w:r>
        <w:rPr>
          <w:b/>
          <w:spacing w:val="-15"/>
          <w:sz w:val="24"/>
        </w:rPr>
        <w:t>表</w:t>
      </w:r>
    </w:p>
    <w:tbl>
      <w:tblPr>
        <w:tblStyle w:val="15"/>
        <w:tblpPr w:leftFromText="180" w:rightFromText="180" w:vertAnchor="text" w:horzAnchor="page" w:tblpX="1883" w:tblpY="302"/>
        <w:tblOverlap w:val="never"/>
        <w:tblW w:w="0" w:type="auto"/>
        <w:tblInd w:w="0" w:type="dxa"/>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8"/>
        <w:gridCol w:w="670"/>
        <w:gridCol w:w="822"/>
        <w:gridCol w:w="650"/>
        <w:gridCol w:w="1925"/>
        <w:gridCol w:w="1650"/>
        <w:gridCol w:w="1096"/>
        <w:gridCol w:w="946"/>
      </w:tblGrid>
      <w:tr>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8" w:type="dxa"/>
            <w:vMerge w:val="restart"/>
            <w:tcBorders>
              <w:tl2br w:val="nil"/>
              <w:tr2bl w:val="nil"/>
            </w:tcBorders>
          </w:tcPr>
          <w:p>
            <w:pPr>
              <w:pStyle w:val="19"/>
              <w:spacing w:before="4"/>
              <w:jc w:val="left"/>
              <w:rPr>
                <w:b/>
                <w:sz w:val="15"/>
              </w:rPr>
            </w:pPr>
          </w:p>
          <w:p>
            <w:pPr>
              <w:pStyle w:val="19"/>
              <w:spacing w:line="278" w:lineRule="auto"/>
              <w:ind w:left="138" w:right="128"/>
              <w:jc w:val="left"/>
              <w:rPr>
                <w:b/>
                <w:sz w:val="21"/>
              </w:rPr>
            </w:pPr>
            <w:r>
              <w:rPr>
                <w:b/>
                <w:sz w:val="21"/>
              </w:rPr>
              <w:t>序号</w:t>
            </w:r>
          </w:p>
        </w:tc>
        <w:tc>
          <w:tcPr>
            <w:tcW w:w="670" w:type="dxa"/>
            <w:vMerge w:val="restart"/>
            <w:tcBorders>
              <w:tl2br w:val="nil"/>
              <w:tr2bl w:val="nil"/>
            </w:tcBorders>
          </w:tcPr>
          <w:p>
            <w:pPr>
              <w:pStyle w:val="19"/>
              <w:spacing w:before="133" w:line="213" w:lineRule="auto"/>
              <w:ind w:left="123" w:right="114"/>
              <w:jc w:val="both"/>
              <w:rPr>
                <w:b/>
                <w:sz w:val="21"/>
              </w:rPr>
            </w:pPr>
            <w:r>
              <w:rPr>
                <w:b/>
                <w:sz w:val="21"/>
              </w:rPr>
              <w:t>排放口编号</w:t>
            </w:r>
          </w:p>
        </w:tc>
        <w:tc>
          <w:tcPr>
            <w:tcW w:w="822" w:type="dxa"/>
            <w:vMerge w:val="restart"/>
            <w:tcBorders>
              <w:tl2br w:val="nil"/>
              <w:tr2bl w:val="nil"/>
            </w:tcBorders>
          </w:tcPr>
          <w:p>
            <w:pPr>
              <w:pStyle w:val="19"/>
              <w:spacing w:before="9"/>
              <w:jc w:val="left"/>
              <w:rPr>
                <w:b/>
                <w:sz w:val="19"/>
              </w:rPr>
            </w:pPr>
          </w:p>
          <w:p>
            <w:pPr>
              <w:pStyle w:val="19"/>
              <w:spacing w:line="213" w:lineRule="auto"/>
              <w:ind w:left="199" w:right="189"/>
              <w:jc w:val="left"/>
              <w:rPr>
                <w:b/>
                <w:sz w:val="21"/>
              </w:rPr>
            </w:pPr>
            <w:r>
              <w:rPr>
                <w:b/>
                <w:sz w:val="21"/>
              </w:rPr>
              <w:t>产污环节</w:t>
            </w:r>
          </w:p>
        </w:tc>
        <w:tc>
          <w:tcPr>
            <w:tcW w:w="650" w:type="dxa"/>
            <w:vMerge w:val="restart"/>
            <w:tcBorders>
              <w:tl2br w:val="nil"/>
              <w:tr2bl w:val="nil"/>
            </w:tcBorders>
          </w:tcPr>
          <w:p>
            <w:pPr>
              <w:pStyle w:val="19"/>
              <w:spacing w:before="9"/>
              <w:jc w:val="left"/>
              <w:rPr>
                <w:b/>
                <w:sz w:val="19"/>
              </w:rPr>
            </w:pPr>
          </w:p>
          <w:p>
            <w:pPr>
              <w:pStyle w:val="19"/>
              <w:spacing w:line="213" w:lineRule="auto"/>
              <w:ind w:left="220" w:right="103" w:hanging="106"/>
              <w:jc w:val="left"/>
              <w:rPr>
                <w:b/>
                <w:sz w:val="21"/>
              </w:rPr>
            </w:pPr>
            <w:r>
              <w:rPr>
                <w:b/>
                <w:sz w:val="21"/>
              </w:rPr>
              <w:t>污染物</w:t>
            </w:r>
          </w:p>
        </w:tc>
        <w:tc>
          <w:tcPr>
            <w:tcW w:w="1925" w:type="dxa"/>
            <w:vMerge w:val="restart"/>
            <w:tcBorders>
              <w:tl2br w:val="nil"/>
              <w:tr2bl w:val="nil"/>
            </w:tcBorders>
          </w:tcPr>
          <w:p>
            <w:pPr>
              <w:pStyle w:val="19"/>
              <w:spacing w:before="4"/>
              <w:jc w:val="left"/>
              <w:rPr>
                <w:b/>
                <w:sz w:val="27"/>
              </w:rPr>
            </w:pPr>
          </w:p>
          <w:p>
            <w:pPr>
              <w:pStyle w:val="19"/>
              <w:ind w:left="122"/>
              <w:jc w:val="left"/>
              <w:rPr>
                <w:b/>
                <w:sz w:val="21"/>
              </w:rPr>
            </w:pPr>
            <w:r>
              <w:rPr>
                <w:b/>
                <w:sz w:val="21"/>
              </w:rPr>
              <w:t>主要污染防治措施</w:t>
            </w:r>
          </w:p>
        </w:tc>
        <w:tc>
          <w:tcPr>
            <w:tcW w:w="2746" w:type="dxa"/>
            <w:gridSpan w:val="2"/>
            <w:tcBorders>
              <w:tl2br w:val="nil"/>
              <w:tr2bl w:val="nil"/>
            </w:tcBorders>
          </w:tcPr>
          <w:p>
            <w:pPr>
              <w:pStyle w:val="19"/>
              <w:spacing w:before="33"/>
              <w:ind w:left="112"/>
              <w:jc w:val="left"/>
              <w:rPr>
                <w:b/>
                <w:sz w:val="21"/>
              </w:rPr>
            </w:pPr>
            <w:r>
              <w:rPr>
                <w:b/>
                <w:sz w:val="21"/>
              </w:rPr>
              <w:t>国家或地方污染物排放标准</w:t>
            </w:r>
          </w:p>
        </w:tc>
        <w:tc>
          <w:tcPr>
            <w:tcW w:w="946" w:type="dxa"/>
            <w:vMerge w:val="restart"/>
            <w:tcBorders>
              <w:tl2br w:val="nil"/>
              <w:tr2bl w:val="nil"/>
            </w:tcBorders>
          </w:tcPr>
          <w:p>
            <w:pPr>
              <w:pStyle w:val="19"/>
              <w:spacing w:before="133" w:line="213" w:lineRule="auto"/>
              <w:ind w:left="128" w:right="115" w:firstLine="28"/>
              <w:jc w:val="left"/>
              <w:rPr>
                <w:rFonts w:ascii="Times New Roman" w:eastAsia="Times New Roman"/>
                <w:b/>
                <w:sz w:val="21"/>
              </w:rPr>
            </w:pPr>
            <w:r>
              <w:rPr>
                <w:b/>
                <w:sz w:val="21"/>
              </w:rPr>
              <w:t>核算年</w:t>
            </w:r>
            <w:r>
              <w:rPr>
                <w:b/>
                <w:w w:val="95"/>
                <w:sz w:val="21"/>
              </w:rPr>
              <w:t>排放量</w:t>
            </w:r>
            <w:r>
              <w:rPr>
                <w:rFonts w:ascii="Times New Roman" w:eastAsia="Times New Roman"/>
                <w:b/>
                <w:spacing w:val="-16"/>
                <w:w w:val="95"/>
                <w:sz w:val="21"/>
              </w:rPr>
              <w:t>/</w:t>
            </w:r>
          </w:p>
          <w:p>
            <w:pPr>
              <w:pStyle w:val="19"/>
              <w:spacing w:line="247" w:lineRule="exact"/>
              <w:ind w:left="145"/>
              <w:jc w:val="left"/>
              <w:rPr>
                <w:b/>
                <w:sz w:val="21"/>
              </w:rPr>
            </w:pPr>
            <w:r>
              <w:rPr>
                <w:b/>
                <w:sz w:val="21"/>
              </w:rPr>
              <w:t>（</w:t>
            </w:r>
            <w:r>
              <w:rPr>
                <w:rFonts w:ascii="Times New Roman" w:eastAsia="Times New Roman"/>
                <w:b/>
                <w:sz w:val="21"/>
              </w:rPr>
              <w:t>t/a</w:t>
            </w:r>
            <w:r>
              <w:rPr>
                <w:b/>
                <w:sz w:val="21"/>
              </w:rPr>
              <w:t>）</w:t>
            </w:r>
          </w:p>
        </w:tc>
      </w:tr>
      <w:tr>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88" w:type="dxa"/>
            <w:vMerge w:val="continue"/>
            <w:tcBorders>
              <w:tl2br w:val="nil"/>
              <w:tr2bl w:val="nil"/>
            </w:tcBorders>
          </w:tcPr>
          <w:p>
            <w:pPr>
              <w:rPr>
                <w:sz w:val="2"/>
                <w:szCs w:val="2"/>
              </w:rPr>
            </w:pPr>
          </w:p>
        </w:tc>
        <w:tc>
          <w:tcPr>
            <w:tcW w:w="670" w:type="dxa"/>
            <w:vMerge w:val="continue"/>
            <w:tcBorders>
              <w:tl2br w:val="nil"/>
              <w:tr2bl w:val="nil"/>
            </w:tcBorders>
          </w:tcPr>
          <w:p>
            <w:pPr>
              <w:rPr>
                <w:sz w:val="2"/>
                <w:szCs w:val="2"/>
              </w:rPr>
            </w:pPr>
          </w:p>
        </w:tc>
        <w:tc>
          <w:tcPr>
            <w:tcW w:w="822" w:type="dxa"/>
            <w:vMerge w:val="continue"/>
            <w:tcBorders>
              <w:tl2br w:val="nil"/>
              <w:tr2bl w:val="nil"/>
            </w:tcBorders>
          </w:tcPr>
          <w:p>
            <w:pPr>
              <w:rPr>
                <w:sz w:val="2"/>
                <w:szCs w:val="2"/>
              </w:rPr>
            </w:pPr>
          </w:p>
        </w:tc>
        <w:tc>
          <w:tcPr>
            <w:tcW w:w="650" w:type="dxa"/>
            <w:vMerge w:val="continue"/>
            <w:tcBorders>
              <w:tl2br w:val="nil"/>
              <w:tr2bl w:val="nil"/>
            </w:tcBorders>
          </w:tcPr>
          <w:p>
            <w:pPr>
              <w:rPr>
                <w:sz w:val="2"/>
                <w:szCs w:val="2"/>
              </w:rPr>
            </w:pPr>
          </w:p>
        </w:tc>
        <w:tc>
          <w:tcPr>
            <w:tcW w:w="1925" w:type="dxa"/>
            <w:vMerge w:val="continue"/>
            <w:tcBorders>
              <w:tl2br w:val="nil"/>
              <w:tr2bl w:val="nil"/>
            </w:tcBorders>
          </w:tcPr>
          <w:p>
            <w:pPr>
              <w:rPr>
                <w:sz w:val="2"/>
                <w:szCs w:val="2"/>
              </w:rPr>
            </w:pPr>
          </w:p>
        </w:tc>
        <w:tc>
          <w:tcPr>
            <w:tcW w:w="1650" w:type="dxa"/>
            <w:tcBorders>
              <w:tl2br w:val="nil"/>
              <w:tr2bl w:val="nil"/>
            </w:tcBorders>
          </w:tcPr>
          <w:p>
            <w:pPr>
              <w:pStyle w:val="19"/>
              <w:spacing w:before="177"/>
              <w:ind w:left="405"/>
              <w:jc w:val="left"/>
              <w:rPr>
                <w:b/>
                <w:sz w:val="21"/>
              </w:rPr>
            </w:pPr>
            <w:r>
              <w:rPr>
                <w:b/>
                <w:sz w:val="21"/>
              </w:rPr>
              <w:t>标准名称</w:t>
            </w:r>
          </w:p>
        </w:tc>
        <w:tc>
          <w:tcPr>
            <w:tcW w:w="1096" w:type="dxa"/>
            <w:tcBorders>
              <w:tl2br w:val="nil"/>
              <w:tr2bl w:val="nil"/>
            </w:tcBorders>
          </w:tcPr>
          <w:p>
            <w:pPr>
              <w:pStyle w:val="19"/>
              <w:spacing w:before="21"/>
              <w:ind w:left="128"/>
              <w:jc w:val="left"/>
              <w:rPr>
                <w:b/>
                <w:sz w:val="21"/>
              </w:rPr>
            </w:pPr>
            <w:r>
              <w:rPr>
                <w:b/>
                <w:sz w:val="21"/>
              </w:rPr>
              <w:t>浓度限值</w:t>
            </w:r>
          </w:p>
          <w:p>
            <w:pPr>
              <w:pStyle w:val="19"/>
              <w:spacing w:before="43" w:line="268" w:lineRule="exact"/>
              <w:ind w:left="108"/>
              <w:jc w:val="left"/>
              <w:rPr>
                <w:b/>
                <w:sz w:val="21"/>
              </w:rPr>
            </w:pPr>
            <w:r>
              <w:rPr>
                <w:b/>
                <w:sz w:val="21"/>
              </w:rPr>
              <w:t>（</w:t>
            </w:r>
            <w:r>
              <w:rPr>
                <w:rFonts w:ascii="Times New Roman" w:hAnsi="Times New Roman" w:eastAsia="Times New Roman"/>
                <w:b/>
                <w:sz w:val="21"/>
              </w:rPr>
              <w:t>μg/m</w:t>
            </w:r>
            <w:r>
              <w:rPr>
                <w:rFonts w:ascii="Times New Roman" w:hAnsi="Times New Roman" w:eastAsia="Times New Roman"/>
                <w:b/>
                <w:position w:val="7"/>
                <w:sz w:val="13"/>
              </w:rPr>
              <w:t>3</w:t>
            </w:r>
            <w:r>
              <w:rPr>
                <w:b/>
                <w:sz w:val="21"/>
              </w:rPr>
              <w:t>）</w:t>
            </w:r>
          </w:p>
        </w:tc>
        <w:tc>
          <w:tcPr>
            <w:tcW w:w="946" w:type="dxa"/>
            <w:vMerge w:val="continue"/>
            <w:tcBorders>
              <w:tl2br w:val="nil"/>
              <w:tr2bl w:val="nil"/>
            </w:tcBorders>
          </w:tcPr>
          <w:p>
            <w:pPr>
              <w:rPr>
                <w:sz w:val="2"/>
                <w:szCs w:val="2"/>
              </w:rPr>
            </w:pPr>
          </w:p>
        </w:tc>
      </w:tr>
    </w:tbl>
    <w:p>
      <w:pPr>
        <w:pStyle w:val="7"/>
        <w:spacing w:before="11"/>
        <w:ind w:left="0"/>
        <w:rPr>
          <w:b/>
          <w:spacing w:val="-15"/>
          <w:sz w:val="24"/>
        </w:rPr>
      </w:pPr>
    </w:p>
    <w:p>
      <w:pPr>
        <w:pStyle w:val="7"/>
        <w:spacing w:before="7"/>
        <w:ind w:left="0"/>
        <w:rPr>
          <w:b/>
          <w:sz w:val="6"/>
        </w:rPr>
      </w:pPr>
    </w:p>
    <w:tbl>
      <w:tblPr>
        <w:tblStyle w:val="15"/>
        <w:tblpPr w:leftFromText="180" w:rightFromText="180" w:vertAnchor="text" w:horzAnchor="page" w:tblpX="1883" w:tblpY="90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8"/>
        <w:gridCol w:w="670"/>
        <w:gridCol w:w="822"/>
        <w:gridCol w:w="650"/>
        <w:gridCol w:w="1925"/>
        <w:gridCol w:w="1650"/>
        <w:gridCol w:w="1096"/>
        <w:gridCol w:w="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8" w:type="dxa"/>
            <w:vMerge w:val="restart"/>
            <w:tcBorders>
              <w:tl2br w:val="nil"/>
              <w:tr2bl w:val="nil"/>
            </w:tcBorders>
          </w:tcPr>
          <w:p>
            <w:pPr>
              <w:pStyle w:val="19"/>
              <w:jc w:val="left"/>
              <w:rPr>
                <w:b/>
                <w:sz w:val="22"/>
              </w:rPr>
            </w:pPr>
          </w:p>
          <w:p>
            <w:pPr>
              <w:pStyle w:val="19"/>
              <w:spacing w:before="9"/>
              <w:jc w:val="left"/>
              <w:rPr>
                <w:b/>
                <w:sz w:val="24"/>
              </w:rPr>
            </w:pPr>
          </w:p>
          <w:p>
            <w:pPr>
              <w:pStyle w:val="19"/>
              <w:ind w:left="9"/>
              <w:rPr>
                <w:rFonts w:ascii="Times New Roman"/>
                <w:sz w:val="21"/>
              </w:rPr>
            </w:pPr>
            <w:r>
              <w:rPr>
                <w:rFonts w:ascii="Times New Roman"/>
                <w:w w:val="99"/>
                <w:sz w:val="21"/>
              </w:rPr>
              <w:t>1</w:t>
            </w:r>
          </w:p>
        </w:tc>
        <w:tc>
          <w:tcPr>
            <w:tcW w:w="670" w:type="dxa"/>
            <w:vMerge w:val="restart"/>
            <w:tcBorders>
              <w:tl2br w:val="nil"/>
              <w:tr2bl w:val="nil"/>
            </w:tcBorders>
          </w:tcPr>
          <w:p>
            <w:pPr>
              <w:pStyle w:val="19"/>
              <w:jc w:val="left"/>
              <w:rPr>
                <w:b/>
                <w:sz w:val="20"/>
              </w:rPr>
            </w:pPr>
          </w:p>
          <w:p>
            <w:pPr>
              <w:pStyle w:val="19"/>
              <w:spacing w:before="8"/>
              <w:jc w:val="left"/>
              <w:rPr>
                <w:b/>
                <w:sz w:val="25"/>
              </w:rPr>
            </w:pPr>
          </w:p>
          <w:p>
            <w:pPr>
              <w:pStyle w:val="19"/>
              <w:ind w:left="123"/>
              <w:jc w:val="left"/>
              <w:rPr>
                <w:sz w:val="21"/>
              </w:rPr>
            </w:pPr>
            <w:r>
              <w:rPr>
                <w:sz w:val="21"/>
              </w:rPr>
              <w:t>羊舍</w:t>
            </w:r>
          </w:p>
        </w:tc>
        <w:tc>
          <w:tcPr>
            <w:tcW w:w="822" w:type="dxa"/>
            <w:vMerge w:val="restart"/>
            <w:tcBorders>
              <w:tl2br w:val="nil"/>
              <w:tr2bl w:val="nil"/>
            </w:tcBorders>
          </w:tcPr>
          <w:p>
            <w:pPr>
              <w:pStyle w:val="19"/>
              <w:jc w:val="left"/>
              <w:rPr>
                <w:b/>
                <w:sz w:val="20"/>
              </w:rPr>
            </w:pPr>
          </w:p>
          <w:p>
            <w:pPr>
              <w:pStyle w:val="19"/>
              <w:spacing w:before="8"/>
              <w:jc w:val="left"/>
              <w:rPr>
                <w:b/>
                <w:sz w:val="25"/>
              </w:rPr>
            </w:pPr>
          </w:p>
          <w:p>
            <w:pPr>
              <w:pStyle w:val="19"/>
              <w:ind w:left="199"/>
              <w:jc w:val="left"/>
              <w:rPr>
                <w:sz w:val="21"/>
              </w:rPr>
            </w:pPr>
            <w:r>
              <w:rPr>
                <w:sz w:val="21"/>
              </w:rPr>
              <w:t>养殖</w:t>
            </w:r>
          </w:p>
        </w:tc>
        <w:tc>
          <w:tcPr>
            <w:tcW w:w="650" w:type="dxa"/>
            <w:tcBorders>
              <w:tl2br w:val="nil"/>
              <w:tr2bl w:val="nil"/>
            </w:tcBorders>
          </w:tcPr>
          <w:p>
            <w:pPr>
              <w:pStyle w:val="19"/>
              <w:spacing w:before="46"/>
              <w:ind w:left="138"/>
              <w:jc w:val="left"/>
              <w:rPr>
                <w:rFonts w:ascii="Times New Roman"/>
                <w:sz w:val="21"/>
              </w:rPr>
            </w:pPr>
            <w:r>
              <w:rPr>
                <w:rFonts w:ascii="Times New Roman"/>
                <w:position w:val="2"/>
                <w:sz w:val="21"/>
              </w:rPr>
              <w:t>NH</w:t>
            </w:r>
            <w:r>
              <w:rPr>
                <w:rFonts w:ascii="Times New Roman"/>
                <w:position w:val="2"/>
                <w:sz w:val="21"/>
                <w:vertAlign w:val="subscript"/>
              </w:rPr>
              <w:t>3</w:t>
            </w:r>
          </w:p>
        </w:tc>
        <w:tc>
          <w:tcPr>
            <w:tcW w:w="1925" w:type="dxa"/>
            <w:vMerge w:val="restart"/>
            <w:tcBorders>
              <w:tl2br w:val="nil"/>
              <w:tr2bl w:val="nil"/>
            </w:tcBorders>
          </w:tcPr>
          <w:p>
            <w:pPr>
              <w:pStyle w:val="19"/>
              <w:spacing w:line="240" w:lineRule="exact"/>
              <w:ind w:left="107" w:right="97" w:hanging="1"/>
              <w:rPr>
                <w:rFonts w:ascii="Times New Roman" w:eastAsia="Times New Roman"/>
                <w:sz w:val="21"/>
              </w:rPr>
            </w:pPr>
            <w:r>
              <w:rPr>
                <w:sz w:val="21"/>
              </w:rPr>
              <w:t>及时清粪、通风换</w:t>
            </w:r>
            <w:r>
              <w:rPr>
                <w:spacing w:val="-12"/>
                <w:sz w:val="21"/>
              </w:rPr>
              <w:t>气、日粮中投放</w:t>
            </w:r>
            <w:r>
              <w:rPr>
                <w:rFonts w:ascii="Times New Roman" w:eastAsia="Times New Roman"/>
                <w:spacing w:val="-8"/>
                <w:sz w:val="21"/>
              </w:rPr>
              <w:t>EM</w:t>
            </w:r>
            <w:r>
              <w:rPr>
                <w:sz w:val="21"/>
              </w:rPr>
              <w:t>菌剂等有益微生物复合制剂、喷洒除臭剂、加强绿化，</w:t>
            </w:r>
            <w:r>
              <w:rPr>
                <w:spacing w:val="-11"/>
                <w:sz w:val="21"/>
              </w:rPr>
              <w:t>除臭效率</w:t>
            </w:r>
            <w:r>
              <w:rPr>
                <w:rFonts w:ascii="Times New Roman" w:eastAsia="Times New Roman"/>
                <w:sz w:val="21"/>
              </w:rPr>
              <w:t>80%</w:t>
            </w:r>
          </w:p>
        </w:tc>
        <w:tc>
          <w:tcPr>
            <w:tcW w:w="1650" w:type="dxa"/>
            <w:vMerge w:val="restart"/>
            <w:tcBorders>
              <w:tl2br w:val="nil"/>
              <w:tr2bl w:val="nil"/>
            </w:tcBorders>
          </w:tcPr>
          <w:p>
            <w:pPr>
              <w:pStyle w:val="19"/>
              <w:spacing w:before="6" w:line="213" w:lineRule="auto"/>
              <w:ind w:left="194" w:right="186"/>
              <w:rPr>
                <w:sz w:val="21"/>
              </w:rPr>
            </w:pPr>
            <w:r>
              <w:rPr>
                <w:sz w:val="21"/>
              </w:rPr>
              <w:t>《恶臭污染物排放标准》</w:t>
            </w:r>
          </w:p>
          <w:p>
            <w:pPr>
              <w:pStyle w:val="19"/>
              <w:spacing w:line="233" w:lineRule="exact"/>
              <w:ind w:left="98" w:right="89"/>
              <w:rPr>
                <w:rFonts w:ascii="Times New Roman" w:eastAsia="Times New Roman"/>
                <w:sz w:val="21"/>
              </w:rPr>
            </w:pPr>
            <w:r>
              <w:rPr>
                <w:sz w:val="21"/>
              </w:rPr>
              <w:t>（</w:t>
            </w:r>
            <w:r>
              <w:rPr>
                <w:rFonts w:ascii="Times New Roman" w:eastAsia="Times New Roman"/>
                <w:sz w:val="21"/>
              </w:rPr>
              <w:t>GB14554-199</w:t>
            </w:r>
          </w:p>
          <w:p>
            <w:pPr>
              <w:pStyle w:val="19"/>
              <w:spacing w:before="3" w:line="240" w:lineRule="exact"/>
              <w:ind w:left="110" w:right="97"/>
              <w:rPr>
                <w:sz w:val="21"/>
              </w:rPr>
            </w:pPr>
            <w:r>
              <w:rPr>
                <w:rFonts w:ascii="Times New Roman" w:eastAsia="Times New Roman"/>
                <w:sz w:val="21"/>
              </w:rPr>
              <w:t>3</w:t>
            </w:r>
            <w:r>
              <w:rPr>
                <w:sz w:val="21"/>
              </w:rPr>
              <w:t>）表</w:t>
            </w:r>
            <w:r>
              <w:rPr>
                <w:rFonts w:ascii="Times New Roman" w:eastAsia="Times New Roman"/>
                <w:sz w:val="21"/>
              </w:rPr>
              <w:t>1</w:t>
            </w:r>
            <w:r>
              <w:rPr>
                <w:sz w:val="21"/>
              </w:rPr>
              <w:t>恶臭污染物厂界标准二级标准</w:t>
            </w:r>
          </w:p>
        </w:tc>
        <w:tc>
          <w:tcPr>
            <w:tcW w:w="1096" w:type="dxa"/>
            <w:tcBorders>
              <w:tl2br w:val="nil"/>
              <w:tr2bl w:val="nil"/>
            </w:tcBorders>
          </w:tcPr>
          <w:p>
            <w:pPr>
              <w:pStyle w:val="19"/>
              <w:spacing w:before="49"/>
              <w:ind w:left="211" w:right="202"/>
              <w:rPr>
                <w:rFonts w:ascii="Times New Roman"/>
                <w:sz w:val="21"/>
              </w:rPr>
            </w:pPr>
            <w:r>
              <w:rPr>
                <w:rFonts w:ascii="Times New Roman"/>
                <w:sz w:val="21"/>
              </w:rPr>
              <w:t>1500</w:t>
            </w:r>
          </w:p>
        </w:tc>
        <w:tc>
          <w:tcPr>
            <w:tcW w:w="946" w:type="dxa"/>
            <w:tcBorders>
              <w:tl2br w:val="nil"/>
              <w:tr2bl w:val="nil"/>
            </w:tcBorders>
          </w:tcPr>
          <w:p>
            <w:pPr>
              <w:pStyle w:val="19"/>
              <w:spacing w:before="49"/>
              <w:ind w:left="111" w:right="99"/>
              <w:rPr>
                <w:rFonts w:ascii="Times New Roman"/>
                <w:sz w:val="21"/>
              </w:rPr>
            </w:pPr>
            <w:r>
              <w:rPr>
                <w:rFonts w:ascii="Times New Roman"/>
                <w:sz w:val="21"/>
              </w:rPr>
              <w:t>0.268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488" w:type="dxa"/>
            <w:vMerge w:val="continue"/>
            <w:tcBorders>
              <w:tl2br w:val="nil"/>
              <w:tr2bl w:val="nil"/>
            </w:tcBorders>
          </w:tcPr>
          <w:p>
            <w:pPr>
              <w:rPr>
                <w:sz w:val="2"/>
                <w:szCs w:val="2"/>
              </w:rPr>
            </w:pPr>
          </w:p>
        </w:tc>
        <w:tc>
          <w:tcPr>
            <w:tcW w:w="670" w:type="dxa"/>
            <w:vMerge w:val="continue"/>
            <w:tcBorders>
              <w:tl2br w:val="nil"/>
              <w:tr2bl w:val="nil"/>
            </w:tcBorders>
          </w:tcPr>
          <w:p>
            <w:pPr>
              <w:rPr>
                <w:sz w:val="2"/>
                <w:szCs w:val="2"/>
              </w:rPr>
            </w:pPr>
          </w:p>
        </w:tc>
        <w:tc>
          <w:tcPr>
            <w:tcW w:w="822" w:type="dxa"/>
            <w:vMerge w:val="continue"/>
            <w:tcBorders>
              <w:tl2br w:val="nil"/>
              <w:tr2bl w:val="nil"/>
            </w:tcBorders>
          </w:tcPr>
          <w:p>
            <w:pPr>
              <w:rPr>
                <w:sz w:val="2"/>
                <w:szCs w:val="2"/>
              </w:rPr>
            </w:pPr>
          </w:p>
        </w:tc>
        <w:tc>
          <w:tcPr>
            <w:tcW w:w="650" w:type="dxa"/>
            <w:tcBorders>
              <w:tl2br w:val="nil"/>
              <w:tr2bl w:val="nil"/>
            </w:tcBorders>
          </w:tcPr>
          <w:p>
            <w:pPr>
              <w:pStyle w:val="19"/>
              <w:spacing w:before="11"/>
              <w:jc w:val="left"/>
              <w:rPr>
                <w:b/>
                <w:sz w:val="32"/>
              </w:rPr>
            </w:pPr>
          </w:p>
          <w:p>
            <w:pPr>
              <w:pStyle w:val="19"/>
              <w:ind w:left="155"/>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925" w:type="dxa"/>
            <w:vMerge w:val="continue"/>
            <w:tcBorders>
              <w:tl2br w:val="nil"/>
              <w:tr2bl w:val="nil"/>
            </w:tcBorders>
          </w:tcPr>
          <w:p>
            <w:pPr>
              <w:rPr>
                <w:sz w:val="2"/>
                <w:szCs w:val="2"/>
              </w:rPr>
            </w:pPr>
          </w:p>
        </w:tc>
        <w:tc>
          <w:tcPr>
            <w:tcW w:w="1650" w:type="dxa"/>
            <w:vMerge w:val="continue"/>
            <w:tcBorders>
              <w:tl2br w:val="nil"/>
              <w:tr2bl w:val="nil"/>
            </w:tcBorders>
          </w:tcPr>
          <w:p>
            <w:pPr>
              <w:rPr>
                <w:sz w:val="2"/>
                <w:szCs w:val="2"/>
              </w:rPr>
            </w:pPr>
          </w:p>
        </w:tc>
        <w:tc>
          <w:tcPr>
            <w:tcW w:w="1096" w:type="dxa"/>
            <w:tcBorders>
              <w:tl2br w:val="nil"/>
              <w:tr2bl w:val="nil"/>
            </w:tcBorders>
          </w:tcPr>
          <w:p>
            <w:pPr>
              <w:pStyle w:val="19"/>
              <w:jc w:val="left"/>
              <w:rPr>
                <w:b/>
                <w:sz w:val="22"/>
              </w:rPr>
            </w:pPr>
          </w:p>
          <w:p>
            <w:pPr>
              <w:pStyle w:val="19"/>
              <w:spacing w:before="142"/>
              <w:ind w:left="211" w:right="202"/>
              <w:rPr>
                <w:rFonts w:ascii="Times New Roman"/>
                <w:sz w:val="21"/>
              </w:rPr>
            </w:pPr>
            <w:r>
              <w:rPr>
                <w:rFonts w:ascii="Times New Roman"/>
                <w:sz w:val="21"/>
              </w:rPr>
              <w:t>60</w:t>
            </w:r>
          </w:p>
        </w:tc>
        <w:tc>
          <w:tcPr>
            <w:tcW w:w="946" w:type="dxa"/>
            <w:tcBorders>
              <w:tl2br w:val="nil"/>
              <w:tr2bl w:val="nil"/>
            </w:tcBorders>
          </w:tcPr>
          <w:p>
            <w:pPr>
              <w:pStyle w:val="19"/>
              <w:jc w:val="left"/>
              <w:rPr>
                <w:b/>
                <w:sz w:val="22"/>
              </w:rPr>
            </w:pPr>
          </w:p>
          <w:p>
            <w:pPr>
              <w:pStyle w:val="19"/>
              <w:spacing w:before="142"/>
              <w:ind w:left="111" w:right="102"/>
              <w:rPr>
                <w:rFonts w:ascii="Times New Roman"/>
                <w:sz w:val="21"/>
              </w:rPr>
            </w:pPr>
            <w:r>
              <w:rPr>
                <w:rFonts w:ascii="Times New Roman"/>
                <w:sz w:val="21"/>
              </w:rPr>
              <w:t>0.0268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8" w:type="dxa"/>
            <w:vMerge w:val="restart"/>
            <w:tcBorders>
              <w:tl2br w:val="nil"/>
              <w:tr2bl w:val="nil"/>
            </w:tcBorders>
          </w:tcPr>
          <w:p>
            <w:pPr>
              <w:pStyle w:val="19"/>
              <w:jc w:val="left"/>
              <w:rPr>
                <w:b/>
                <w:sz w:val="22"/>
              </w:rPr>
            </w:pPr>
          </w:p>
          <w:p>
            <w:pPr>
              <w:pStyle w:val="19"/>
              <w:spacing w:before="8"/>
              <w:jc w:val="left"/>
              <w:rPr>
                <w:b/>
                <w:sz w:val="24"/>
              </w:rPr>
            </w:pPr>
          </w:p>
          <w:p>
            <w:pPr>
              <w:pStyle w:val="19"/>
              <w:spacing w:before="1"/>
              <w:ind w:left="9"/>
              <w:rPr>
                <w:rFonts w:ascii="Times New Roman"/>
                <w:sz w:val="21"/>
              </w:rPr>
            </w:pPr>
            <w:r>
              <w:rPr>
                <w:rFonts w:ascii="Times New Roman"/>
                <w:w w:val="99"/>
                <w:sz w:val="21"/>
              </w:rPr>
              <w:t>2</w:t>
            </w:r>
          </w:p>
        </w:tc>
        <w:tc>
          <w:tcPr>
            <w:tcW w:w="670" w:type="dxa"/>
            <w:vMerge w:val="restart"/>
            <w:tcBorders>
              <w:tl2br w:val="nil"/>
              <w:tr2bl w:val="nil"/>
            </w:tcBorders>
          </w:tcPr>
          <w:p>
            <w:pPr>
              <w:pStyle w:val="19"/>
              <w:jc w:val="left"/>
              <w:rPr>
                <w:b/>
                <w:sz w:val="20"/>
              </w:rPr>
            </w:pPr>
          </w:p>
          <w:p>
            <w:pPr>
              <w:pStyle w:val="19"/>
              <w:spacing w:before="172" w:line="278" w:lineRule="auto"/>
              <w:ind w:left="229" w:right="116" w:hanging="106"/>
              <w:jc w:val="left"/>
              <w:rPr>
                <w:sz w:val="21"/>
              </w:rPr>
            </w:pPr>
            <w:r>
              <w:rPr>
                <w:sz w:val="21"/>
              </w:rPr>
              <w:t>堆肥厂</w:t>
            </w:r>
          </w:p>
        </w:tc>
        <w:tc>
          <w:tcPr>
            <w:tcW w:w="822" w:type="dxa"/>
            <w:vMerge w:val="restart"/>
            <w:tcBorders>
              <w:tl2br w:val="nil"/>
              <w:tr2bl w:val="nil"/>
            </w:tcBorders>
          </w:tcPr>
          <w:p>
            <w:pPr>
              <w:pStyle w:val="19"/>
              <w:jc w:val="left"/>
              <w:rPr>
                <w:b/>
                <w:sz w:val="20"/>
              </w:rPr>
            </w:pPr>
          </w:p>
          <w:p>
            <w:pPr>
              <w:pStyle w:val="19"/>
              <w:spacing w:before="7"/>
              <w:jc w:val="left"/>
              <w:rPr>
                <w:b/>
                <w:sz w:val="25"/>
              </w:rPr>
            </w:pPr>
          </w:p>
          <w:p>
            <w:pPr>
              <w:pStyle w:val="19"/>
              <w:spacing w:before="1"/>
              <w:ind w:left="199"/>
              <w:jc w:val="left"/>
              <w:rPr>
                <w:sz w:val="21"/>
              </w:rPr>
            </w:pPr>
            <w:r>
              <w:rPr>
                <w:sz w:val="21"/>
              </w:rPr>
              <w:t>养殖</w:t>
            </w:r>
          </w:p>
        </w:tc>
        <w:tc>
          <w:tcPr>
            <w:tcW w:w="650" w:type="dxa"/>
            <w:tcBorders>
              <w:tl2br w:val="nil"/>
              <w:tr2bl w:val="nil"/>
            </w:tcBorders>
          </w:tcPr>
          <w:p>
            <w:pPr>
              <w:pStyle w:val="19"/>
              <w:spacing w:before="45"/>
              <w:ind w:left="138"/>
              <w:jc w:val="left"/>
              <w:rPr>
                <w:rFonts w:ascii="Times New Roman"/>
                <w:sz w:val="21"/>
              </w:rPr>
            </w:pPr>
            <w:r>
              <w:rPr>
                <w:rFonts w:ascii="Times New Roman"/>
                <w:position w:val="2"/>
                <w:sz w:val="21"/>
              </w:rPr>
              <w:t>NH</w:t>
            </w:r>
            <w:r>
              <w:rPr>
                <w:rFonts w:ascii="Times New Roman"/>
                <w:position w:val="2"/>
                <w:sz w:val="21"/>
                <w:vertAlign w:val="subscript"/>
              </w:rPr>
              <w:t>3</w:t>
            </w:r>
          </w:p>
        </w:tc>
        <w:tc>
          <w:tcPr>
            <w:tcW w:w="1925" w:type="dxa"/>
            <w:vMerge w:val="restart"/>
            <w:tcBorders>
              <w:tl2br w:val="nil"/>
              <w:tr2bl w:val="nil"/>
            </w:tcBorders>
          </w:tcPr>
          <w:p>
            <w:pPr>
              <w:pStyle w:val="19"/>
              <w:spacing w:before="12"/>
              <w:jc w:val="left"/>
              <w:rPr>
                <w:b/>
                <w:sz w:val="27"/>
              </w:rPr>
            </w:pPr>
          </w:p>
          <w:p>
            <w:pPr>
              <w:pStyle w:val="19"/>
              <w:spacing w:before="1" w:line="220" w:lineRule="auto"/>
              <w:ind w:left="122" w:right="112"/>
              <w:rPr>
                <w:rFonts w:ascii="Times New Roman" w:eastAsia="Times New Roman"/>
                <w:sz w:val="21"/>
              </w:rPr>
            </w:pPr>
            <w:r>
              <w:rPr>
                <w:sz w:val="21"/>
              </w:rPr>
              <w:t>喷洒除臭剂、加强绿化，除臭效率</w:t>
            </w:r>
            <w:r>
              <w:rPr>
                <w:rFonts w:ascii="Times New Roman" w:eastAsia="Times New Roman"/>
                <w:sz w:val="21"/>
              </w:rPr>
              <w:t>80%</w:t>
            </w:r>
          </w:p>
        </w:tc>
        <w:tc>
          <w:tcPr>
            <w:tcW w:w="1650" w:type="dxa"/>
            <w:vMerge w:val="restart"/>
            <w:tcBorders>
              <w:tl2br w:val="nil"/>
              <w:tr2bl w:val="nil"/>
            </w:tcBorders>
          </w:tcPr>
          <w:p>
            <w:pPr>
              <w:pStyle w:val="19"/>
              <w:spacing w:before="5" w:line="213" w:lineRule="auto"/>
              <w:ind w:left="194" w:right="186"/>
              <w:rPr>
                <w:sz w:val="21"/>
              </w:rPr>
            </w:pPr>
            <w:r>
              <w:rPr>
                <w:sz w:val="21"/>
              </w:rPr>
              <w:t>《恶臭污染物排放标准》</w:t>
            </w:r>
          </w:p>
          <w:p>
            <w:pPr>
              <w:pStyle w:val="19"/>
              <w:spacing w:line="233" w:lineRule="exact"/>
              <w:ind w:left="98" w:right="89"/>
              <w:rPr>
                <w:rFonts w:ascii="Times New Roman" w:eastAsia="Times New Roman"/>
                <w:sz w:val="21"/>
              </w:rPr>
            </w:pPr>
            <w:r>
              <w:rPr>
                <w:sz w:val="21"/>
              </w:rPr>
              <w:t>（</w:t>
            </w:r>
            <w:r>
              <w:rPr>
                <w:rFonts w:ascii="Times New Roman" w:eastAsia="Times New Roman"/>
                <w:sz w:val="21"/>
              </w:rPr>
              <w:t>GB14554-199</w:t>
            </w:r>
          </w:p>
          <w:p>
            <w:pPr>
              <w:pStyle w:val="19"/>
              <w:spacing w:before="3" w:line="240" w:lineRule="exact"/>
              <w:ind w:left="110" w:right="97"/>
              <w:rPr>
                <w:sz w:val="21"/>
              </w:rPr>
            </w:pPr>
            <w:r>
              <w:rPr>
                <w:rFonts w:ascii="Times New Roman" w:eastAsia="Times New Roman"/>
                <w:sz w:val="21"/>
              </w:rPr>
              <w:t>3</w:t>
            </w:r>
            <w:r>
              <w:rPr>
                <w:sz w:val="21"/>
              </w:rPr>
              <w:t>）表</w:t>
            </w:r>
            <w:r>
              <w:rPr>
                <w:rFonts w:ascii="Times New Roman" w:eastAsia="Times New Roman"/>
                <w:sz w:val="21"/>
              </w:rPr>
              <w:t>1</w:t>
            </w:r>
            <w:r>
              <w:rPr>
                <w:sz w:val="21"/>
              </w:rPr>
              <w:t>恶臭污染物厂界标准二级标准</w:t>
            </w:r>
          </w:p>
        </w:tc>
        <w:tc>
          <w:tcPr>
            <w:tcW w:w="1096" w:type="dxa"/>
            <w:tcBorders>
              <w:tl2br w:val="nil"/>
              <w:tr2bl w:val="nil"/>
            </w:tcBorders>
          </w:tcPr>
          <w:p>
            <w:pPr>
              <w:pStyle w:val="19"/>
              <w:spacing w:before="48"/>
              <w:ind w:left="211" w:right="202"/>
              <w:rPr>
                <w:rFonts w:ascii="Times New Roman"/>
                <w:sz w:val="21"/>
              </w:rPr>
            </w:pPr>
            <w:r>
              <w:rPr>
                <w:rFonts w:ascii="Times New Roman"/>
                <w:sz w:val="21"/>
              </w:rPr>
              <w:t>1500</w:t>
            </w:r>
          </w:p>
        </w:tc>
        <w:tc>
          <w:tcPr>
            <w:tcW w:w="946" w:type="dxa"/>
            <w:tcBorders>
              <w:tl2br w:val="nil"/>
              <w:tr2bl w:val="nil"/>
            </w:tcBorders>
          </w:tcPr>
          <w:p>
            <w:pPr>
              <w:pStyle w:val="19"/>
              <w:spacing w:before="48"/>
              <w:ind w:left="111" w:right="102"/>
              <w:rPr>
                <w:rFonts w:ascii="Times New Roman"/>
                <w:sz w:val="21"/>
              </w:rPr>
            </w:pPr>
            <w:r>
              <w:rPr>
                <w:rFonts w:ascii="Times New Roman"/>
                <w:sz w:val="21"/>
              </w:rPr>
              <w:t>0.023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488" w:type="dxa"/>
            <w:vMerge w:val="continue"/>
            <w:tcBorders>
              <w:tl2br w:val="nil"/>
              <w:tr2bl w:val="nil"/>
            </w:tcBorders>
          </w:tcPr>
          <w:p>
            <w:pPr>
              <w:rPr>
                <w:sz w:val="2"/>
                <w:szCs w:val="2"/>
              </w:rPr>
            </w:pPr>
          </w:p>
        </w:tc>
        <w:tc>
          <w:tcPr>
            <w:tcW w:w="670" w:type="dxa"/>
            <w:vMerge w:val="continue"/>
            <w:tcBorders>
              <w:tl2br w:val="nil"/>
              <w:tr2bl w:val="nil"/>
            </w:tcBorders>
          </w:tcPr>
          <w:p>
            <w:pPr>
              <w:rPr>
                <w:sz w:val="2"/>
                <w:szCs w:val="2"/>
              </w:rPr>
            </w:pPr>
          </w:p>
        </w:tc>
        <w:tc>
          <w:tcPr>
            <w:tcW w:w="822" w:type="dxa"/>
            <w:vMerge w:val="continue"/>
            <w:tcBorders>
              <w:tl2br w:val="nil"/>
              <w:tr2bl w:val="nil"/>
            </w:tcBorders>
          </w:tcPr>
          <w:p>
            <w:pPr>
              <w:rPr>
                <w:sz w:val="2"/>
                <w:szCs w:val="2"/>
              </w:rPr>
            </w:pPr>
          </w:p>
        </w:tc>
        <w:tc>
          <w:tcPr>
            <w:tcW w:w="650" w:type="dxa"/>
            <w:tcBorders>
              <w:tl2br w:val="nil"/>
              <w:tr2bl w:val="nil"/>
            </w:tcBorders>
          </w:tcPr>
          <w:p>
            <w:pPr>
              <w:pStyle w:val="19"/>
              <w:spacing w:before="10"/>
              <w:jc w:val="left"/>
              <w:rPr>
                <w:b/>
                <w:sz w:val="32"/>
              </w:rPr>
            </w:pPr>
          </w:p>
          <w:p>
            <w:pPr>
              <w:pStyle w:val="19"/>
              <w:ind w:left="155"/>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925" w:type="dxa"/>
            <w:vMerge w:val="continue"/>
            <w:tcBorders>
              <w:tl2br w:val="nil"/>
              <w:tr2bl w:val="nil"/>
            </w:tcBorders>
          </w:tcPr>
          <w:p>
            <w:pPr>
              <w:rPr>
                <w:sz w:val="2"/>
                <w:szCs w:val="2"/>
              </w:rPr>
            </w:pPr>
          </w:p>
        </w:tc>
        <w:tc>
          <w:tcPr>
            <w:tcW w:w="1650" w:type="dxa"/>
            <w:vMerge w:val="continue"/>
            <w:tcBorders>
              <w:tl2br w:val="nil"/>
              <w:tr2bl w:val="nil"/>
            </w:tcBorders>
          </w:tcPr>
          <w:p>
            <w:pPr>
              <w:rPr>
                <w:sz w:val="2"/>
                <w:szCs w:val="2"/>
              </w:rPr>
            </w:pPr>
          </w:p>
        </w:tc>
        <w:tc>
          <w:tcPr>
            <w:tcW w:w="1096" w:type="dxa"/>
            <w:tcBorders>
              <w:tl2br w:val="nil"/>
              <w:tr2bl w:val="nil"/>
            </w:tcBorders>
          </w:tcPr>
          <w:p>
            <w:pPr>
              <w:pStyle w:val="19"/>
              <w:jc w:val="left"/>
              <w:rPr>
                <w:b/>
                <w:sz w:val="22"/>
              </w:rPr>
            </w:pPr>
          </w:p>
          <w:p>
            <w:pPr>
              <w:pStyle w:val="19"/>
              <w:spacing w:before="142"/>
              <w:ind w:left="211" w:right="202"/>
              <w:rPr>
                <w:rFonts w:ascii="Times New Roman"/>
                <w:sz w:val="21"/>
              </w:rPr>
            </w:pPr>
            <w:r>
              <w:rPr>
                <w:rFonts w:ascii="Times New Roman"/>
                <w:sz w:val="21"/>
              </w:rPr>
              <w:t>60</w:t>
            </w:r>
          </w:p>
        </w:tc>
        <w:tc>
          <w:tcPr>
            <w:tcW w:w="946" w:type="dxa"/>
            <w:tcBorders>
              <w:tl2br w:val="nil"/>
              <w:tr2bl w:val="nil"/>
            </w:tcBorders>
          </w:tcPr>
          <w:p>
            <w:pPr>
              <w:pStyle w:val="19"/>
              <w:jc w:val="left"/>
              <w:rPr>
                <w:b/>
                <w:sz w:val="22"/>
              </w:rPr>
            </w:pPr>
          </w:p>
          <w:p>
            <w:pPr>
              <w:pStyle w:val="19"/>
              <w:spacing w:before="142"/>
              <w:ind w:left="111" w:right="102"/>
              <w:rPr>
                <w:rFonts w:ascii="Times New Roman"/>
                <w:sz w:val="21"/>
              </w:rPr>
            </w:pPr>
            <w:r>
              <w:rPr>
                <w:rFonts w:ascii="Times New Roman"/>
                <w:sz w:val="21"/>
              </w:rPr>
              <w:t>0.0019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47" w:type="dxa"/>
            <w:gridSpan w:val="8"/>
            <w:tcBorders>
              <w:tl2br w:val="nil"/>
              <w:tr2bl w:val="nil"/>
            </w:tcBorders>
          </w:tcPr>
          <w:p>
            <w:pPr>
              <w:pStyle w:val="19"/>
              <w:spacing w:before="35"/>
              <w:ind w:left="3576" w:right="3570"/>
              <w:rPr>
                <w:sz w:val="21"/>
              </w:rPr>
            </w:pPr>
            <w:r>
              <w:rPr>
                <w:sz w:val="21"/>
              </w:rPr>
              <w:t>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8" w:type="dxa"/>
            <w:gridSpan w:val="2"/>
            <w:vMerge w:val="restart"/>
            <w:tcBorders>
              <w:tl2br w:val="nil"/>
              <w:tr2bl w:val="nil"/>
            </w:tcBorders>
          </w:tcPr>
          <w:p>
            <w:pPr>
              <w:pStyle w:val="19"/>
              <w:spacing w:before="13" w:line="310" w:lineRule="atLeast"/>
              <w:ind w:left="263" w:right="150" w:hanging="106"/>
              <w:jc w:val="left"/>
              <w:rPr>
                <w:sz w:val="21"/>
              </w:rPr>
            </w:pPr>
            <w:r>
              <w:rPr>
                <w:sz w:val="21"/>
              </w:rPr>
              <w:t>无组织排放总计</w:t>
            </w:r>
          </w:p>
        </w:tc>
        <w:tc>
          <w:tcPr>
            <w:tcW w:w="6143" w:type="dxa"/>
            <w:gridSpan w:val="5"/>
            <w:tcBorders>
              <w:tl2br w:val="nil"/>
              <w:tr2bl w:val="nil"/>
            </w:tcBorders>
          </w:tcPr>
          <w:p>
            <w:pPr>
              <w:pStyle w:val="19"/>
              <w:spacing w:before="46"/>
              <w:ind w:left="2865" w:right="2856"/>
              <w:rPr>
                <w:rFonts w:ascii="Times New Roman"/>
                <w:sz w:val="21"/>
              </w:rPr>
            </w:pPr>
            <w:r>
              <w:rPr>
                <w:rFonts w:ascii="Times New Roman"/>
                <w:position w:val="2"/>
                <w:sz w:val="21"/>
              </w:rPr>
              <w:t>NH</w:t>
            </w:r>
            <w:r>
              <w:rPr>
                <w:rFonts w:ascii="Times New Roman"/>
                <w:position w:val="2"/>
                <w:sz w:val="21"/>
                <w:vertAlign w:val="subscript"/>
              </w:rPr>
              <w:t>3</w:t>
            </w:r>
          </w:p>
        </w:tc>
        <w:tc>
          <w:tcPr>
            <w:tcW w:w="946" w:type="dxa"/>
            <w:tcBorders>
              <w:tl2br w:val="nil"/>
              <w:tr2bl w:val="nil"/>
            </w:tcBorders>
          </w:tcPr>
          <w:p>
            <w:pPr>
              <w:pStyle w:val="19"/>
              <w:spacing w:before="49"/>
              <w:ind w:left="111" w:right="102"/>
              <w:rPr>
                <w:rFonts w:ascii="Times New Roman"/>
                <w:sz w:val="21"/>
              </w:rPr>
            </w:pPr>
            <w:r>
              <w:rPr>
                <w:rFonts w:ascii="Times New Roman"/>
                <w:sz w:val="21"/>
              </w:rPr>
              <w:t>0.291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58" w:type="dxa"/>
            <w:gridSpan w:val="2"/>
            <w:vMerge w:val="continue"/>
            <w:tcBorders>
              <w:tl2br w:val="nil"/>
              <w:tr2bl w:val="nil"/>
            </w:tcBorders>
          </w:tcPr>
          <w:p>
            <w:pPr>
              <w:rPr>
                <w:sz w:val="2"/>
                <w:szCs w:val="2"/>
              </w:rPr>
            </w:pPr>
          </w:p>
        </w:tc>
        <w:tc>
          <w:tcPr>
            <w:tcW w:w="6143" w:type="dxa"/>
            <w:gridSpan w:val="5"/>
            <w:tcBorders>
              <w:tl2br w:val="nil"/>
              <w:tr2bl w:val="nil"/>
            </w:tcBorders>
          </w:tcPr>
          <w:p>
            <w:pPr>
              <w:pStyle w:val="19"/>
              <w:spacing w:before="46"/>
              <w:ind w:left="2865" w:right="2854"/>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946" w:type="dxa"/>
            <w:tcBorders>
              <w:tl2br w:val="nil"/>
              <w:tr2bl w:val="nil"/>
            </w:tcBorders>
          </w:tcPr>
          <w:p>
            <w:pPr>
              <w:pStyle w:val="19"/>
              <w:spacing w:before="49"/>
              <w:ind w:left="111" w:right="102"/>
              <w:rPr>
                <w:rFonts w:ascii="Times New Roman"/>
                <w:sz w:val="21"/>
              </w:rPr>
            </w:pPr>
            <w:r>
              <w:rPr>
                <w:rFonts w:ascii="Times New Roman"/>
                <w:sz w:val="21"/>
              </w:rPr>
              <w:t>0.00287</w:t>
            </w:r>
          </w:p>
        </w:tc>
      </w:tr>
    </w:tbl>
    <w:p>
      <w:pPr>
        <w:pStyle w:val="7"/>
        <w:bidi w:val="0"/>
        <w:jc w:val="center"/>
      </w:pPr>
      <w:r>
        <w:t>表</w:t>
      </w:r>
      <w:r>
        <w:rPr>
          <w:rFonts w:ascii="Times New Roman" w:eastAsia="Times New Roman"/>
        </w:rPr>
        <w:t>3.2-9</w:t>
      </w:r>
      <w:r>
        <w:rPr>
          <w:rFonts w:ascii="Times New Roman" w:eastAsia="Times New Roman"/>
        </w:rPr>
        <w:tab/>
      </w:r>
      <w:r>
        <w:t>大气污染物有组织排放量核算表</w:t>
      </w:r>
    </w:p>
    <w:tbl>
      <w:tblPr>
        <w:tblStyle w:val="15"/>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8"/>
        <w:gridCol w:w="1272"/>
        <w:gridCol w:w="1598"/>
        <w:gridCol w:w="1719"/>
        <w:gridCol w:w="1719"/>
        <w:gridCol w:w="1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28" w:type="dxa"/>
          </w:tcPr>
          <w:p>
            <w:pPr>
              <w:pStyle w:val="19"/>
              <w:spacing w:before="1" w:line="240" w:lineRule="exact"/>
              <w:ind w:left="109" w:right="97"/>
              <w:jc w:val="left"/>
              <w:rPr>
                <w:b/>
                <w:sz w:val="21"/>
              </w:rPr>
            </w:pPr>
            <w:r>
              <w:rPr>
                <w:b/>
                <w:sz w:val="21"/>
              </w:rPr>
              <w:t>序号</w:t>
            </w:r>
          </w:p>
        </w:tc>
        <w:tc>
          <w:tcPr>
            <w:tcW w:w="1272" w:type="dxa"/>
          </w:tcPr>
          <w:p>
            <w:pPr>
              <w:pStyle w:val="19"/>
              <w:spacing w:before="1" w:line="240" w:lineRule="exact"/>
              <w:ind w:left="425" w:right="308" w:hanging="106"/>
              <w:jc w:val="left"/>
              <w:rPr>
                <w:b/>
                <w:sz w:val="21"/>
              </w:rPr>
            </w:pPr>
            <w:r>
              <w:rPr>
                <w:b/>
                <w:sz w:val="21"/>
              </w:rPr>
              <w:t>排放口编号</w:t>
            </w:r>
          </w:p>
        </w:tc>
        <w:tc>
          <w:tcPr>
            <w:tcW w:w="1598" w:type="dxa"/>
          </w:tcPr>
          <w:p>
            <w:pPr>
              <w:pStyle w:val="19"/>
              <w:spacing w:before="103"/>
              <w:ind w:left="462" w:right="453"/>
              <w:rPr>
                <w:b/>
                <w:sz w:val="21"/>
              </w:rPr>
            </w:pPr>
            <w:r>
              <w:rPr>
                <w:b/>
                <w:sz w:val="21"/>
              </w:rPr>
              <w:t>污染物</w:t>
            </w:r>
          </w:p>
        </w:tc>
        <w:tc>
          <w:tcPr>
            <w:tcW w:w="1719" w:type="dxa"/>
          </w:tcPr>
          <w:p>
            <w:pPr>
              <w:pStyle w:val="19"/>
              <w:spacing w:line="237" w:lineRule="exact"/>
              <w:ind w:left="207" w:right="196"/>
              <w:rPr>
                <w:b/>
                <w:sz w:val="21"/>
              </w:rPr>
            </w:pPr>
            <w:r>
              <w:rPr>
                <w:b/>
                <w:sz w:val="21"/>
              </w:rPr>
              <w:t>核算排放浓度</w:t>
            </w:r>
          </w:p>
          <w:p>
            <w:pPr>
              <w:pStyle w:val="19"/>
              <w:spacing w:line="223" w:lineRule="exact"/>
              <w:ind w:left="205" w:right="196"/>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719" w:type="dxa"/>
          </w:tcPr>
          <w:p>
            <w:pPr>
              <w:pStyle w:val="19"/>
              <w:spacing w:line="237" w:lineRule="exact"/>
              <w:ind w:left="206" w:right="196"/>
              <w:rPr>
                <w:b/>
                <w:sz w:val="21"/>
              </w:rPr>
            </w:pPr>
            <w:r>
              <w:rPr>
                <w:b/>
                <w:sz w:val="21"/>
              </w:rPr>
              <w:t>核算排放速率</w:t>
            </w:r>
          </w:p>
          <w:p>
            <w:pPr>
              <w:pStyle w:val="19"/>
              <w:spacing w:line="223" w:lineRule="exact"/>
              <w:ind w:left="206" w:right="196"/>
              <w:rPr>
                <w:b/>
                <w:sz w:val="21"/>
              </w:rPr>
            </w:pPr>
            <w:r>
              <w:rPr>
                <w:b/>
                <w:sz w:val="21"/>
              </w:rPr>
              <w:t>（</w:t>
            </w:r>
            <w:r>
              <w:rPr>
                <w:rFonts w:ascii="Times New Roman" w:eastAsia="Times New Roman"/>
                <w:b/>
                <w:sz w:val="21"/>
              </w:rPr>
              <w:t>kg/h</w:t>
            </w:r>
            <w:r>
              <w:rPr>
                <w:b/>
                <w:sz w:val="21"/>
              </w:rPr>
              <w:t>）</w:t>
            </w:r>
          </w:p>
        </w:tc>
        <w:tc>
          <w:tcPr>
            <w:tcW w:w="1607" w:type="dxa"/>
          </w:tcPr>
          <w:p>
            <w:pPr>
              <w:pStyle w:val="19"/>
              <w:spacing w:line="237" w:lineRule="exact"/>
              <w:ind w:left="123" w:right="110"/>
              <w:rPr>
                <w:rFonts w:ascii="Times New Roman" w:eastAsia="Times New Roman"/>
                <w:b/>
                <w:sz w:val="21"/>
              </w:rPr>
            </w:pPr>
            <w:r>
              <w:rPr>
                <w:b/>
                <w:sz w:val="21"/>
              </w:rPr>
              <w:t>核算年排放量</w:t>
            </w:r>
            <w:r>
              <w:rPr>
                <w:rFonts w:ascii="Times New Roman" w:eastAsia="Times New Roman"/>
                <w:b/>
                <w:sz w:val="21"/>
              </w:rPr>
              <w:t>/</w:t>
            </w:r>
          </w:p>
          <w:p>
            <w:pPr>
              <w:pStyle w:val="19"/>
              <w:spacing w:line="223" w:lineRule="exact"/>
              <w:ind w:left="120" w:right="110"/>
              <w:rPr>
                <w:b/>
                <w:sz w:val="21"/>
              </w:rPr>
            </w:pPr>
            <w:r>
              <w:rPr>
                <w:b/>
                <w:sz w:val="21"/>
              </w:rPr>
              <w:t>（</w:t>
            </w:r>
            <w:r>
              <w:rPr>
                <w:rFonts w:ascii="Times New Roman" w:eastAsia="Times New Roman"/>
                <w:b/>
                <w:sz w:val="21"/>
              </w:rPr>
              <w:t>t/a</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343" w:type="dxa"/>
            <w:gridSpan w:val="6"/>
          </w:tcPr>
          <w:p>
            <w:pPr>
              <w:pStyle w:val="19"/>
              <w:spacing w:before="34"/>
              <w:ind w:left="3624" w:right="3619"/>
              <w:rPr>
                <w:sz w:val="21"/>
              </w:rPr>
            </w:pPr>
            <w:r>
              <w:rPr>
                <w:sz w:val="21"/>
              </w:rPr>
              <w:t>主要排放口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 w:type="dxa"/>
            <w:vMerge w:val="restart"/>
          </w:tcPr>
          <w:p>
            <w:pPr>
              <w:pStyle w:val="19"/>
              <w:spacing w:before="6"/>
              <w:jc w:val="left"/>
              <w:rPr>
                <w:b/>
                <w:sz w:val="17"/>
              </w:rPr>
            </w:pPr>
          </w:p>
          <w:p>
            <w:pPr>
              <w:pStyle w:val="19"/>
              <w:spacing w:before="1"/>
              <w:ind w:left="6"/>
              <w:rPr>
                <w:rFonts w:ascii="Times New Roman"/>
                <w:sz w:val="21"/>
              </w:rPr>
            </w:pPr>
            <w:r>
              <w:rPr>
                <w:rFonts w:ascii="Times New Roman"/>
                <w:w w:val="99"/>
                <w:sz w:val="21"/>
              </w:rPr>
              <w:t>1</w:t>
            </w:r>
          </w:p>
        </w:tc>
        <w:tc>
          <w:tcPr>
            <w:tcW w:w="1272" w:type="dxa"/>
            <w:vMerge w:val="restart"/>
          </w:tcPr>
          <w:p>
            <w:pPr>
              <w:pStyle w:val="19"/>
              <w:spacing w:before="109" w:line="213" w:lineRule="auto"/>
              <w:ind w:left="425" w:right="100" w:hanging="315"/>
              <w:jc w:val="left"/>
              <w:rPr>
                <w:sz w:val="21"/>
              </w:rPr>
            </w:pPr>
            <w:r>
              <w:rPr>
                <w:sz w:val="21"/>
              </w:rPr>
              <w:t>无害化处理车间</w:t>
            </w:r>
          </w:p>
        </w:tc>
        <w:tc>
          <w:tcPr>
            <w:tcW w:w="1598" w:type="dxa"/>
          </w:tcPr>
          <w:p>
            <w:pPr>
              <w:pStyle w:val="19"/>
              <w:spacing w:before="46"/>
              <w:ind w:left="462" w:right="452"/>
              <w:rPr>
                <w:rFonts w:ascii="Times New Roman"/>
                <w:sz w:val="21"/>
              </w:rPr>
            </w:pPr>
            <w:r>
              <w:rPr>
                <w:rFonts w:ascii="Times New Roman"/>
                <w:position w:val="2"/>
                <w:sz w:val="21"/>
              </w:rPr>
              <w:t>NH</w:t>
            </w:r>
            <w:r>
              <w:rPr>
                <w:rFonts w:ascii="Times New Roman"/>
                <w:position w:val="2"/>
                <w:sz w:val="21"/>
                <w:vertAlign w:val="subscript"/>
              </w:rPr>
              <w:t>3</w:t>
            </w:r>
          </w:p>
        </w:tc>
        <w:tc>
          <w:tcPr>
            <w:tcW w:w="1719" w:type="dxa"/>
          </w:tcPr>
          <w:p>
            <w:pPr>
              <w:pStyle w:val="19"/>
              <w:spacing w:before="49"/>
              <w:ind w:left="206" w:right="196"/>
              <w:rPr>
                <w:rFonts w:ascii="Times New Roman"/>
                <w:sz w:val="21"/>
              </w:rPr>
            </w:pPr>
            <w:r>
              <w:rPr>
                <w:rFonts w:ascii="Times New Roman"/>
                <w:sz w:val="21"/>
              </w:rPr>
              <w:t>0.625</w:t>
            </w:r>
          </w:p>
        </w:tc>
        <w:tc>
          <w:tcPr>
            <w:tcW w:w="1719" w:type="dxa"/>
          </w:tcPr>
          <w:p>
            <w:pPr>
              <w:pStyle w:val="19"/>
              <w:spacing w:before="49"/>
              <w:ind w:left="207" w:right="196"/>
              <w:rPr>
                <w:rFonts w:hint="default" w:ascii="Times New Roman" w:eastAsia="宋体"/>
                <w:sz w:val="21"/>
                <w:lang w:val="en-US" w:eastAsia="zh-CN"/>
              </w:rPr>
            </w:pPr>
            <w:r>
              <w:rPr>
                <w:rFonts w:hint="eastAsia" w:ascii="Times New Roman"/>
                <w:sz w:val="21"/>
                <w:lang w:val="en-US" w:eastAsia="zh-CN"/>
              </w:rPr>
              <w:t>0.512</w:t>
            </w:r>
          </w:p>
        </w:tc>
        <w:tc>
          <w:tcPr>
            <w:tcW w:w="1607" w:type="dxa"/>
          </w:tcPr>
          <w:p>
            <w:pPr>
              <w:pStyle w:val="19"/>
              <w:spacing w:before="49"/>
              <w:ind w:left="117" w:right="110"/>
              <w:rPr>
                <w:rFonts w:ascii="Times New Roman"/>
                <w:sz w:val="21"/>
              </w:rPr>
            </w:pPr>
            <w:r>
              <w:rPr>
                <w:rFonts w:ascii="Times New Roman"/>
                <w:sz w:val="21"/>
              </w:rPr>
              <w:t>0.01095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1598" w:type="dxa"/>
          </w:tcPr>
          <w:p>
            <w:pPr>
              <w:pStyle w:val="19"/>
              <w:spacing w:before="46"/>
              <w:ind w:left="462" w:right="452"/>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719" w:type="dxa"/>
          </w:tcPr>
          <w:p>
            <w:pPr>
              <w:pStyle w:val="19"/>
              <w:spacing w:before="50"/>
              <w:ind w:left="203" w:right="196"/>
              <w:rPr>
                <w:rFonts w:ascii="Times New Roman"/>
                <w:sz w:val="21"/>
              </w:rPr>
            </w:pPr>
            <w:r>
              <w:rPr>
                <w:rFonts w:ascii="Times New Roman"/>
                <w:sz w:val="21"/>
              </w:rPr>
              <w:t>0.0625</w:t>
            </w:r>
          </w:p>
        </w:tc>
        <w:tc>
          <w:tcPr>
            <w:tcW w:w="1719" w:type="dxa"/>
          </w:tcPr>
          <w:p>
            <w:pPr>
              <w:pStyle w:val="19"/>
              <w:spacing w:before="50"/>
              <w:ind w:left="207" w:right="196"/>
              <w:rPr>
                <w:rFonts w:hint="default" w:ascii="Times New Roman" w:eastAsia="宋体"/>
                <w:sz w:val="21"/>
                <w:lang w:val="en-US" w:eastAsia="zh-CN"/>
              </w:rPr>
            </w:pPr>
            <w:r>
              <w:rPr>
                <w:rFonts w:hint="eastAsia" w:ascii="Times New Roman"/>
                <w:sz w:val="21"/>
                <w:lang w:val="en-US" w:eastAsia="zh-CN"/>
              </w:rPr>
              <w:t>0.0512</w:t>
            </w:r>
          </w:p>
        </w:tc>
        <w:tc>
          <w:tcPr>
            <w:tcW w:w="1607" w:type="dxa"/>
          </w:tcPr>
          <w:p>
            <w:pPr>
              <w:pStyle w:val="19"/>
              <w:spacing w:before="50"/>
              <w:ind w:left="119" w:right="110"/>
              <w:rPr>
                <w:rFonts w:ascii="Times New Roman"/>
                <w:sz w:val="21"/>
              </w:rPr>
            </w:pPr>
            <w:r>
              <w:rPr>
                <w:rFonts w:ascii="Times New Roman"/>
                <w:sz w:val="21"/>
              </w:rPr>
              <w:t>0.001095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43" w:type="dxa"/>
            <w:gridSpan w:val="6"/>
          </w:tcPr>
          <w:p>
            <w:pPr>
              <w:pStyle w:val="19"/>
              <w:spacing w:before="34"/>
              <w:ind w:left="3624" w:right="3619"/>
              <w:rPr>
                <w:sz w:val="21"/>
              </w:rPr>
            </w:pPr>
            <w:r>
              <w:rPr>
                <w:sz w:val="21"/>
              </w:rPr>
              <w:t>有组织排放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00" w:type="dxa"/>
            <w:gridSpan w:val="2"/>
            <w:vMerge w:val="restart"/>
          </w:tcPr>
          <w:p>
            <w:pPr>
              <w:pStyle w:val="19"/>
              <w:spacing w:before="110" w:line="213" w:lineRule="auto"/>
              <w:ind w:left="639" w:right="313" w:hanging="315"/>
              <w:jc w:val="left"/>
              <w:rPr>
                <w:sz w:val="21"/>
              </w:rPr>
            </w:pPr>
            <w:r>
              <w:rPr>
                <w:sz w:val="21"/>
              </w:rPr>
              <w:t>主要排放口合计</w:t>
            </w:r>
          </w:p>
        </w:tc>
        <w:tc>
          <w:tcPr>
            <w:tcW w:w="5036" w:type="dxa"/>
            <w:gridSpan w:val="3"/>
          </w:tcPr>
          <w:p>
            <w:pPr>
              <w:pStyle w:val="19"/>
              <w:spacing w:before="45"/>
              <w:ind w:left="2312" w:right="2301"/>
              <w:rPr>
                <w:rFonts w:ascii="Times New Roman"/>
                <w:sz w:val="21"/>
              </w:rPr>
            </w:pPr>
            <w:r>
              <w:rPr>
                <w:rFonts w:ascii="Times New Roman"/>
                <w:position w:val="2"/>
                <w:sz w:val="21"/>
              </w:rPr>
              <w:t>NH</w:t>
            </w:r>
            <w:r>
              <w:rPr>
                <w:rFonts w:ascii="Times New Roman"/>
                <w:position w:val="2"/>
                <w:sz w:val="21"/>
                <w:vertAlign w:val="subscript"/>
              </w:rPr>
              <w:t>3</w:t>
            </w:r>
          </w:p>
        </w:tc>
        <w:tc>
          <w:tcPr>
            <w:tcW w:w="1607" w:type="dxa"/>
          </w:tcPr>
          <w:p>
            <w:pPr>
              <w:pStyle w:val="19"/>
              <w:spacing w:before="48"/>
              <w:ind w:left="117" w:right="110"/>
              <w:rPr>
                <w:rFonts w:ascii="Times New Roman"/>
                <w:sz w:val="21"/>
              </w:rPr>
            </w:pPr>
            <w:r>
              <w:rPr>
                <w:rFonts w:ascii="Times New Roman"/>
                <w:sz w:val="21"/>
              </w:rPr>
              <w:t>0.01095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00" w:type="dxa"/>
            <w:gridSpan w:val="2"/>
            <w:vMerge w:val="continue"/>
            <w:tcBorders>
              <w:top w:val="nil"/>
            </w:tcBorders>
          </w:tcPr>
          <w:p>
            <w:pPr>
              <w:rPr>
                <w:sz w:val="2"/>
                <w:szCs w:val="2"/>
              </w:rPr>
            </w:pPr>
          </w:p>
        </w:tc>
        <w:tc>
          <w:tcPr>
            <w:tcW w:w="5036" w:type="dxa"/>
            <w:gridSpan w:val="3"/>
          </w:tcPr>
          <w:p>
            <w:pPr>
              <w:pStyle w:val="19"/>
              <w:spacing w:before="45"/>
              <w:ind w:left="2310" w:right="2301"/>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607" w:type="dxa"/>
          </w:tcPr>
          <w:p>
            <w:pPr>
              <w:pStyle w:val="19"/>
              <w:spacing w:before="48"/>
              <w:ind w:left="119" w:right="110"/>
              <w:rPr>
                <w:rFonts w:ascii="Times New Roman"/>
                <w:sz w:val="21"/>
              </w:rPr>
            </w:pPr>
            <w:r>
              <w:rPr>
                <w:rFonts w:ascii="Times New Roman"/>
                <w:sz w:val="21"/>
              </w:rPr>
              <w:t>0.001095</w:t>
            </w:r>
          </w:p>
        </w:tc>
      </w:tr>
    </w:tbl>
    <w:p>
      <w:pPr>
        <w:pStyle w:val="18"/>
        <w:numPr>
          <w:ilvl w:val="3"/>
          <w:numId w:val="31"/>
        </w:numPr>
        <w:tabs>
          <w:tab w:val="left" w:pos="1320"/>
        </w:tabs>
        <w:spacing w:before="89" w:after="0" w:line="240" w:lineRule="auto"/>
        <w:ind w:left="1320" w:right="0" w:hanging="780"/>
        <w:jc w:val="left"/>
        <w:rPr>
          <w:sz w:val="24"/>
        </w:rPr>
      </w:pPr>
      <w:bookmarkStart w:id="186" w:name="3.2.3.2 运营期水污染源分析"/>
      <w:bookmarkEnd w:id="186"/>
      <w:bookmarkStart w:id="187" w:name="3.2.3.2 运营期水污染源分析"/>
      <w:bookmarkEnd w:id="187"/>
      <w:r>
        <w:rPr>
          <w:sz w:val="24"/>
        </w:rPr>
        <w:t>运营期水污染源分析</w:t>
      </w:r>
    </w:p>
    <w:p>
      <w:pPr>
        <w:pStyle w:val="7"/>
        <w:spacing w:before="216" w:line="360" w:lineRule="auto"/>
        <w:ind w:right="577" w:firstLine="480"/>
        <w:rPr>
          <w:color w:val="0000FF"/>
        </w:rPr>
      </w:pPr>
      <w:r>
        <w:rPr>
          <w:color w:val="0000FF"/>
          <w:spacing w:val="-2"/>
        </w:rPr>
        <w:t>本项目产生废水主要为养殖废水</w:t>
      </w:r>
      <w:r>
        <w:rPr>
          <w:color w:val="0000FF"/>
        </w:rPr>
        <w:t>（</w:t>
      </w:r>
      <w:r>
        <w:rPr>
          <w:color w:val="0000FF"/>
          <w:spacing w:val="-5"/>
        </w:rPr>
        <w:t>羊尿、羊舍冲洗废水</w:t>
      </w:r>
      <w:r>
        <w:rPr>
          <w:color w:val="0000FF"/>
          <w:spacing w:val="-24"/>
        </w:rPr>
        <w:t>）</w:t>
      </w:r>
      <w:r>
        <w:rPr>
          <w:color w:val="0000FF"/>
          <w:spacing w:val="-7"/>
        </w:rPr>
        <w:t>、</w:t>
      </w:r>
      <w:r>
        <w:rPr>
          <w:rFonts w:hint="eastAsia"/>
          <w:color w:val="0000FF"/>
          <w:spacing w:val="-7"/>
          <w:lang w:val="en-US" w:eastAsia="zh-CN"/>
        </w:rPr>
        <w:t>人员生活污水、</w:t>
      </w:r>
      <w:r>
        <w:rPr>
          <w:color w:val="0000FF"/>
          <w:spacing w:val="-7"/>
        </w:rPr>
        <w:t>畜禽无害化处理</w:t>
      </w:r>
      <w:r>
        <w:rPr>
          <w:color w:val="0000FF"/>
        </w:rPr>
        <w:t>车间化制废水和消毒废水。</w:t>
      </w:r>
    </w:p>
    <w:p>
      <w:pPr>
        <w:pStyle w:val="18"/>
        <w:numPr>
          <w:ilvl w:val="0"/>
          <w:numId w:val="35"/>
        </w:numPr>
        <w:tabs>
          <w:tab w:val="left" w:pos="1621"/>
        </w:tabs>
        <w:spacing w:before="0" w:after="0" w:line="304" w:lineRule="exact"/>
        <w:ind w:left="1621" w:right="0" w:hanging="601"/>
        <w:jc w:val="left"/>
        <w:rPr>
          <w:sz w:val="24"/>
        </w:rPr>
      </w:pPr>
      <w:r>
        <w:rPr>
          <w:sz w:val="24"/>
        </w:rPr>
        <w:t>养殖废水</w:t>
      </w:r>
    </w:p>
    <w:p>
      <w:pPr>
        <w:pStyle w:val="7"/>
        <w:spacing w:before="105" w:line="364" w:lineRule="auto"/>
        <w:ind w:right="457" w:firstLine="480"/>
        <w:rPr>
          <w:color w:val="0000FF"/>
        </w:rPr>
      </w:pPr>
      <w:r>
        <w:rPr>
          <w:color w:val="0000FF"/>
          <w:spacing w:val="-7"/>
        </w:rPr>
        <w:t>本项目采用干清粪工艺，不产生圈舍冲洗废水；羊饮水一部分参与羊的新陈</w:t>
      </w:r>
      <w:r>
        <w:rPr>
          <w:color w:val="0000FF"/>
          <w:spacing w:val="-11"/>
        </w:rPr>
        <w:t>代谢，另一部分饮水以尿液的方式排放，根据《畜禽养殖业污染治理工程技术规</w:t>
      </w:r>
      <w:r>
        <w:rPr>
          <w:color w:val="0000FF"/>
          <w:spacing w:val="-14"/>
        </w:rPr>
        <w:t>范》中附录</w:t>
      </w:r>
      <w:r>
        <w:rPr>
          <w:rFonts w:ascii="Times New Roman" w:hAnsi="Times New Roman" w:eastAsia="Times New Roman"/>
          <w:color w:val="0000FF"/>
        </w:rPr>
        <w:t>A</w:t>
      </w:r>
      <w:r>
        <w:rPr>
          <w:color w:val="0000FF"/>
          <w:spacing w:val="-7"/>
        </w:rPr>
        <w:t>中可知，每头每天排放尿液约</w:t>
      </w:r>
      <w:r>
        <w:rPr>
          <w:rFonts w:ascii="Times New Roman" w:hAnsi="Times New Roman" w:eastAsia="Times New Roman"/>
          <w:color w:val="0000FF"/>
        </w:rPr>
        <w:t>10L/</w:t>
      </w:r>
      <w:r>
        <w:rPr>
          <w:color w:val="0000FF"/>
        </w:rPr>
        <w:t>（头</w:t>
      </w:r>
      <w:r>
        <w:rPr>
          <w:rFonts w:ascii="Times New Roman" w:hAnsi="Times New Roman" w:eastAsia="Times New Roman"/>
          <w:color w:val="0000FF"/>
          <w:spacing w:val="-3"/>
        </w:rPr>
        <w:t>•d</w:t>
      </w:r>
      <w:r>
        <w:rPr>
          <w:color w:val="0000FF"/>
          <w:spacing w:val="-3"/>
        </w:rPr>
        <w:t>），</w:t>
      </w:r>
      <w:r>
        <w:rPr>
          <w:color w:val="0000FF"/>
          <w:spacing w:val="-2"/>
        </w:rPr>
        <w:t>羊排放的尿液很小，</w:t>
      </w:r>
      <w:r>
        <w:rPr>
          <w:color w:val="0000FF"/>
          <w:spacing w:val="-6"/>
        </w:rPr>
        <w:t>经类比分析，肉羊在圈养期间，羊尿的排放量约为</w:t>
      </w:r>
      <w:r>
        <w:rPr>
          <w:rFonts w:ascii="Times New Roman" w:hAnsi="Times New Roman" w:eastAsia="Times New Roman"/>
          <w:color w:val="0000FF"/>
        </w:rPr>
        <w:t>0.66L/</w:t>
      </w:r>
      <w:r>
        <w:rPr>
          <w:color w:val="0000FF"/>
        </w:rPr>
        <w:t>（只</w:t>
      </w:r>
      <w:r>
        <w:rPr>
          <w:rFonts w:ascii="Times New Roman" w:hAnsi="Times New Roman" w:eastAsia="Times New Roman"/>
          <w:color w:val="0000FF"/>
          <w:spacing w:val="-4"/>
        </w:rPr>
        <w:t>•d</w:t>
      </w:r>
      <w:r>
        <w:rPr>
          <w:color w:val="0000FF"/>
          <w:spacing w:val="-4"/>
        </w:rPr>
        <w:t>）</w:t>
      </w:r>
      <w:r>
        <w:rPr>
          <w:color w:val="0000FF"/>
          <w:spacing w:val="-2"/>
        </w:rPr>
        <w:t>，则羊尿的产</w:t>
      </w:r>
      <w:r>
        <w:rPr>
          <w:color w:val="0000FF"/>
          <w:spacing w:val="-18"/>
        </w:rPr>
        <w:t>生量为</w:t>
      </w:r>
      <w:r>
        <w:rPr>
          <w:rFonts w:hint="eastAsia"/>
          <w:color w:val="0000FF"/>
          <w:spacing w:val="-18"/>
          <w:lang w:val="en-US" w:eastAsia="zh-CN"/>
        </w:rPr>
        <w:t xml:space="preserve">24090 </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/a</w:t>
      </w:r>
      <w:r>
        <w:rPr>
          <w:color w:val="0000FF"/>
        </w:rPr>
        <w:t>（</w:t>
      </w:r>
      <w:r>
        <w:rPr>
          <w:rFonts w:hint="eastAsia"/>
          <w:color w:val="0000FF"/>
          <w:lang w:val="en-US" w:eastAsia="zh-CN"/>
        </w:rPr>
        <w:t>66</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/d</w:t>
      </w:r>
      <w:r>
        <w:rPr>
          <w:color w:val="0000FF"/>
        </w:rPr>
        <w:t>），</w:t>
      </w:r>
      <w:r>
        <w:rPr>
          <w:color w:val="0000FF"/>
          <w:spacing w:val="-1"/>
        </w:rPr>
        <w:t>项目区夏季蒸发量很大，羊尿主要和粪便混合在一起，每日及时清除，不进入排水系统。</w:t>
      </w:r>
    </w:p>
    <w:p>
      <w:pPr>
        <w:pStyle w:val="7"/>
        <w:spacing w:before="143" w:line="364" w:lineRule="auto"/>
        <w:ind w:right="485"/>
        <w:rPr>
          <w:rFonts w:hint="eastAsia" w:eastAsia="宋体"/>
          <w:lang w:eastAsia="zh-CN"/>
        </w:rPr>
      </w:pPr>
      <w:r>
        <w:rPr>
          <w:spacing w:val="-10"/>
        </w:rPr>
        <w:t>按照《国务院办公厅关于加快推进畜禽养殖废弃物资源化利用的意见》中要求：“鼓励沼液和经无害化处理的畜禽养殖废水作为肥料科学还田利用”。养殖</w:t>
      </w:r>
      <w:r>
        <w:rPr>
          <w:spacing w:val="-5"/>
        </w:rPr>
        <w:t>场每栋羊舍地面为混凝土地面，上端覆盖</w:t>
      </w:r>
      <w:r>
        <w:rPr>
          <w:rFonts w:ascii="Times New Roman" w:hAnsi="Times New Roman" w:eastAsia="Times New Roman"/>
        </w:rPr>
        <w:t>35cm</w:t>
      </w:r>
      <w:r>
        <w:rPr>
          <w:spacing w:val="-5"/>
        </w:rPr>
        <w:t>厚垫料，铺设垫床一般采用废气</w:t>
      </w:r>
      <w:r>
        <w:rPr>
          <w:spacing w:val="-11"/>
        </w:rPr>
        <w:t>杂草、农作物秸秆粉、锯末等农业材料，羊排泄的尿液被垫料吸收、蒸发，项目</w:t>
      </w:r>
      <w:r>
        <w:t>定期对垫料层和粪便进行清理更换，不需要对畜舍进行冲洗，无冲栏废水产生。垫料层与羊粪一起进入堆肥厂堆肥发酵，废水实现综合利用，不外排</w:t>
      </w:r>
      <w:r>
        <w:rPr>
          <w:rFonts w:hint="eastAsia"/>
          <w:lang w:eastAsia="zh-CN"/>
        </w:rPr>
        <w:t>。</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p>
    <w:p>
      <w:pPr>
        <w:pStyle w:val="18"/>
        <w:numPr>
          <w:ilvl w:val="0"/>
          <w:numId w:val="35"/>
        </w:numPr>
        <w:tabs>
          <w:tab w:val="left" w:pos="1621"/>
        </w:tabs>
        <w:spacing w:before="50" w:after="0" w:line="240" w:lineRule="auto"/>
        <w:ind w:left="1621" w:right="0" w:hanging="601"/>
        <w:jc w:val="left"/>
        <w:rPr>
          <w:sz w:val="24"/>
        </w:rPr>
      </w:pPr>
      <w:r>
        <w:rPr>
          <w:sz w:val="24"/>
        </w:rPr>
        <w:t>畜禽无害化处理车间化制废水</w:t>
      </w:r>
    </w:p>
    <w:p>
      <w:pPr>
        <w:pStyle w:val="7"/>
        <w:spacing w:before="153" w:line="357" w:lineRule="auto"/>
        <w:ind w:right="476" w:firstLine="480"/>
        <w:jc w:val="both"/>
        <w:rPr>
          <w:color w:val="0000FF"/>
        </w:rPr>
      </w:pPr>
      <w:r>
        <w:rPr>
          <w:color w:val="0000FF"/>
          <w:spacing w:val="-5"/>
        </w:rPr>
        <w:t>类比分析，羊的病死率按</w:t>
      </w:r>
      <w:r>
        <w:rPr>
          <w:rFonts w:ascii="Times New Roman" w:eastAsia="Times New Roman"/>
          <w:color w:val="0000FF"/>
        </w:rPr>
        <w:t>0.5%</w:t>
      </w:r>
      <w:r>
        <w:rPr>
          <w:color w:val="0000FF"/>
          <w:spacing w:val="-7"/>
        </w:rPr>
        <w:t>计，羊只出栏量</w:t>
      </w:r>
      <w:r>
        <w:rPr>
          <w:rFonts w:hint="eastAsia" w:ascii="Times New Roman" w:eastAsia="宋体"/>
          <w:color w:val="0000FF"/>
          <w:spacing w:val="-3"/>
          <w:lang w:val="en-US" w:eastAsia="zh-CN"/>
        </w:rPr>
        <w:t>4</w:t>
      </w:r>
      <w:r>
        <w:rPr>
          <w:color w:val="0000FF"/>
          <w:spacing w:val="-6"/>
        </w:rPr>
        <w:t>万只，则年死亡羊</w:t>
      </w:r>
      <w:r>
        <w:rPr>
          <w:rFonts w:hint="eastAsia" w:ascii="Times New Roman" w:eastAsia="宋体"/>
          <w:color w:val="0000FF"/>
          <w:lang w:val="en-US" w:eastAsia="zh-CN"/>
        </w:rPr>
        <w:t>200</w:t>
      </w:r>
      <w:r>
        <w:rPr>
          <w:color w:val="0000FF"/>
          <w:spacing w:val="-8"/>
        </w:rPr>
        <w:t>只，每只羊重约</w:t>
      </w:r>
      <w:r>
        <w:rPr>
          <w:rFonts w:ascii="Times New Roman" w:eastAsia="Times New Roman"/>
          <w:color w:val="0000FF"/>
        </w:rPr>
        <w:t>40kg</w:t>
      </w:r>
      <w:r>
        <w:rPr>
          <w:color w:val="0000FF"/>
          <w:spacing w:val="-15"/>
        </w:rPr>
        <w:t>，合计</w:t>
      </w:r>
      <w:r>
        <w:rPr>
          <w:rFonts w:hint="eastAsia" w:ascii="Times New Roman" w:eastAsia="宋体"/>
          <w:color w:val="0000FF"/>
          <w:lang w:val="en-US" w:eastAsia="zh-CN"/>
        </w:rPr>
        <w:t>8</w:t>
      </w:r>
      <w:r>
        <w:rPr>
          <w:rFonts w:ascii="Times New Roman" w:eastAsia="Times New Roman"/>
          <w:color w:val="0000FF"/>
        </w:rPr>
        <w:t>t</w:t>
      </w:r>
      <w:r>
        <w:rPr>
          <w:color w:val="0000FF"/>
          <w:spacing w:val="-4"/>
        </w:rPr>
        <w:t>。本项目运营期估算病死羊量约</w:t>
      </w:r>
      <w:r>
        <w:rPr>
          <w:rFonts w:hint="eastAsia" w:ascii="Times New Roman" w:eastAsia="宋体"/>
          <w:color w:val="0000FF"/>
          <w:lang w:val="en-US" w:eastAsia="zh-CN"/>
        </w:rPr>
        <w:t>8</w:t>
      </w:r>
      <w:r>
        <w:rPr>
          <w:rFonts w:ascii="Times New Roman" w:eastAsia="Times New Roman"/>
          <w:color w:val="0000FF"/>
        </w:rPr>
        <w:t>t/a</w:t>
      </w:r>
      <w:r>
        <w:rPr>
          <w:color w:val="0000FF"/>
        </w:rPr>
        <w:t>。本项</w:t>
      </w:r>
      <w:r>
        <w:rPr>
          <w:color w:val="0000FF"/>
          <w:spacing w:val="-4"/>
        </w:rPr>
        <w:t>目所处理的病死羊含水率以</w:t>
      </w:r>
      <w:r>
        <w:rPr>
          <w:rFonts w:ascii="Times New Roman" w:eastAsia="Times New Roman"/>
          <w:color w:val="0000FF"/>
        </w:rPr>
        <w:t>70%</w:t>
      </w:r>
      <w:r>
        <w:rPr>
          <w:color w:val="0000FF"/>
          <w:spacing w:val="-5"/>
        </w:rPr>
        <w:t>计；病死羊所含水中</w:t>
      </w:r>
      <w:r>
        <w:rPr>
          <w:rFonts w:ascii="Times New Roman" w:eastAsia="Times New Roman"/>
          <w:color w:val="0000FF"/>
        </w:rPr>
        <w:t>80%</w:t>
      </w:r>
      <w:r>
        <w:rPr>
          <w:color w:val="0000FF"/>
        </w:rPr>
        <w:t>在化制过程中转化为</w:t>
      </w:r>
      <w:r>
        <w:rPr>
          <w:color w:val="0000FF"/>
          <w:spacing w:val="-14"/>
        </w:rPr>
        <w:t>水蒸气形式，剩余</w:t>
      </w:r>
      <w:r>
        <w:rPr>
          <w:rFonts w:ascii="Times New Roman" w:eastAsia="Times New Roman"/>
          <w:color w:val="0000FF"/>
        </w:rPr>
        <w:t>20%</w:t>
      </w:r>
      <w:r>
        <w:rPr>
          <w:color w:val="0000FF"/>
          <w:spacing w:val="-4"/>
        </w:rPr>
        <w:t>存在于化制所形成的肉骨粉和油脂中；所转化的水蒸气最</w:t>
      </w:r>
      <w:r>
        <w:rPr>
          <w:color w:val="0000FF"/>
          <w:spacing w:val="-20"/>
        </w:rPr>
        <w:t>终有</w:t>
      </w:r>
      <w:r>
        <w:rPr>
          <w:rFonts w:ascii="Times New Roman" w:eastAsia="Times New Roman"/>
          <w:color w:val="0000FF"/>
        </w:rPr>
        <w:t>90%</w:t>
      </w:r>
      <w:r>
        <w:rPr>
          <w:color w:val="0000FF"/>
          <w:spacing w:val="-4"/>
        </w:rPr>
        <w:t>在冷凝器中冷凝下来，剩余</w:t>
      </w:r>
      <w:r>
        <w:rPr>
          <w:rFonts w:ascii="Times New Roman" w:eastAsia="Times New Roman"/>
          <w:color w:val="0000FF"/>
        </w:rPr>
        <w:t>10%</w:t>
      </w:r>
      <w:r>
        <w:rPr>
          <w:color w:val="0000FF"/>
        </w:rPr>
        <w:t>以水蒸气的形式伴随其他废气排出。</w:t>
      </w:r>
      <w:r>
        <w:rPr>
          <w:color w:val="0000FF"/>
          <w:spacing w:val="-4"/>
        </w:rPr>
        <w:t>则本项目化制冷凝废水产生量为</w:t>
      </w:r>
      <w:r>
        <w:rPr>
          <w:rFonts w:hint="eastAsia"/>
          <w:color w:val="0000FF"/>
          <w:spacing w:val="-4"/>
          <w:lang w:val="en-US" w:eastAsia="zh-CN"/>
        </w:rPr>
        <w:t xml:space="preserve">7.2 </w:t>
      </w:r>
      <w:r>
        <w:rPr>
          <w:rFonts w:ascii="Times New Roman" w:eastAsia="Times New Roman"/>
          <w:color w:val="0000FF"/>
        </w:rPr>
        <w:t>t/a</w:t>
      </w:r>
      <w:r>
        <w:rPr>
          <w:color w:val="0000FF"/>
        </w:rPr>
        <w:t>。通过类比，此类废水主要污染物产生</w:t>
      </w:r>
      <w:r>
        <w:rPr>
          <w:color w:val="0000FF"/>
          <w:spacing w:val="-16"/>
          <w:position w:val="2"/>
        </w:rPr>
        <w:t>浓度为</w:t>
      </w:r>
      <w:r>
        <w:rPr>
          <w:rFonts w:ascii="Times New Roman" w:eastAsia="Times New Roman"/>
          <w:color w:val="0000FF"/>
          <w:position w:val="2"/>
        </w:rPr>
        <w:t>COD</w:t>
      </w:r>
      <w:r>
        <w:rPr>
          <w:rFonts w:ascii="Times New Roman" w:eastAsia="Times New Roman"/>
          <w:color w:val="0000FF"/>
          <w:position w:val="2"/>
          <w:vertAlign w:val="subscript"/>
        </w:rPr>
        <w:t>cr</w:t>
      </w:r>
      <w:r>
        <w:rPr>
          <w:rFonts w:ascii="Times New Roman" w:eastAsia="Times New Roman"/>
          <w:color w:val="0000FF"/>
          <w:position w:val="2"/>
          <w:vertAlign w:val="baseline"/>
        </w:rPr>
        <w:t>3500mg/L</w:t>
      </w:r>
      <w:r>
        <w:rPr>
          <w:color w:val="0000FF"/>
          <w:position w:val="2"/>
          <w:vertAlign w:val="baseline"/>
        </w:rPr>
        <w:t>，</w:t>
      </w:r>
      <w:r>
        <w:rPr>
          <w:rFonts w:ascii="Times New Roman" w:eastAsia="Times New Roman"/>
          <w:color w:val="0000FF"/>
          <w:position w:val="2"/>
          <w:vertAlign w:val="baseline"/>
        </w:rPr>
        <w:t>BOD</w:t>
      </w:r>
      <w:r>
        <w:rPr>
          <w:rFonts w:ascii="Times New Roman" w:eastAsia="Times New Roman"/>
          <w:color w:val="0000FF"/>
          <w:position w:val="2"/>
          <w:vertAlign w:val="subscript"/>
        </w:rPr>
        <w:t>5</w:t>
      </w:r>
      <w:r>
        <w:rPr>
          <w:rFonts w:ascii="Times New Roman" w:eastAsia="Times New Roman"/>
          <w:color w:val="0000FF"/>
          <w:position w:val="2"/>
          <w:vertAlign w:val="baseline"/>
        </w:rPr>
        <w:t>2500mg/L</w:t>
      </w:r>
      <w:r>
        <w:rPr>
          <w:color w:val="0000FF"/>
          <w:spacing w:val="-11"/>
          <w:position w:val="2"/>
          <w:vertAlign w:val="baseline"/>
        </w:rPr>
        <w:t>，动植物油</w:t>
      </w:r>
      <w:r>
        <w:rPr>
          <w:rFonts w:ascii="Times New Roman" w:eastAsia="Times New Roman"/>
          <w:color w:val="0000FF"/>
          <w:position w:val="2"/>
          <w:vertAlign w:val="baseline"/>
        </w:rPr>
        <w:t>220mg/L</w:t>
      </w:r>
      <w:r>
        <w:rPr>
          <w:color w:val="0000FF"/>
          <w:position w:val="2"/>
          <w:vertAlign w:val="baseline"/>
        </w:rPr>
        <w:t>，</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rFonts w:ascii="Times New Roman" w:eastAsia="Times New Roman"/>
          <w:color w:val="0000FF"/>
          <w:position w:val="2"/>
          <w:vertAlign w:val="baseline"/>
        </w:rPr>
        <w:t>-N300mg/L</w:t>
      </w:r>
      <w:r>
        <w:rPr>
          <w:color w:val="0000FF"/>
          <w:spacing w:val="-14"/>
          <w:position w:val="2"/>
          <w:vertAlign w:val="baseline"/>
        </w:rPr>
        <w:t>。</w:t>
      </w:r>
    </w:p>
    <w:p>
      <w:pPr>
        <w:pStyle w:val="18"/>
        <w:numPr>
          <w:ilvl w:val="0"/>
          <w:numId w:val="35"/>
        </w:numPr>
        <w:tabs>
          <w:tab w:val="left" w:pos="1621"/>
        </w:tabs>
        <w:spacing w:before="9" w:after="0" w:line="240" w:lineRule="auto"/>
        <w:ind w:left="1621" w:right="0" w:hanging="601"/>
        <w:jc w:val="left"/>
        <w:rPr>
          <w:sz w:val="24"/>
        </w:rPr>
      </w:pPr>
      <w:r>
        <w:rPr>
          <w:sz w:val="24"/>
        </w:rPr>
        <w:t>消毒废水</w:t>
      </w:r>
    </w:p>
    <w:p>
      <w:pPr>
        <w:pStyle w:val="7"/>
        <w:spacing w:before="151" w:line="360" w:lineRule="auto"/>
        <w:ind w:right="461" w:firstLine="480"/>
      </w:pPr>
      <w:r>
        <w:rPr>
          <w:spacing w:val="-2"/>
        </w:rPr>
        <w:t>项目进场需对车辆进行消毒处理，设置消毒池，每车消毒耗水约为</w:t>
      </w:r>
      <w:r>
        <w:rPr>
          <w:rFonts w:ascii="Times New Roman" w:eastAsia="Times New Roman"/>
          <w:spacing w:val="-4"/>
        </w:rPr>
        <w:t>0.05m</w:t>
      </w:r>
      <w:r>
        <w:rPr>
          <w:rFonts w:ascii="Times New Roman" w:eastAsia="Times New Roman"/>
          <w:spacing w:val="-4"/>
          <w:position w:val="8"/>
          <w:sz w:val="15"/>
        </w:rPr>
        <w:t>3</w:t>
      </w:r>
      <w:r>
        <w:rPr>
          <w:spacing w:val="-4"/>
        </w:rPr>
        <w:t>，</w:t>
      </w:r>
      <w:r>
        <w:rPr>
          <w:spacing w:val="-7"/>
        </w:rPr>
        <w:t>进入厂区车辆平均约</w:t>
      </w:r>
      <w:r>
        <w:rPr>
          <w:rFonts w:ascii="Times New Roman" w:eastAsia="Times New Roman"/>
        </w:rPr>
        <w:t>2</w:t>
      </w:r>
      <w:r>
        <w:t>辆</w:t>
      </w:r>
      <w:r>
        <w:rPr>
          <w:rFonts w:ascii="Times New Roman" w:eastAsia="Times New Roman"/>
        </w:rPr>
        <w:t>/d</w:t>
      </w:r>
      <w:r>
        <w:rPr>
          <w:spacing w:val="-5"/>
        </w:rPr>
        <w:t>，则每天车辆消毒用水量为</w:t>
      </w:r>
      <w:r>
        <w:rPr>
          <w:rFonts w:ascii="Times New Roman" w:eastAsia="Times New Roman"/>
        </w:rPr>
        <w:t>0.1m</w:t>
      </w:r>
      <w:r>
        <w:rPr>
          <w:rFonts w:ascii="Times New Roman" w:eastAsia="Times New Roman"/>
          <w:position w:val="8"/>
          <w:sz w:val="15"/>
        </w:rPr>
        <w:t>3</w:t>
      </w:r>
      <w:r>
        <w:rPr>
          <w:rFonts w:ascii="Times New Roman" w:eastAsia="Times New Roman"/>
        </w:rPr>
        <w:t>/d</w:t>
      </w:r>
      <w:r>
        <w:t>。消毒用水量较小，不会在厂区形成径流，随之蒸发。</w:t>
      </w:r>
    </w:p>
    <w:p>
      <w:pPr>
        <w:pStyle w:val="7"/>
        <w:spacing w:line="304" w:lineRule="exact"/>
        <w:ind w:left="1020"/>
      </w:pPr>
      <w:r>
        <w:t>本项目废水产生源强见表</w:t>
      </w:r>
      <w:r>
        <w:rPr>
          <w:rFonts w:ascii="Times New Roman" w:eastAsia="Times New Roman"/>
        </w:rPr>
        <w:t>3.2-10</w:t>
      </w:r>
      <w:r>
        <w:t>。</w:t>
      </w:r>
    </w:p>
    <w:p>
      <w:pPr>
        <w:pStyle w:val="7"/>
        <w:bidi w:val="0"/>
        <w:jc w:val="center"/>
      </w:pPr>
      <w:r>
        <w:t>表</w:t>
      </w:r>
      <w:r>
        <w:rPr>
          <w:rFonts w:ascii="Times New Roman" w:eastAsia="Times New Roman"/>
        </w:rPr>
        <w:t>3.2-10</w:t>
      </w:r>
      <w:r>
        <w:rPr>
          <w:rFonts w:ascii="Times New Roman" w:eastAsia="Times New Roman"/>
        </w:rPr>
        <w:tab/>
      </w:r>
      <w:r>
        <w:t>废水产生源强一览表</w:t>
      </w:r>
    </w:p>
    <w:tbl>
      <w:tblPr>
        <w:tblStyle w:val="15"/>
        <w:tblW w:w="0" w:type="auto"/>
        <w:tblInd w:w="4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8"/>
        <w:gridCol w:w="993"/>
        <w:gridCol w:w="1238"/>
        <w:gridCol w:w="937"/>
        <w:gridCol w:w="1013"/>
        <w:gridCol w:w="1125"/>
        <w:gridCol w:w="1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48" w:type="dxa"/>
            <w:vMerge w:val="restart"/>
          </w:tcPr>
          <w:p>
            <w:pPr>
              <w:pStyle w:val="19"/>
              <w:spacing w:before="4"/>
              <w:jc w:val="left"/>
              <w:rPr>
                <w:b/>
                <w:sz w:val="16"/>
              </w:rPr>
            </w:pPr>
          </w:p>
          <w:p>
            <w:pPr>
              <w:pStyle w:val="19"/>
              <w:ind w:left="452"/>
              <w:jc w:val="left"/>
              <w:rPr>
                <w:b/>
                <w:sz w:val="21"/>
              </w:rPr>
            </w:pPr>
            <w:r>
              <w:rPr>
                <w:b/>
                <w:sz w:val="21"/>
              </w:rPr>
              <w:t>废水来源</w:t>
            </w:r>
          </w:p>
        </w:tc>
        <w:tc>
          <w:tcPr>
            <w:tcW w:w="993" w:type="dxa"/>
            <w:vMerge w:val="restart"/>
          </w:tcPr>
          <w:p>
            <w:pPr>
              <w:pStyle w:val="19"/>
              <w:spacing w:before="53"/>
              <w:ind w:left="180"/>
              <w:jc w:val="left"/>
              <w:rPr>
                <w:b/>
                <w:sz w:val="21"/>
              </w:rPr>
            </w:pPr>
            <w:r>
              <w:rPr>
                <w:b/>
                <w:sz w:val="21"/>
              </w:rPr>
              <w:t>废水量</w:t>
            </w:r>
          </w:p>
          <w:p>
            <w:pPr>
              <w:pStyle w:val="19"/>
              <w:spacing w:before="36"/>
              <w:ind w:left="108"/>
              <w:jc w:val="left"/>
              <w:rPr>
                <w:b/>
                <w:sz w:val="21"/>
              </w:rPr>
            </w:pPr>
            <w:r>
              <w:rPr>
                <w:b/>
                <w:sz w:val="21"/>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/a</w:t>
            </w:r>
            <w:r>
              <w:rPr>
                <w:b/>
                <w:sz w:val="21"/>
              </w:rPr>
              <w:t>）</w:t>
            </w:r>
          </w:p>
        </w:tc>
        <w:tc>
          <w:tcPr>
            <w:tcW w:w="1238" w:type="dxa"/>
            <w:vMerge w:val="restart"/>
          </w:tcPr>
          <w:p>
            <w:pPr>
              <w:pStyle w:val="19"/>
              <w:spacing w:before="4"/>
              <w:jc w:val="left"/>
              <w:rPr>
                <w:b/>
                <w:sz w:val="16"/>
              </w:rPr>
            </w:pPr>
          </w:p>
          <w:p>
            <w:pPr>
              <w:pStyle w:val="19"/>
              <w:ind w:left="409"/>
              <w:jc w:val="left"/>
              <w:rPr>
                <w:b/>
                <w:sz w:val="21"/>
              </w:rPr>
            </w:pPr>
            <w:r>
              <w:rPr>
                <w:b/>
                <w:sz w:val="21"/>
              </w:rPr>
              <w:t>指标</w:t>
            </w:r>
          </w:p>
        </w:tc>
        <w:tc>
          <w:tcPr>
            <w:tcW w:w="4431" w:type="dxa"/>
            <w:gridSpan w:val="4"/>
          </w:tcPr>
          <w:p>
            <w:pPr>
              <w:pStyle w:val="19"/>
              <w:spacing w:before="34"/>
              <w:ind w:left="1666" w:right="1659"/>
              <w:rPr>
                <w:b/>
                <w:sz w:val="21"/>
              </w:rPr>
            </w:pPr>
            <w:r>
              <w:rPr>
                <w:b/>
                <w:sz w:val="21"/>
              </w:rPr>
              <w:t>污染物名称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48"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1238" w:type="dxa"/>
            <w:vMerge w:val="continue"/>
            <w:tcBorders>
              <w:top w:val="nil"/>
            </w:tcBorders>
          </w:tcPr>
          <w:p>
            <w:pPr>
              <w:rPr>
                <w:sz w:val="2"/>
                <w:szCs w:val="2"/>
              </w:rPr>
            </w:pPr>
          </w:p>
        </w:tc>
        <w:tc>
          <w:tcPr>
            <w:tcW w:w="937" w:type="dxa"/>
          </w:tcPr>
          <w:p>
            <w:pPr>
              <w:pStyle w:val="19"/>
              <w:spacing w:before="45"/>
              <w:ind w:left="156" w:right="143"/>
              <w:rPr>
                <w:rFonts w:ascii="Times New Roman"/>
                <w:b/>
                <w:sz w:val="21"/>
              </w:rPr>
            </w:pPr>
            <w:r>
              <w:rPr>
                <w:rFonts w:ascii="Times New Roman"/>
                <w:b/>
                <w:position w:val="2"/>
                <w:sz w:val="21"/>
              </w:rPr>
              <w:t>COD</w:t>
            </w:r>
            <w:r>
              <w:rPr>
                <w:rFonts w:ascii="Times New Roman"/>
                <w:b/>
                <w:position w:val="2"/>
                <w:sz w:val="21"/>
                <w:vertAlign w:val="subscript"/>
              </w:rPr>
              <w:t>cr</w:t>
            </w:r>
          </w:p>
        </w:tc>
        <w:tc>
          <w:tcPr>
            <w:tcW w:w="1013" w:type="dxa"/>
          </w:tcPr>
          <w:p>
            <w:pPr>
              <w:pStyle w:val="19"/>
              <w:spacing w:before="45"/>
              <w:ind w:left="60" w:right="51"/>
              <w:rPr>
                <w:rFonts w:ascii="Times New Roman"/>
                <w:b/>
                <w:sz w:val="21"/>
              </w:rPr>
            </w:pPr>
            <w:r>
              <w:rPr>
                <w:rFonts w:ascii="Times New Roman"/>
                <w:b/>
                <w:position w:val="2"/>
                <w:sz w:val="21"/>
              </w:rPr>
              <w:t>BOD</w:t>
            </w:r>
            <w:r>
              <w:rPr>
                <w:rFonts w:ascii="Times New Roman"/>
                <w:b/>
                <w:position w:val="2"/>
                <w:sz w:val="21"/>
                <w:vertAlign w:val="subscript"/>
              </w:rPr>
              <w:t>5</w:t>
            </w:r>
          </w:p>
        </w:tc>
        <w:tc>
          <w:tcPr>
            <w:tcW w:w="1125" w:type="dxa"/>
          </w:tcPr>
          <w:p>
            <w:pPr>
              <w:pStyle w:val="19"/>
              <w:spacing w:before="45"/>
              <w:ind w:left="119" w:right="111"/>
              <w:rPr>
                <w:rFonts w:ascii="Times New Roman"/>
                <w:b/>
                <w:sz w:val="21"/>
              </w:rPr>
            </w:pPr>
            <w:r>
              <w:rPr>
                <w:rFonts w:ascii="Times New Roman"/>
                <w:b/>
                <w:position w:val="2"/>
                <w:sz w:val="21"/>
              </w:rPr>
              <w:t>NH</w:t>
            </w:r>
            <w:r>
              <w:rPr>
                <w:rFonts w:ascii="Times New Roman"/>
                <w:b/>
                <w:position w:val="2"/>
                <w:sz w:val="21"/>
                <w:vertAlign w:val="subscript"/>
              </w:rPr>
              <w:t>3</w:t>
            </w:r>
            <w:r>
              <w:rPr>
                <w:rFonts w:ascii="Times New Roman"/>
                <w:b/>
                <w:position w:val="2"/>
                <w:sz w:val="21"/>
                <w:vertAlign w:val="baseline"/>
              </w:rPr>
              <w:t>-N</w:t>
            </w:r>
          </w:p>
        </w:tc>
        <w:tc>
          <w:tcPr>
            <w:tcW w:w="1356" w:type="dxa"/>
          </w:tcPr>
          <w:p>
            <w:pPr>
              <w:pStyle w:val="19"/>
              <w:spacing w:before="34"/>
              <w:ind w:left="237" w:right="225"/>
              <w:rPr>
                <w:b/>
                <w:sz w:val="21"/>
              </w:rPr>
            </w:pPr>
            <w:r>
              <w:rPr>
                <w:b/>
                <w:sz w:val="21"/>
              </w:rPr>
              <w:t>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48" w:type="dxa"/>
            <w:vMerge w:val="restart"/>
          </w:tcPr>
          <w:p>
            <w:pPr>
              <w:pStyle w:val="19"/>
              <w:spacing w:before="110" w:line="213" w:lineRule="auto"/>
              <w:ind w:left="243" w:right="128" w:hanging="106"/>
              <w:jc w:val="left"/>
              <w:rPr>
                <w:sz w:val="21"/>
              </w:rPr>
            </w:pPr>
            <w:r>
              <w:rPr>
                <w:sz w:val="21"/>
              </w:rPr>
              <w:t>畜禽无害化处理车间化制废水</w:t>
            </w:r>
          </w:p>
        </w:tc>
        <w:tc>
          <w:tcPr>
            <w:tcW w:w="993" w:type="dxa"/>
            <w:vMerge w:val="restart"/>
          </w:tcPr>
          <w:p>
            <w:pPr>
              <w:pStyle w:val="19"/>
              <w:spacing w:before="6"/>
              <w:jc w:val="left"/>
              <w:rPr>
                <w:b/>
                <w:sz w:val="17"/>
              </w:rPr>
            </w:pPr>
          </w:p>
          <w:p>
            <w:pPr>
              <w:pStyle w:val="19"/>
              <w:ind w:left="264"/>
              <w:jc w:val="left"/>
              <w:rPr>
                <w:rFonts w:hint="default" w:ascii="Times New Roman" w:eastAsia="宋体"/>
                <w:sz w:val="21"/>
                <w:lang w:val="en-US" w:eastAsia="zh-CN"/>
              </w:rPr>
            </w:pPr>
            <w:r>
              <w:rPr>
                <w:rFonts w:hint="eastAsia" w:ascii="Times New Roman"/>
                <w:sz w:val="21"/>
                <w:lang w:val="en-US" w:eastAsia="zh-CN"/>
              </w:rPr>
              <w:t>7.2</w:t>
            </w:r>
          </w:p>
        </w:tc>
        <w:tc>
          <w:tcPr>
            <w:tcW w:w="1238" w:type="dxa"/>
          </w:tcPr>
          <w:p>
            <w:pPr>
              <w:pStyle w:val="19"/>
              <w:spacing w:before="34"/>
              <w:ind w:left="154"/>
              <w:jc w:val="left"/>
              <w:rPr>
                <w:rFonts w:ascii="Times New Roman" w:eastAsia="Times New Roman"/>
                <w:sz w:val="21"/>
              </w:rPr>
            </w:pPr>
            <w:r>
              <w:rPr>
                <w:sz w:val="21"/>
              </w:rPr>
              <w:t>浓度</w:t>
            </w:r>
            <w:r>
              <w:rPr>
                <w:rFonts w:ascii="Times New Roman" w:eastAsia="Times New Roman"/>
                <w:sz w:val="21"/>
              </w:rPr>
              <w:t>mg/L</w:t>
            </w:r>
          </w:p>
        </w:tc>
        <w:tc>
          <w:tcPr>
            <w:tcW w:w="937" w:type="dxa"/>
          </w:tcPr>
          <w:p>
            <w:pPr>
              <w:pStyle w:val="19"/>
              <w:spacing w:before="48"/>
              <w:ind w:left="151" w:right="143"/>
              <w:rPr>
                <w:rFonts w:ascii="Times New Roman"/>
                <w:sz w:val="21"/>
              </w:rPr>
            </w:pPr>
            <w:r>
              <w:rPr>
                <w:rFonts w:ascii="Times New Roman"/>
                <w:sz w:val="21"/>
              </w:rPr>
              <w:t>3500</w:t>
            </w:r>
          </w:p>
        </w:tc>
        <w:tc>
          <w:tcPr>
            <w:tcW w:w="1013" w:type="dxa"/>
          </w:tcPr>
          <w:p>
            <w:pPr>
              <w:pStyle w:val="19"/>
              <w:spacing w:before="48"/>
              <w:ind w:left="60" w:right="51"/>
              <w:rPr>
                <w:rFonts w:ascii="Times New Roman"/>
                <w:sz w:val="21"/>
              </w:rPr>
            </w:pPr>
            <w:r>
              <w:rPr>
                <w:rFonts w:ascii="Times New Roman"/>
                <w:sz w:val="21"/>
              </w:rPr>
              <w:t>2500</w:t>
            </w:r>
          </w:p>
        </w:tc>
        <w:tc>
          <w:tcPr>
            <w:tcW w:w="1125" w:type="dxa"/>
          </w:tcPr>
          <w:p>
            <w:pPr>
              <w:pStyle w:val="19"/>
              <w:spacing w:before="48"/>
              <w:ind w:left="118" w:right="111"/>
              <w:rPr>
                <w:rFonts w:ascii="Times New Roman"/>
                <w:sz w:val="21"/>
              </w:rPr>
            </w:pPr>
            <w:r>
              <w:rPr>
                <w:rFonts w:ascii="Times New Roman"/>
                <w:sz w:val="21"/>
              </w:rPr>
              <w:t>300</w:t>
            </w:r>
          </w:p>
        </w:tc>
        <w:tc>
          <w:tcPr>
            <w:tcW w:w="1356" w:type="dxa"/>
          </w:tcPr>
          <w:p>
            <w:pPr>
              <w:pStyle w:val="19"/>
              <w:spacing w:before="48"/>
              <w:ind w:left="233" w:right="225"/>
              <w:rPr>
                <w:rFonts w:ascii="Times New Roman"/>
                <w:sz w:val="21"/>
              </w:rPr>
            </w:pPr>
            <w:r>
              <w:rPr>
                <w:rFonts w:ascii="Times New Roman"/>
                <w:sz w:val="21"/>
              </w:rPr>
              <w:t>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48"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1238" w:type="dxa"/>
          </w:tcPr>
          <w:p>
            <w:pPr>
              <w:pStyle w:val="19"/>
              <w:spacing w:before="35"/>
              <w:ind w:left="171"/>
              <w:jc w:val="left"/>
              <w:rPr>
                <w:rFonts w:ascii="Times New Roman" w:eastAsia="Times New Roman"/>
                <w:sz w:val="21"/>
              </w:rPr>
            </w:pPr>
            <w:r>
              <w:rPr>
                <w:sz w:val="21"/>
              </w:rPr>
              <w:t>产生量</w:t>
            </w:r>
            <w:r>
              <w:rPr>
                <w:rFonts w:ascii="Times New Roman" w:eastAsia="Times New Roman"/>
                <w:sz w:val="21"/>
              </w:rPr>
              <w:t>t/a</w:t>
            </w:r>
          </w:p>
        </w:tc>
        <w:tc>
          <w:tcPr>
            <w:tcW w:w="937" w:type="dxa"/>
          </w:tcPr>
          <w:p>
            <w:pPr>
              <w:pStyle w:val="19"/>
              <w:spacing w:before="49"/>
              <w:ind w:left="151" w:right="143"/>
              <w:rPr>
                <w:rFonts w:ascii="Times New Roman"/>
                <w:sz w:val="21"/>
              </w:rPr>
            </w:pPr>
            <w:r>
              <w:rPr>
                <w:rFonts w:ascii="Times New Roman"/>
                <w:sz w:val="21"/>
              </w:rPr>
              <w:t>0.0402</w:t>
            </w:r>
          </w:p>
        </w:tc>
        <w:tc>
          <w:tcPr>
            <w:tcW w:w="1013" w:type="dxa"/>
          </w:tcPr>
          <w:p>
            <w:pPr>
              <w:pStyle w:val="19"/>
              <w:spacing w:before="49"/>
              <w:ind w:left="60" w:right="53"/>
              <w:rPr>
                <w:rFonts w:ascii="Times New Roman"/>
                <w:sz w:val="21"/>
              </w:rPr>
            </w:pPr>
            <w:r>
              <w:rPr>
                <w:rFonts w:ascii="Times New Roman"/>
                <w:sz w:val="21"/>
              </w:rPr>
              <w:t>0.0287</w:t>
            </w:r>
          </w:p>
        </w:tc>
        <w:tc>
          <w:tcPr>
            <w:tcW w:w="1125" w:type="dxa"/>
          </w:tcPr>
          <w:p>
            <w:pPr>
              <w:pStyle w:val="19"/>
              <w:spacing w:before="49"/>
              <w:ind w:left="120" w:right="110"/>
              <w:rPr>
                <w:rFonts w:ascii="Times New Roman"/>
                <w:sz w:val="21"/>
              </w:rPr>
            </w:pPr>
            <w:r>
              <w:rPr>
                <w:rFonts w:ascii="Times New Roman"/>
                <w:sz w:val="21"/>
              </w:rPr>
              <w:t>0.00345</w:t>
            </w:r>
          </w:p>
        </w:tc>
        <w:tc>
          <w:tcPr>
            <w:tcW w:w="1356" w:type="dxa"/>
          </w:tcPr>
          <w:p>
            <w:pPr>
              <w:pStyle w:val="19"/>
              <w:spacing w:before="49"/>
              <w:ind w:left="235" w:right="225"/>
              <w:rPr>
                <w:rFonts w:ascii="Times New Roman"/>
                <w:sz w:val="21"/>
              </w:rPr>
            </w:pPr>
            <w:r>
              <w:rPr>
                <w:rFonts w:ascii="Times New Roman"/>
                <w:sz w:val="21"/>
              </w:rPr>
              <w:t>0.00253</w:t>
            </w:r>
          </w:p>
        </w:tc>
      </w:tr>
    </w:tbl>
    <w:p>
      <w:pPr>
        <w:pStyle w:val="7"/>
        <w:spacing w:before="2"/>
        <w:ind w:left="0"/>
        <w:rPr>
          <w:b/>
          <w:sz w:val="22"/>
        </w:rPr>
      </w:pPr>
    </w:p>
    <w:p>
      <w:pPr>
        <w:pStyle w:val="18"/>
        <w:numPr>
          <w:ilvl w:val="0"/>
          <w:numId w:val="35"/>
        </w:numPr>
        <w:tabs>
          <w:tab w:val="left" w:pos="1621"/>
        </w:tabs>
        <w:spacing w:before="0" w:after="0" w:line="240" w:lineRule="auto"/>
        <w:ind w:left="1621" w:right="0" w:hanging="601"/>
        <w:jc w:val="left"/>
        <w:rPr>
          <w:sz w:val="24"/>
        </w:rPr>
      </w:pPr>
      <w:r>
        <w:rPr>
          <w:sz w:val="24"/>
        </w:rPr>
        <w:t>废水污染物治理及排放</w:t>
      </w:r>
    </w:p>
    <w:p>
      <w:pPr>
        <w:pStyle w:val="7"/>
        <w:spacing w:before="153" w:line="360" w:lineRule="auto"/>
        <w:ind w:right="577" w:firstLine="480"/>
      </w:pPr>
      <w:r>
        <w:rPr>
          <w:spacing w:val="-6"/>
        </w:rPr>
        <w:t>畜禽无害化处理车间化制废水进入废水槽，收集后拉运至</w:t>
      </w:r>
      <w:r>
        <w:rPr>
          <w:rFonts w:hint="eastAsia"/>
          <w:spacing w:val="-6"/>
          <w:lang w:val="en-US" w:eastAsia="zh-CN"/>
        </w:rPr>
        <w:t>莎车</w:t>
      </w:r>
      <w:r>
        <w:rPr>
          <w:spacing w:val="-6"/>
        </w:rPr>
        <w:t>县污水处理站</w:t>
      </w:r>
      <w:r>
        <w:t>处理，不外排。</w:t>
      </w:r>
    </w:p>
    <w:p>
      <w:pPr>
        <w:pStyle w:val="18"/>
        <w:numPr>
          <w:ilvl w:val="3"/>
          <w:numId w:val="31"/>
        </w:numPr>
        <w:tabs>
          <w:tab w:val="left" w:pos="1320"/>
        </w:tabs>
        <w:spacing w:before="0" w:after="0" w:line="266" w:lineRule="exact"/>
        <w:ind w:left="1320" w:right="0" w:hanging="780"/>
        <w:jc w:val="left"/>
        <w:rPr>
          <w:sz w:val="24"/>
        </w:rPr>
      </w:pPr>
      <w:bookmarkStart w:id="188" w:name="3.2.3.3 运营期噪声污染源分析"/>
      <w:bookmarkEnd w:id="188"/>
      <w:bookmarkStart w:id="189" w:name="3.2.3.3 运营期噪声污染源分析"/>
      <w:bookmarkEnd w:id="189"/>
      <w:r>
        <w:rPr>
          <w:sz w:val="24"/>
        </w:rPr>
        <w:t>运营期噪声污染源分析</w:t>
      </w:r>
    </w:p>
    <w:p>
      <w:pPr>
        <w:pStyle w:val="7"/>
        <w:spacing w:before="168"/>
        <w:ind w:left="1020"/>
      </w:pPr>
      <w:r>
        <w:t>本项目在运营期间噪声主要来源于羊舍畜禽叫声、养殖场风机</w:t>
      </w:r>
    </w:p>
    <w:p>
      <w:pPr>
        <w:pStyle w:val="7"/>
        <w:spacing w:before="143" w:line="364" w:lineRule="auto"/>
        <w:ind w:right="577"/>
      </w:pPr>
      <w:r>
        <w:rPr>
          <w:spacing w:val="-10"/>
        </w:rPr>
        <w:t>饲料混合机、铡草机等设备运行噪声以及运输车辆噪声等。本项目采取的减</w:t>
      </w:r>
      <w:r>
        <w:rPr>
          <w:spacing w:val="-1"/>
        </w:rPr>
        <w:t>噪措施有：①选用低噪设备；②加橡胶减震垫；③采用密闭式或选用较好的隔声材料；④在平面布置上，将高噪声的机泵布置在项目中部或东侧，远离场</w:t>
      </w:r>
      <w:r>
        <w:rPr>
          <w:spacing w:val="-10"/>
        </w:rPr>
        <w:t>界的区域，以减少对外环境的影响等。使得噪声经距离衰减、绿化阻挡后，场界</w:t>
      </w:r>
      <w:r>
        <w:t>噪声能够达到《工业企业厂界环境噪声排放标准》（</w:t>
      </w:r>
      <w:r>
        <w:rPr>
          <w:rFonts w:ascii="Times New Roman" w:eastAsia="Times New Roman"/>
        </w:rPr>
        <w:t>GB12348-2008</w:t>
      </w:r>
      <w:r>
        <w:t>）中</w:t>
      </w:r>
      <w:r>
        <w:rPr>
          <w:rFonts w:ascii="Times New Roman" w:eastAsia="Times New Roman"/>
        </w:rPr>
        <w:t>2</w:t>
      </w:r>
      <w:r>
        <w:t>类标准要求。</w:t>
      </w:r>
    </w:p>
    <w:p>
      <w:pPr>
        <w:pStyle w:val="7"/>
        <w:bidi w:val="0"/>
        <w:jc w:val="center"/>
      </w:pPr>
      <w:r>
        <w:t>表</w:t>
      </w:r>
      <w:r>
        <w:rPr>
          <w:rFonts w:ascii="Times New Roman" w:eastAsia="Times New Roman"/>
          <w:spacing w:val="-3"/>
        </w:rPr>
        <w:t>3.2-11</w:t>
      </w:r>
      <w:r>
        <w:rPr>
          <w:rFonts w:ascii="Times New Roman" w:eastAsia="Times New Roman"/>
          <w:spacing w:val="-3"/>
        </w:rPr>
        <w:tab/>
      </w:r>
      <w:r>
        <w:t>项目主要噪声源强表</w:t>
      </w:r>
      <w:r>
        <w:tab/>
      </w:r>
      <w:r>
        <w:t>单位：</w:t>
      </w:r>
      <w:r>
        <w:rPr>
          <w:rFonts w:ascii="Times New Roman" w:eastAsia="Times New Roman"/>
        </w:rPr>
        <w:t>dB</w:t>
      </w:r>
      <w:r>
        <w:t>（</w:t>
      </w:r>
      <w:r>
        <w:rPr>
          <w:rFonts w:ascii="Times New Roman" w:eastAsia="Times New Roman"/>
        </w:rPr>
        <w:t>A</w:t>
      </w:r>
      <w:r>
        <w:t>）</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3"/>
        <w:gridCol w:w="1035"/>
        <w:gridCol w:w="1476"/>
        <w:gridCol w:w="973"/>
        <w:gridCol w:w="2663"/>
        <w:gridCol w:w="1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253" w:type="dxa"/>
          </w:tcPr>
          <w:p>
            <w:pPr>
              <w:pStyle w:val="19"/>
              <w:spacing w:before="4"/>
              <w:jc w:val="left"/>
              <w:rPr>
                <w:b/>
                <w:sz w:val="18"/>
              </w:rPr>
            </w:pPr>
          </w:p>
          <w:p>
            <w:pPr>
              <w:pStyle w:val="19"/>
              <w:ind w:left="154" w:right="145"/>
              <w:rPr>
                <w:b/>
                <w:sz w:val="21"/>
              </w:rPr>
            </w:pPr>
            <w:r>
              <w:rPr>
                <w:b/>
                <w:sz w:val="21"/>
              </w:rPr>
              <w:t>种类</w:t>
            </w:r>
          </w:p>
        </w:tc>
        <w:tc>
          <w:tcPr>
            <w:tcW w:w="1035" w:type="dxa"/>
          </w:tcPr>
          <w:p>
            <w:pPr>
              <w:pStyle w:val="19"/>
              <w:spacing w:before="4"/>
              <w:jc w:val="left"/>
              <w:rPr>
                <w:b/>
                <w:sz w:val="18"/>
              </w:rPr>
            </w:pPr>
          </w:p>
          <w:p>
            <w:pPr>
              <w:pStyle w:val="19"/>
              <w:ind w:left="197" w:right="191"/>
              <w:rPr>
                <w:b/>
                <w:sz w:val="21"/>
              </w:rPr>
            </w:pPr>
            <w:r>
              <w:rPr>
                <w:b/>
                <w:sz w:val="21"/>
              </w:rPr>
              <w:t>来源</w:t>
            </w:r>
          </w:p>
        </w:tc>
        <w:tc>
          <w:tcPr>
            <w:tcW w:w="1476" w:type="dxa"/>
          </w:tcPr>
          <w:p>
            <w:pPr>
              <w:pStyle w:val="19"/>
              <w:spacing w:before="4"/>
              <w:jc w:val="left"/>
              <w:rPr>
                <w:b/>
                <w:sz w:val="18"/>
              </w:rPr>
            </w:pPr>
          </w:p>
          <w:p>
            <w:pPr>
              <w:pStyle w:val="19"/>
              <w:ind w:left="87" w:right="77"/>
              <w:rPr>
                <w:b/>
                <w:sz w:val="21"/>
              </w:rPr>
            </w:pPr>
            <w:r>
              <w:rPr>
                <w:b/>
                <w:sz w:val="21"/>
              </w:rPr>
              <w:t>产生方式</w:t>
            </w:r>
          </w:p>
        </w:tc>
        <w:tc>
          <w:tcPr>
            <w:tcW w:w="973" w:type="dxa"/>
          </w:tcPr>
          <w:p>
            <w:pPr>
              <w:pStyle w:val="19"/>
              <w:spacing w:before="78"/>
              <w:ind w:left="122"/>
              <w:jc w:val="left"/>
              <w:rPr>
                <w:rFonts w:ascii="Times New Roman" w:eastAsia="Times New Roman"/>
                <w:b/>
                <w:sz w:val="21"/>
              </w:rPr>
            </w:pPr>
            <w:r>
              <w:rPr>
                <w:b/>
                <w:sz w:val="21"/>
              </w:rPr>
              <w:t>源强</w:t>
            </w:r>
            <w:r>
              <w:rPr>
                <w:rFonts w:ascii="Times New Roman" w:eastAsia="Times New Roman"/>
                <w:b/>
                <w:sz w:val="21"/>
              </w:rPr>
              <w:t>dB</w:t>
            </w:r>
          </w:p>
          <w:p>
            <w:pPr>
              <w:pStyle w:val="19"/>
              <w:spacing w:before="43"/>
              <w:ind w:left="199"/>
              <w:jc w:val="left"/>
              <w:rPr>
                <w:b/>
                <w:sz w:val="21"/>
              </w:rPr>
            </w:pPr>
            <w:r>
              <w:rPr>
                <w:b/>
                <w:sz w:val="21"/>
              </w:rPr>
              <w:t>（</w:t>
            </w:r>
            <w:r>
              <w:rPr>
                <w:rFonts w:ascii="Times New Roman" w:eastAsia="Times New Roman"/>
                <w:b/>
                <w:sz w:val="21"/>
              </w:rPr>
              <w:t>A</w:t>
            </w:r>
            <w:r>
              <w:rPr>
                <w:b/>
                <w:sz w:val="21"/>
              </w:rPr>
              <w:t>）</w:t>
            </w:r>
          </w:p>
        </w:tc>
        <w:tc>
          <w:tcPr>
            <w:tcW w:w="2663" w:type="dxa"/>
          </w:tcPr>
          <w:p>
            <w:pPr>
              <w:pStyle w:val="19"/>
              <w:spacing w:before="4"/>
              <w:jc w:val="left"/>
              <w:rPr>
                <w:b/>
                <w:sz w:val="18"/>
              </w:rPr>
            </w:pPr>
          </w:p>
          <w:p>
            <w:pPr>
              <w:pStyle w:val="19"/>
              <w:ind w:left="574" w:right="562"/>
              <w:rPr>
                <w:b/>
                <w:sz w:val="21"/>
              </w:rPr>
            </w:pPr>
            <w:r>
              <w:rPr>
                <w:b/>
                <w:sz w:val="21"/>
              </w:rPr>
              <w:t>治理措施</w:t>
            </w:r>
          </w:p>
        </w:tc>
        <w:tc>
          <w:tcPr>
            <w:tcW w:w="1119" w:type="dxa"/>
          </w:tcPr>
          <w:p>
            <w:pPr>
              <w:pStyle w:val="19"/>
              <w:spacing w:before="78"/>
              <w:ind w:left="139"/>
              <w:jc w:val="left"/>
              <w:rPr>
                <w:b/>
                <w:sz w:val="21"/>
              </w:rPr>
            </w:pPr>
            <w:r>
              <w:rPr>
                <w:b/>
                <w:w w:val="95"/>
                <w:sz w:val="21"/>
              </w:rPr>
              <w:t>降噪效果</w:t>
            </w:r>
          </w:p>
          <w:p>
            <w:pPr>
              <w:pStyle w:val="19"/>
              <w:spacing w:before="43"/>
              <w:ind w:left="146"/>
              <w:jc w:val="left"/>
              <w:rPr>
                <w:b/>
                <w:sz w:val="21"/>
              </w:rPr>
            </w:pPr>
            <w:r>
              <w:rPr>
                <w:rFonts w:ascii="Times New Roman" w:eastAsia="Times New Roman"/>
                <w:b/>
                <w:sz w:val="21"/>
              </w:rPr>
              <w:t>dB</w:t>
            </w:r>
            <w:r>
              <w:rPr>
                <w:b/>
                <w:sz w:val="21"/>
              </w:rPr>
              <w:t>（</w:t>
            </w:r>
            <w:r>
              <w:rPr>
                <w:rFonts w:ascii="Times New Roman" w:eastAsia="Times New Roman"/>
                <w:b/>
                <w:sz w:val="21"/>
              </w:rPr>
              <w:t>A</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253" w:type="dxa"/>
          </w:tcPr>
          <w:p>
            <w:pPr>
              <w:pStyle w:val="19"/>
              <w:spacing w:before="161"/>
              <w:ind w:left="152" w:right="145"/>
              <w:rPr>
                <w:sz w:val="21"/>
              </w:rPr>
            </w:pPr>
            <w:r>
              <w:rPr>
                <w:sz w:val="21"/>
              </w:rPr>
              <w:t>羊叫</w:t>
            </w:r>
          </w:p>
        </w:tc>
        <w:tc>
          <w:tcPr>
            <w:tcW w:w="1035" w:type="dxa"/>
          </w:tcPr>
          <w:p>
            <w:pPr>
              <w:pStyle w:val="19"/>
              <w:spacing w:before="161"/>
              <w:ind w:left="195" w:right="191"/>
              <w:rPr>
                <w:sz w:val="21"/>
              </w:rPr>
            </w:pPr>
            <w:r>
              <w:rPr>
                <w:sz w:val="21"/>
              </w:rPr>
              <w:t>羊舍</w:t>
            </w:r>
          </w:p>
        </w:tc>
        <w:tc>
          <w:tcPr>
            <w:tcW w:w="1476" w:type="dxa"/>
          </w:tcPr>
          <w:p>
            <w:pPr>
              <w:pStyle w:val="19"/>
              <w:spacing w:before="161"/>
              <w:ind w:left="87" w:right="79"/>
              <w:rPr>
                <w:sz w:val="21"/>
              </w:rPr>
            </w:pPr>
            <w:r>
              <w:rPr>
                <w:sz w:val="21"/>
              </w:rPr>
              <w:t>流动、间歇性</w:t>
            </w:r>
          </w:p>
        </w:tc>
        <w:tc>
          <w:tcPr>
            <w:tcW w:w="973" w:type="dxa"/>
          </w:tcPr>
          <w:p>
            <w:pPr>
              <w:pStyle w:val="19"/>
              <w:spacing w:before="175"/>
              <w:ind w:left="222" w:right="211"/>
              <w:rPr>
                <w:rFonts w:ascii="Times New Roman"/>
                <w:sz w:val="21"/>
              </w:rPr>
            </w:pPr>
            <w:r>
              <w:rPr>
                <w:rFonts w:ascii="Times New Roman"/>
                <w:sz w:val="21"/>
              </w:rPr>
              <w:t>60-70</w:t>
            </w:r>
          </w:p>
        </w:tc>
        <w:tc>
          <w:tcPr>
            <w:tcW w:w="2663" w:type="dxa"/>
          </w:tcPr>
          <w:p>
            <w:pPr>
              <w:pStyle w:val="19"/>
              <w:spacing w:before="62" w:line="213" w:lineRule="auto"/>
              <w:ind w:left="491" w:right="21" w:hanging="384"/>
              <w:jc w:val="left"/>
              <w:rPr>
                <w:sz w:val="21"/>
              </w:rPr>
            </w:pPr>
            <w:r>
              <w:rPr>
                <w:sz w:val="21"/>
              </w:rPr>
              <w:t>隔声，喂足饲料和水，避免饥渴及突发性噪声</w:t>
            </w:r>
          </w:p>
        </w:tc>
        <w:tc>
          <w:tcPr>
            <w:tcW w:w="1119" w:type="dxa"/>
          </w:tcPr>
          <w:p>
            <w:pPr>
              <w:pStyle w:val="19"/>
              <w:spacing w:before="175"/>
              <w:ind w:left="453"/>
              <w:jc w:val="left"/>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53" w:type="dxa"/>
          </w:tcPr>
          <w:p>
            <w:pPr>
              <w:pStyle w:val="19"/>
              <w:spacing w:before="92"/>
              <w:ind w:left="217" w:right="143"/>
              <w:rPr>
                <w:sz w:val="21"/>
              </w:rPr>
            </w:pPr>
            <w:r>
              <w:rPr>
                <w:sz w:val="21"/>
              </w:rPr>
              <w:t>风机</w:t>
            </w:r>
          </w:p>
        </w:tc>
        <w:tc>
          <w:tcPr>
            <w:tcW w:w="1035" w:type="dxa"/>
          </w:tcPr>
          <w:p>
            <w:pPr>
              <w:pStyle w:val="19"/>
              <w:spacing w:before="92"/>
              <w:ind w:left="195" w:right="191"/>
              <w:rPr>
                <w:sz w:val="21"/>
              </w:rPr>
            </w:pPr>
            <w:r>
              <w:rPr>
                <w:sz w:val="21"/>
              </w:rPr>
              <w:t>羊舍</w:t>
            </w:r>
          </w:p>
        </w:tc>
        <w:tc>
          <w:tcPr>
            <w:tcW w:w="1476" w:type="dxa"/>
          </w:tcPr>
          <w:p>
            <w:pPr>
              <w:pStyle w:val="19"/>
              <w:spacing w:before="92"/>
              <w:ind w:left="87" w:right="79"/>
              <w:rPr>
                <w:sz w:val="21"/>
              </w:rPr>
            </w:pPr>
            <w:r>
              <w:rPr>
                <w:sz w:val="21"/>
              </w:rPr>
              <w:t>连续性</w:t>
            </w:r>
          </w:p>
        </w:tc>
        <w:tc>
          <w:tcPr>
            <w:tcW w:w="973" w:type="dxa"/>
          </w:tcPr>
          <w:p>
            <w:pPr>
              <w:pStyle w:val="19"/>
              <w:spacing w:before="106"/>
              <w:ind w:left="222" w:right="211"/>
              <w:rPr>
                <w:rFonts w:ascii="Times New Roman"/>
                <w:sz w:val="21"/>
              </w:rPr>
            </w:pPr>
            <w:r>
              <w:rPr>
                <w:rFonts w:ascii="Times New Roman"/>
                <w:sz w:val="21"/>
              </w:rPr>
              <w:t>65-75</w:t>
            </w:r>
          </w:p>
        </w:tc>
        <w:tc>
          <w:tcPr>
            <w:tcW w:w="2663" w:type="dxa"/>
            <w:vMerge w:val="restart"/>
          </w:tcPr>
          <w:p>
            <w:pPr>
              <w:pStyle w:val="19"/>
              <w:spacing w:before="5"/>
              <w:jc w:val="left"/>
              <w:rPr>
                <w:b/>
                <w:sz w:val="17"/>
              </w:rPr>
            </w:pPr>
          </w:p>
          <w:p>
            <w:pPr>
              <w:pStyle w:val="19"/>
              <w:spacing w:line="213" w:lineRule="auto"/>
              <w:ind w:left="280" w:right="23" w:hanging="173"/>
              <w:jc w:val="left"/>
              <w:rPr>
                <w:sz w:val="21"/>
              </w:rPr>
            </w:pPr>
            <w:r>
              <w:rPr>
                <w:sz w:val="21"/>
              </w:rPr>
              <w:t>选低噪声设备，墙体隔声，基础减振，消声，隔声</w:t>
            </w:r>
          </w:p>
        </w:tc>
        <w:tc>
          <w:tcPr>
            <w:tcW w:w="1119" w:type="dxa"/>
          </w:tcPr>
          <w:p>
            <w:pPr>
              <w:pStyle w:val="19"/>
              <w:spacing w:before="106"/>
              <w:ind w:left="453"/>
              <w:jc w:val="left"/>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253" w:type="dxa"/>
          </w:tcPr>
          <w:p>
            <w:pPr>
              <w:pStyle w:val="19"/>
              <w:spacing w:before="91"/>
              <w:ind w:left="77"/>
              <w:rPr>
                <w:sz w:val="21"/>
              </w:rPr>
            </w:pPr>
            <w:r>
              <w:rPr>
                <w:w w:val="99"/>
                <w:sz w:val="21"/>
              </w:rPr>
              <w:t>泵</w:t>
            </w:r>
          </w:p>
        </w:tc>
        <w:tc>
          <w:tcPr>
            <w:tcW w:w="1035" w:type="dxa"/>
          </w:tcPr>
          <w:p>
            <w:pPr>
              <w:pStyle w:val="19"/>
              <w:spacing w:before="91"/>
              <w:ind w:left="195" w:right="191"/>
              <w:rPr>
                <w:sz w:val="21"/>
              </w:rPr>
            </w:pPr>
            <w:r>
              <w:rPr>
                <w:sz w:val="21"/>
              </w:rPr>
              <w:t>泵房</w:t>
            </w:r>
          </w:p>
        </w:tc>
        <w:tc>
          <w:tcPr>
            <w:tcW w:w="1476" w:type="dxa"/>
          </w:tcPr>
          <w:p>
            <w:pPr>
              <w:pStyle w:val="19"/>
              <w:spacing w:before="91"/>
              <w:ind w:left="87" w:right="79"/>
              <w:rPr>
                <w:sz w:val="21"/>
              </w:rPr>
            </w:pPr>
            <w:r>
              <w:rPr>
                <w:sz w:val="21"/>
              </w:rPr>
              <w:t>固定、持续性</w:t>
            </w:r>
          </w:p>
        </w:tc>
        <w:tc>
          <w:tcPr>
            <w:tcW w:w="973" w:type="dxa"/>
          </w:tcPr>
          <w:p>
            <w:pPr>
              <w:pStyle w:val="19"/>
              <w:spacing w:before="105"/>
              <w:ind w:left="222" w:right="211"/>
              <w:rPr>
                <w:rFonts w:ascii="Times New Roman"/>
                <w:sz w:val="21"/>
              </w:rPr>
            </w:pPr>
            <w:r>
              <w:rPr>
                <w:rFonts w:ascii="Times New Roman"/>
                <w:sz w:val="21"/>
              </w:rPr>
              <w:t>70-75</w:t>
            </w:r>
          </w:p>
        </w:tc>
        <w:tc>
          <w:tcPr>
            <w:tcW w:w="2663" w:type="dxa"/>
            <w:vMerge w:val="continue"/>
            <w:tcBorders>
              <w:top w:val="nil"/>
            </w:tcBorders>
          </w:tcPr>
          <w:p>
            <w:pPr>
              <w:rPr>
                <w:sz w:val="2"/>
                <w:szCs w:val="2"/>
              </w:rPr>
            </w:pPr>
          </w:p>
        </w:tc>
        <w:tc>
          <w:tcPr>
            <w:tcW w:w="1119" w:type="dxa"/>
          </w:tcPr>
          <w:p>
            <w:pPr>
              <w:pStyle w:val="19"/>
              <w:spacing w:before="105"/>
              <w:ind w:left="453"/>
              <w:jc w:val="left"/>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1253" w:type="dxa"/>
          </w:tcPr>
          <w:p>
            <w:pPr>
              <w:pStyle w:val="19"/>
              <w:spacing w:before="1"/>
              <w:jc w:val="left"/>
              <w:rPr>
                <w:b/>
                <w:sz w:val="14"/>
              </w:rPr>
            </w:pPr>
          </w:p>
          <w:p>
            <w:pPr>
              <w:pStyle w:val="19"/>
              <w:spacing w:line="213" w:lineRule="auto"/>
              <w:ind w:left="449" w:right="56" w:hanging="315"/>
              <w:jc w:val="left"/>
              <w:rPr>
                <w:sz w:val="21"/>
              </w:rPr>
            </w:pPr>
            <w:r>
              <w:rPr>
                <w:sz w:val="21"/>
              </w:rPr>
              <w:t>无害化处理设备</w:t>
            </w:r>
          </w:p>
        </w:tc>
        <w:tc>
          <w:tcPr>
            <w:tcW w:w="1035" w:type="dxa"/>
          </w:tcPr>
          <w:p>
            <w:pPr>
              <w:pStyle w:val="19"/>
              <w:spacing w:before="61" w:line="213" w:lineRule="auto"/>
              <w:ind w:left="202" w:right="191"/>
              <w:rPr>
                <w:sz w:val="21"/>
              </w:rPr>
            </w:pPr>
            <w:r>
              <w:rPr>
                <w:sz w:val="21"/>
              </w:rPr>
              <w:t>无害化处理车间</w:t>
            </w:r>
          </w:p>
        </w:tc>
        <w:tc>
          <w:tcPr>
            <w:tcW w:w="1476" w:type="dxa"/>
          </w:tcPr>
          <w:p>
            <w:pPr>
              <w:pStyle w:val="19"/>
              <w:jc w:val="left"/>
              <w:rPr>
                <w:b/>
                <w:sz w:val="22"/>
              </w:rPr>
            </w:pPr>
          </w:p>
          <w:p>
            <w:pPr>
              <w:pStyle w:val="19"/>
              <w:spacing w:before="1"/>
              <w:ind w:left="87" w:right="79"/>
              <w:rPr>
                <w:sz w:val="21"/>
              </w:rPr>
            </w:pPr>
            <w:r>
              <w:rPr>
                <w:sz w:val="21"/>
              </w:rPr>
              <w:t>固定、持续性</w:t>
            </w:r>
          </w:p>
        </w:tc>
        <w:tc>
          <w:tcPr>
            <w:tcW w:w="973" w:type="dxa"/>
          </w:tcPr>
          <w:p>
            <w:pPr>
              <w:pStyle w:val="19"/>
              <w:spacing w:before="2"/>
              <w:jc w:val="left"/>
              <w:rPr>
                <w:b/>
                <w:sz w:val="23"/>
              </w:rPr>
            </w:pPr>
          </w:p>
          <w:p>
            <w:pPr>
              <w:pStyle w:val="19"/>
              <w:ind w:left="222" w:right="211"/>
              <w:rPr>
                <w:rFonts w:ascii="Times New Roman"/>
                <w:sz w:val="21"/>
              </w:rPr>
            </w:pPr>
            <w:r>
              <w:rPr>
                <w:rFonts w:ascii="Times New Roman"/>
                <w:sz w:val="21"/>
              </w:rPr>
              <w:t>70-85</w:t>
            </w:r>
          </w:p>
        </w:tc>
        <w:tc>
          <w:tcPr>
            <w:tcW w:w="2663" w:type="dxa"/>
          </w:tcPr>
          <w:p>
            <w:pPr>
              <w:pStyle w:val="19"/>
              <w:jc w:val="left"/>
              <w:rPr>
                <w:b/>
                <w:sz w:val="22"/>
              </w:rPr>
            </w:pPr>
          </w:p>
          <w:p>
            <w:pPr>
              <w:pStyle w:val="19"/>
              <w:spacing w:before="1"/>
              <w:ind w:left="574" w:right="569"/>
              <w:rPr>
                <w:sz w:val="21"/>
              </w:rPr>
            </w:pPr>
            <w:r>
              <w:rPr>
                <w:sz w:val="21"/>
              </w:rPr>
              <w:t>基础减振，消声</w:t>
            </w:r>
          </w:p>
        </w:tc>
        <w:tc>
          <w:tcPr>
            <w:tcW w:w="1119" w:type="dxa"/>
          </w:tcPr>
          <w:p>
            <w:pPr>
              <w:pStyle w:val="19"/>
              <w:spacing w:before="2"/>
              <w:jc w:val="left"/>
              <w:rPr>
                <w:b/>
                <w:sz w:val="23"/>
              </w:rPr>
            </w:pPr>
          </w:p>
          <w:p>
            <w:pPr>
              <w:pStyle w:val="19"/>
              <w:ind w:left="453"/>
              <w:jc w:val="left"/>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53" w:type="dxa"/>
          </w:tcPr>
          <w:p>
            <w:pPr>
              <w:pStyle w:val="19"/>
              <w:spacing w:before="91"/>
              <w:ind w:left="217" w:right="145"/>
              <w:rPr>
                <w:sz w:val="21"/>
              </w:rPr>
            </w:pPr>
            <w:r>
              <w:rPr>
                <w:sz w:val="21"/>
              </w:rPr>
              <w:t>运输车辆</w:t>
            </w:r>
          </w:p>
        </w:tc>
        <w:tc>
          <w:tcPr>
            <w:tcW w:w="1035" w:type="dxa"/>
          </w:tcPr>
          <w:p>
            <w:pPr>
              <w:pStyle w:val="19"/>
              <w:spacing w:before="91"/>
              <w:ind w:left="182" w:right="173"/>
              <w:rPr>
                <w:sz w:val="21"/>
              </w:rPr>
            </w:pPr>
            <w:r>
              <w:rPr>
                <w:sz w:val="21"/>
              </w:rPr>
              <w:t>养殖区</w:t>
            </w:r>
          </w:p>
        </w:tc>
        <w:tc>
          <w:tcPr>
            <w:tcW w:w="1476" w:type="dxa"/>
          </w:tcPr>
          <w:p>
            <w:pPr>
              <w:pStyle w:val="19"/>
              <w:spacing w:before="91"/>
              <w:ind w:left="87" w:right="79"/>
              <w:rPr>
                <w:sz w:val="21"/>
              </w:rPr>
            </w:pPr>
            <w:r>
              <w:rPr>
                <w:sz w:val="21"/>
              </w:rPr>
              <w:t>流动、间歇性</w:t>
            </w:r>
          </w:p>
        </w:tc>
        <w:tc>
          <w:tcPr>
            <w:tcW w:w="973" w:type="dxa"/>
          </w:tcPr>
          <w:p>
            <w:pPr>
              <w:pStyle w:val="19"/>
              <w:spacing w:before="105"/>
              <w:ind w:left="222" w:right="211"/>
              <w:rPr>
                <w:rFonts w:ascii="Times New Roman"/>
                <w:sz w:val="21"/>
              </w:rPr>
            </w:pPr>
            <w:r>
              <w:rPr>
                <w:rFonts w:ascii="Times New Roman"/>
                <w:sz w:val="21"/>
              </w:rPr>
              <w:t>75-85</w:t>
            </w:r>
          </w:p>
        </w:tc>
        <w:tc>
          <w:tcPr>
            <w:tcW w:w="2663" w:type="dxa"/>
          </w:tcPr>
          <w:p>
            <w:pPr>
              <w:pStyle w:val="19"/>
              <w:spacing w:before="91"/>
              <w:ind w:left="574" w:right="569"/>
              <w:rPr>
                <w:sz w:val="21"/>
              </w:rPr>
            </w:pPr>
            <w:r>
              <w:rPr>
                <w:sz w:val="21"/>
              </w:rPr>
              <w:t>禁止鸣笛、限速</w:t>
            </w:r>
          </w:p>
        </w:tc>
        <w:tc>
          <w:tcPr>
            <w:tcW w:w="1119" w:type="dxa"/>
          </w:tcPr>
          <w:p>
            <w:pPr>
              <w:pStyle w:val="19"/>
              <w:spacing w:before="105"/>
              <w:ind w:left="453"/>
              <w:jc w:val="left"/>
              <w:rPr>
                <w:rFonts w:ascii="Times New Roman"/>
                <w:sz w:val="21"/>
              </w:rPr>
            </w:pPr>
            <w:r>
              <w:rPr>
                <w:rFonts w:ascii="Times New Roman"/>
                <w:sz w:val="21"/>
              </w:rPr>
              <w:t>20</w:t>
            </w:r>
          </w:p>
        </w:tc>
      </w:tr>
    </w:tbl>
    <w:p>
      <w:pPr>
        <w:pStyle w:val="18"/>
        <w:numPr>
          <w:ilvl w:val="3"/>
          <w:numId w:val="31"/>
        </w:numPr>
        <w:tabs>
          <w:tab w:val="left" w:pos="1320"/>
        </w:tabs>
        <w:spacing w:before="89" w:after="0" w:line="240" w:lineRule="auto"/>
        <w:ind w:left="1320" w:right="0" w:hanging="780"/>
        <w:jc w:val="left"/>
        <w:rPr>
          <w:sz w:val="24"/>
        </w:rPr>
      </w:pPr>
      <w:bookmarkStart w:id="190" w:name="3.2.3.4 运营期固体废弃物污染源分析"/>
      <w:bookmarkEnd w:id="190"/>
      <w:bookmarkStart w:id="191" w:name="3.2.3.4 运营期固体废弃物污染源分析"/>
      <w:bookmarkEnd w:id="191"/>
      <w:r>
        <w:rPr>
          <w:sz w:val="24"/>
        </w:rPr>
        <w:t>运营期固体废弃物污染源分析</w:t>
      </w:r>
    </w:p>
    <w:p>
      <w:pPr>
        <w:pStyle w:val="7"/>
        <w:spacing w:before="168" w:line="364" w:lineRule="auto"/>
        <w:ind w:right="575" w:firstLine="480"/>
      </w:pPr>
      <w:r>
        <w:rPr>
          <w:spacing w:val="-6"/>
        </w:rPr>
        <w:t>本项目产生的固体废物主要为羊粪及粪渣、废弃垫料、病死羊及分娩物、医</w:t>
      </w:r>
      <w:r>
        <w:t>疗垃圾、生活垃圾。</w:t>
      </w:r>
    </w:p>
    <w:p>
      <w:pPr>
        <w:pStyle w:val="18"/>
        <w:numPr>
          <w:ilvl w:val="0"/>
          <w:numId w:val="36"/>
        </w:numPr>
        <w:tabs>
          <w:tab w:val="left" w:pos="1621"/>
        </w:tabs>
        <w:spacing w:before="1" w:after="0" w:line="240" w:lineRule="auto"/>
        <w:ind w:left="1621" w:right="0" w:hanging="601"/>
        <w:jc w:val="left"/>
        <w:rPr>
          <w:sz w:val="24"/>
        </w:rPr>
      </w:pPr>
      <w:r>
        <w:rPr>
          <w:sz w:val="24"/>
        </w:rPr>
        <w:t>羊粪及粪渣</w:t>
      </w:r>
    </w:p>
    <w:p>
      <w:pPr>
        <w:pStyle w:val="7"/>
        <w:spacing w:before="161" w:line="364" w:lineRule="auto"/>
        <w:ind w:right="572" w:firstLine="480"/>
        <w:jc w:val="both"/>
        <w:rPr>
          <w:color w:val="0000FF"/>
        </w:rPr>
      </w:pPr>
      <w:r>
        <w:rPr>
          <w:color w:val="0000FF"/>
          <w:spacing w:val="-6"/>
        </w:rPr>
        <w:t>根据《畜禽养殖业污染治理工程技术规范》</w:t>
      </w:r>
      <w:r>
        <w:rPr>
          <w:color w:val="0000FF"/>
        </w:rPr>
        <w:t>（</w:t>
      </w:r>
      <w:r>
        <w:rPr>
          <w:rFonts w:ascii="Times New Roman" w:eastAsia="Times New Roman"/>
          <w:color w:val="0000FF"/>
        </w:rPr>
        <w:t>HJ497-2009</w:t>
      </w:r>
      <w:r>
        <w:rPr>
          <w:color w:val="0000FF"/>
        </w:rPr>
        <w:t>）</w:t>
      </w:r>
      <w:r>
        <w:rPr>
          <w:color w:val="0000FF"/>
          <w:spacing w:val="-6"/>
        </w:rPr>
        <w:t>和《畜禽养殖业</w:t>
      </w:r>
      <w:r>
        <w:rPr>
          <w:color w:val="0000FF"/>
        </w:rPr>
        <w:t>污染防治技术规范》（</w:t>
      </w:r>
      <w:r>
        <w:rPr>
          <w:rFonts w:ascii="Times New Roman" w:eastAsia="Times New Roman"/>
          <w:color w:val="0000FF"/>
        </w:rPr>
        <w:t>HT/T81-2001</w:t>
      </w:r>
      <w:r>
        <w:rPr>
          <w:color w:val="0000FF"/>
        </w:rPr>
        <w:t>）的要求，新建畜禽养殖场采取干法清粪工</w:t>
      </w:r>
      <w:r>
        <w:rPr>
          <w:color w:val="0000FF"/>
          <w:spacing w:val="-10"/>
        </w:rPr>
        <w:t>艺，采取人工或机械方式将牲畜类便及时、单独清出。根据生态与农村环境学报</w:t>
      </w:r>
    </w:p>
    <w:p>
      <w:pPr>
        <w:pStyle w:val="7"/>
        <w:spacing w:before="2" w:line="364" w:lineRule="auto"/>
        <w:ind w:right="457"/>
        <w:rPr>
          <w:color w:val="0000FF"/>
        </w:rPr>
      </w:pPr>
      <w:r>
        <w:rPr>
          <w:color w:val="0000FF"/>
          <w:spacing w:val="-13"/>
        </w:rPr>
        <w:t>《集约化养殖场羊与羊粪尿产生量的监测》可知，每只羊每天可产生羊粪</w:t>
      </w:r>
      <w:r>
        <w:rPr>
          <w:rFonts w:ascii="Times New Roman" w:eastAsia="Times New Roman"/>
          <w:color w:val="0000FF"/>
          <w:spacing w:val="-3"/>
        </w:rPr>
        <w:t>1.09kg</w:t>
      </w:r>
      <w:r>
        <w:rPr>
          <w:color w:val="0000FF"/>
          <w:spacing w:val="-3"/>
        </w:rPr>
        <w:t>，</w:t>
      </w:r>
      <w:r>
        <w:rPr>
          <w:color w:val="0000FF"/>
          <w:spacing w:val="-6"/>
        </w:rPr>
        <w:t>本项目肉羊存栏量</w:t>
      </w:r>
      <w:r>
        <w:rPr>
          <w:rFonts w:hint="eastAsia"/>
          <w:color w:val="0000FF"/>
          <w:spacing w:val="-6"/>
          <w:lang w:val="en-US" w:eastAsia="zh-CN"/>
        </w:rPr>
        <w:t>10</w:t>
      </w:r>
      <w:r>
        <w:rPr>
          <w:color w:val="0000FF"/>
          <w:spacing w:val="2"/>
        </w:rPr>
        <w:t>万只</w:t>
      </w:r>
      <w:r>
        <w:rPr>
          <w:rFonts w:ascii="Times New Roman" w:eastAsia="Times New Roman"/>
          <w:color w:val="0000FF"/>
        </w:rPr>
        <w:t>/a</w:t>
      </w:r>
      <w:r>
        <w:rPr>
          <w:color w:val="0000FF"/>
          <w:spacing w:val="-3"/>
        </w:rPr>
        <w:t>，由此计算得出，本项目羊粪产生量为</w:t>
      </w:r>
      <w:r>
        <w:rPr>
          <w:rFonts w:hint="eastAsia"/>
          <w:color w:val="0000FF"/>
          <w:spacing w:val="-3"/>
          <w:lang w:val="en-US" w:eastAsia="zh-CN"/>
        </w:rPr>
        <w:t>39785</w:t>
      </w:r>
      <w:r>
        <w:rPr>
          <w:rFonts w:ascii="Times New Roman" w:eastAsia="Times New Roman"/>
          <w:color w:val="0000FF"/>
        </w:rPr>
        <w:t>t/a</w:t>
      </w:r>
      <w:r>
        <w:rPr>
          <w:color w:val="0000FF"/>
        </w:rPr>
        <w:t>，每天产生的粪便由人工清理至堆肥厂通过高温堆肥发酵处理方式对固体粪污进</w:t>
      </w:r>
      <w:r>
        <w:rPr>
          <w:color w:val="0000FF"/>
          <w:spacing w:val="-3"/>
        </w:rPr>
        <w:t>行无害化处理，符合《粪便无害化卫生要求》</w:t>
      </w:r>
      <w:r>
        <w:rPr>
          <w:color w:val="0000FF"/>
        </w:rPr>
        <w:t>（</w:t>
      </w:r>
      <w:r>
        <w:rPr>
          <w:rFonts w:ascii="Times New Roman" w:eastAsia="Times New Roman"/>
          <w:color w:val="0000FF"/>
        </w:rPr>
        <w:t>GB7959-2012</w:t>
      </w:r>
      <w:r>
        <w:rPr>
          <w:color w:val="0000FF"/>
        </w:rPr>
        <w:t>）</w:t>
      </w:r>
      <w:r>
        <w:rPr>
          <w:color w:val="0000FF"/>
          <w:spacing w:val="-2"/>
        </w:rPr>
        <w:t>后，外售给附近</w:t>
      </w:r>
      <w:r>
        <w:rPr>
          <w:color w:val="0000FF"/>
          <w:spacing w:val="-9"/>
        </w:rPr>
        <w:t>村民，直接还田进行土地利用，禁止未经处理的畜禽粪便直接施入农田。环评要</w:t>
      </w:r>
      <w:r>
        <w:rPr>
          <w:color w:val="0000FF"/>
          <w:spacing w:val="-14"/>
        </w:rPr>
        <w:t>求堆肥厂必须建设遮雨棚、防风墙、截洪沟，防止雨水对羊粪的冲刷造成水体污染。同时，羊粪不能直接堆放裸露地面，堆方场所必须要有防渗漏、溢流措施。</w:t>
      </w:r>
    </w:p>
    <w:p>
      <w:pPr>
        <w:pStyle w:val="18"/>
        <w:numPr>
          <w:ilvl w:val="0"/>
          <w:numId w:val="36"/>
        </w:numPr>
        <w:tabs>
          <w:tab w:val="left" w:pos="1621"/>
        </w:tabs>
        <w:spacing w:before="4" w:after="0" w:line="240" w:lineRule="auto"/>
        <w:ind w:left="1621" w:right="0" w:hanging="601"/>
        <w:jc w:val="left"/>
        <w:rPr>
          <w:sz w:val="24"/>
        </w:rPr>
      </w:pPr>
      <w:r>
        <w:rPr>
          <w:sz w:val="24"/>
        </w:rPr>
        <w:t>废弃垫料</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right="220" w:rightChars="100" w:firstLine="464" w:firstLineChars="200"/>
        <w:textAlignment w:val="auto"/>
        <w:rPr>
          <w:color w:val="0000FF"/>
        </w:rPr>
      </w:pPr>
      <w:r>
        <w:rPr>
          <w:color w:val="0000FF"/>
          <w:spacing w:val="-4"/>
        </w:rPr>
        <w:t>本项目养殖场每栋羊舍地面为混凝土地面，上端覆盖</w:t>
      </w:r>
      <w:r>
        <w:rPr>
          <w:rFonts w:ascii="Times New Roman" w:eastAsia="Times New Roman"/>
          <w:color w:val="0000FF"/>
        </w:rPr>
        <w:t>35cm</w:t>
      </w:r>
      <w:r>
        <w:rPr>
          <w:color w:val="0000FF"/>
          <w:spacing w:val="-4"/>
        </w:rPr>
        <w:t>厚垫料，铺设垫</w:t>
      </w:r>
      <w:r>
        <w:rPr>
          <w:color w:val="0000FF"/>
          <w:spacing w:val="-10"/>
        </w:rPr>
        <w:t>床一般采用废气杂草、农作物秸秆粉、锯末等农业材料，羊排泄的尿液和粪便进</w:t>
      </w:r>
      <w:r>
        <w:rPr>
          <w:color w:val="0000FF"/>
          <w:spacing w:val="9"/>
        </w:rPr>
        <w:t>入垫料，经羊踩结形成粪床。一般羊舍的垫料约</w:t>
      </w:r>
      <w:r>
        <w:rPr>
          <w:rFonts w:ascii="Times New Roman" w:eastAsia="Times New Roman"/>
          <w:color w:val="0000FF"/>
        </w:rPr>
        <w:t>2.5kg/m</w:t>
      </w:r>
      <w:r>
        <w:rPr>
          <w:rFonts w:ascii="Times New Roman" w:eastAsia="Times New Roman"/>
          <w:color w:val="0000FF"/>
          <w:position w:val="8"/>
          <w:sz w:val="15"/>
        </w:rPr>
        <w:t>2</w:t>
      </w:r>
      <w:r>
        <w:rPr>
          <w:color w:val="0000FF"/>
          <w:spacing w:val="11"/>
        </w:rPr>
        <w:t>，羊舍总建筑面积</w:t>
      </w:r>
      <w:r>
        <w:rPr>
          <w:rFonts w:hint="eastAsia"/>
          <w:color w:val="0000FF"/>
          <w:spacing w:val="11"/>
          <w:lang w:val="en-US" w:eastAsia="zh-CN"/>
        </w:rPr>
        <w:t>9600</w:t>
      </w:r>
      <w:r>
        <w:rPr>
          <w:rFonts w:ascii="Times New Roman" w:eastAsia="Times New Roman"/>
          <w:color w:val="0000FF"/>
          <w:spacing w:val="-2"/>
        </w:rPr>
        <w:t>m</w:t>
      </w:r>
      <w:r>
        <w:rPr>
          <w:rFonts w:ascii="Times New Roman" w:eastAsia="Times New Roman"/>
          <w:color w:val="0000FF"/>
          <w:spacing w:val="1"/>
          <w:w w:val="104"/>
          <w:position w:val="8"/>
          <w:sz w:val="15"/>
        </w:rPr>
        <w:t>2</w:t>
      </w:r>
      <w:r>
        <w:rPr>
          <w:color w:val="0000FF"/>
          <w:spacing w:val="-11"/>
        </w:rPr>
        <w:t>，因此本项目最终废弃垫料的产生量为</w:t>
      </w:r>
      <w:r>
        <w:rPr>
          <w:rFonts w:hint="eastAsia" w:ascii="Times New Roman" w:eastAsia="宋体"/>
          <w:color w:val="0000FF"/>
          <w:lang w:val="en-US" w:eastAsia="zh-CN"/>
        </w:rPr>
        <w:t>24</w:t>
      </w:r>
      <w:r>
        <w:rPr>
          <w:rFonts w:ascii="Times New Roman" w:eastAsia="Times New Roman"/>
          <w:color w:val="0000FF"/>
        </w:rPr>
        <w:t>t/</w:t>
      </w:r>
      <w:r>
        <w:rPr>
          <w:rFonts w:ascii="Times New Roman" w:eastAsia="Times New Roman"/>
          <w:color w:val="0000FF"/>
          <w:spacing w:val="-1"/>
        </w:rPr>
        <w:t>a</w:t>
      </w:r>
      <w:r>
        <w:rPr>
          <w:color w:val="0000FF"/>
          <w:spacing w:val="-9"/>
        </w:rPr>
        <w:t>。根据业主提供的资料，</w:t>
      </w:r>
      <w:r>
        <w:rPr>
          <w:color w:val="0000FF"/>
          <w:spacing w:val="-15"/>
        </w:rPr>
        <w:t>粪床每</w:t>
      </w:r>
      <w:r>
        <w:rPr>
          <w:rFonts w:ascii="Times New Roman" w:eastAsia="Times New Roman"/>
          <w:color w:val="0000FF"/>
        </w:rPr>
        <w:t>1</w:t>
      </w:r>
      <w:r>
        <w:rPr>
          <w:color w:val="0000FF"/>
          <w:spacing w:val="-10"/>
        </w:rPr>
        <w:t>年清理一次，垫料层与羊粪一起进入堆肥厂高温发酵无害化处理，不外</w:t>
      </w:r>
      <w:r>
        <w:rPr>
          <w:color w:val="0000FF"/>
        </w:rPr>
        <w:t>排，实现综合利用。</w:t>
      </w:r>
    </w:p>
    <w:p>
      <w:pPr>
        <w:pStyle w:val="18"/>
        <w:numPr>
          <w:ilvl w:val="0"/>
          <w:numId w:val="36"/>
        </w:numPr>
        <w:tabs>
          <w:tab w:val="left" w:pos="1621"/>
        </w:tabs>
        <w:spacing w:before="0" w:after="0" w:line="307" w:lineRule="exact"/>
        <w:ind w:left="1621" w:right="0" w:hanging="601"/>
        <w:jc w:val="left"/>
        <w:rPr>
          <w:sz w:val="24"/>
        </w:rPr>
      </w:pPr>
      <w:r>
        <w:rPr>
          <w:sz w:val="24"/>
        </w:rPr>
        <w:t>病死羊</w:t>
      </w:r>
    </w:p>
    <w:p>
      <w:pPr>
        <w:pStyle w:val="7"/>
        <w:spacing w:before="151" w:line="360" w:lineRule="auto"/>
        <w:ind w:right="365" w:firstLine="480"/>
      </w:pPr>
      <w:r>
        <w:rPr>
          <w:spacing w:val="-7"/>
        </w:rPr>
        <w:t>根据环办函</w:t>
      </w:r>
      <w:r>
        <w:rPr>
          <w:spacing w:val="-4"/>
        </w:rPr>
        <w:t>［</w:t>
      </w:r>
      <w:r>
        <w:rPr>
          <w:rFonts w:ascii="Times New Roman" w:hAnsi="Times New Roman" w:eastAsia="Times New Roman"/>
          <w:spacing w:val="-4"/>
        </w:rPr>
        <w:t>2014</w:t>
      </w:r>
      <w:r>
        <w:rPr>
          <w:spacing w:val="-4"/>
        </w:rPr>
        <w:t>］</w:t>
      </w:r>
      <w:r>
        <w:rPr>
          <w:rFonts w:ascii="Times New Roman" w:hAnsi="Times New Roman" w:eastAsia="Times New Roman"/>
          <w:spacing w:val="-4"/>
        </w:rPr>
        <w:t>789</w:t>
      </w:r>
      <w:r>
        <w:rPr>
          <w:spacing w:val="-9"/>
        </w:rPr>
        <w:t>号文《关于病害动物无害化处理有关意见的复函》：</w:t>
      </w:r>
      <w:r>
        <w:t>“病害动物无害化处理项目由农业部门按照有关法律法规和技术规范进行监管，</w:t>
      </w:r>
      <w:r>
        <w:rPr>
          <w:spacing w:val="-4"/>
        </w:rPr>
        <w:t>可以实现病害动物无害化处理和环境污染防控的目的，不宜再认定为危险废物集中处置项目。病害动物的无害化处理应执行《动物防治法》。”</w:t>
      </w:r>
    </w:p>
    <w:p>
      <w:pPr>
        <w:pStyle w:val="7"/>
        <w:keepNext w:val="0"/>
        <w:keepLines w:val="0"/>
        <w:pageBreakBefore w:val="0"/>
        <w:widowControl w:val="0"/>
        <w:kinsoku/>
        <w:wordWrap/>
        <w:overflowPunct/>
        <w:topLinePunct w:val="0"/>
        <w:autoSpaceDE w:val="0"/>
        <w:autoSpaceDN w:val="0"/>
        <w:bidi w:val="0"/>
        <w:adjustRightInd/>
        <w:snapToGrid/>
        <w:spacing w:before="156" w:line="360" w:lineRule="auto"/>
        <w:ind w:left="539" w:right="363" w:firstLine="480" w:firstLineChars="200"/>
        <w:textAlignment w:val="auto"/>
        <w:rPr>
          <w:color w:val="0000FF"/>
        </w:rPr>
      </w:pPr>
      <w:r>
        <w:rPr>
          <w:color w:val="0000FF"/>
        </w:rPr>
        <w:t>类比分析，羊的病死率按</w:t>
      </w:r>
      <w:r>
        <w:rPr>
          <w:rFonts w:ascii="Times New Roman" w:eastAsia="Times New Roman"/>
          <w:color w:val="0000FF"/>
        </w:rPr>
        <w:t>0.5%</w:t>
      </w:r>
      <w:r>
        <w:rPr>
          <w:color w:val="0000FF"/>
        </w:rPr>
        <w:t>计，羊只出栏量</w:t>
      </w:r>
      <w:r>
        <w:rPr>
          <w:rFonts w:ascii="Times New Roman" w:eastAsia="Times New Roman"/>
          <w:color w:val="0000FF"/>
        </w:rPr>
        <w:t>4</w:t>
      </w:r>
      <w:r>
        <w:rPr>
          <w:color w:val="0000FF"/>
        </w:rPr>
        <w:t>万只，则年死亡羊</w:t>
      </w:r>
      <w:r>
        <w:rPr>
          <w:rFonts w:hint="eastAsia" w:ascii="Times New Roman" w:eastAsia="宋体"/>
          <w:color w:val="0000FF"/>
          <w:lang w:val="en-US" w:eastAsia="zh-CN"/>
        </w:rPr>
        <w:t>200</w:t>
      </w:r>
      <w:r>
        <w:rPr>
          <w:color w:val="0000FF"/>
        </w:rPr>
        <w:t>只，每只羊重约</w:t>
      </w:r>
      <w:r>
        <w:rPr>
          <w:rFonts w:ascii="Times New Roman" w:eastAsia="Times New Roman"/>
          <w:color w:val="0000FF"/>
        </w:rPr>
        <w:t>40kg</w:t>
      </w:r>
      <w:r>
        <w:rPr>
          <w:color w:val="0000FF"/>
        </w:rPr>
        <w:t>，合计</w:t>
      </w:r>
      <w:r>
        <w:rPr>
          <w:rFonts w:ascii="Times New Roman" w:eastAsia="Times New Roman"/>
          <w:color w:val="0000FF"/>
        </w:rPr>
        <w:t>8t</w:t>
      </w:r>
      <w:r>
        <w:rPr>
          <w:color w:val="0000FF"/>
        </w:rPr>
        <w:t>。本项目运营期估算病死羊量约</w:t>
      </w:r>
      <w:r>
        <w:rPr>
          <w:rFonts w:ascii="Times New Roman" w:eastAsia="Times New Roman"/>
          <w:color w:val="0000FF"/>
        </w:rPr>
        <w:t>8t/a</w:t>
      </w:r>
      <w:r>
        <w:rPr>
          <w:color w:val="0000FF"/>
        </w:rPr>
        <w:t>。病病羊进入隔离室进行注射治疗，治理康复后继续饲养，疫病羊按照《病</w:t>
      </w:r>
      <w:r>
        <w:rPr>
          <w:color w:val="0000FF"/>
          <w:spacing w:val="-2"/>
        </w:rPr>
        <w:t>害动物和病害动物产品生物安全处理规程》</w:t>
      </w:r>
      <w:r>
        <w:rPr>
          <w:color w:val="0000FF"/>
        </w:rPr>
        <w:t>（</w:t>
      </w:r>
      <w:r>
        <w:rPr>
          <w:rFonts w:ascii="Times New Roman" w:hAnsi="Times New Roman" w:eastAsia="Times New Roman"/>
          <w:color w:val="0000FF"/>
        </w:rPr>
        <w:t>GB16548-2006</w:t>
      </w:r>
      <w:r>
        <w:rPr>
          <w:color w:val="0000FF"/>
        </w:rPr>
        <w:t>）</w:t>
      </w:r>
      <w:r>
        <w:rPr>
          <w:color w:val="0000FF"/>
          <w:spacing w:val="-3"/>
        </w:rPr>
        <w:t>的相关要求，</w:t>
      </w:r>
      <w:r>
        <w:rPr>
          <w:color w:val="0000FF"/>
          <w:spacing w:val="-8"/>
        </w:rPr>
        <w:t>“确认为口蹄疫、瘟、传染性胸膜肺炎、海绵状脑病绵羊痘、山羊痘、山羊关节</w:t>
      </w:r>
      <w:r>
        <w:rPr>
          <w:color w:val="0000FF"/>
          <w:spacing w:val="-12"/>
        </w:rPr>
        <w:t>炎脑炎、高致病性禽流感、羊快疫、羊肠毒血症、羊猝狙以及其他严重危害人畜健康的病害动物及其产品”必须予以销毁。</w:t>
      </w:r>
    </w:p>
    <w:p>
      <w:pPr>
        <w:pStyle w:val="7"/>
        <w:spacing w:line="360" w:lineRule="auto"/>
        <w:ind w:right="577" w:firstLine="480"/>
        <w:jc w:val="both"/>
      </w:pPr>
      <w:r>
        <w:rPr>
          <w:spacing w:val="-6"/>
        </w:rPr>
        <w:t>本项目病死羊采用干化法畜禽无害化处理方式处理。计划项目区拟建畜禽无</w:t>
      </w:r>
      <w:r>
        <w:rPr>
          <w:spacing w:val="-2"/>
        </w:rPr>
        <w:t>害化处理车间，并购进畜禽无害化处理</w:t>
      </w:r>
      <w:r>
        <w:rPr>
          <w:rFonts w:ascii="Times New Roman" w:eastAsia="Times New Roman"/>
        </w:rPr>
        <w:t>1</w:t>
      </w:r>
      <w:r>
        <w:t>吨</w:t>
      </w:r>
      <w:r>
        <w:rPr>
          <w:rFonts w:ascii="Times New Roman" w:eastAsia="Times New Roman"/>
        </w:rPr>
        <w:t>/</w:t>
      </w:r>
      <w:r>
        <w:t>次成套设备，采用高温高压灭菌技</w:t>
      </w:r>
      <w:r>
        <w:rPr>
          <w:spacing w:val="-12"/>
        </w:rPr>
        <w:t>术，大型动物无需肢解，可直接进行处理，处理后的产物可出售给肉骨粉干品生</w:t>
      </w:r>
      <w:r>
        <w:t>产厂和工业用油脂厂，综合利用，符合国家防疫法规要求。</w:t>
      </w:r>
    </w:p>
    <w:p>
      <w:pPr>
        <w:pStyle w:val="18"/>
        <w:numPr>
          <w:ilvl w:val="0"/>
          <w:numId w:val="36"/>
        </w:numPr>
        <w:tabs>
          <w:tab w:val="left" w:pos="1621"/>
        </w:tabs>
        <w:spacing w:before="0" w:after="0" w:line="301" w:lineRule="exact"/>
        <w:ind w:left="1621" w:right="0" w:hanging="601"/>
        <w:jc w:val="left"/>
        <w:rPr>
          <w:sz w:val="24"/>
        </w:rPr>
      </w:pPr>
      <w:r>
        <w:rPr>
          <w:sz w:val="24"/>
        </w:rPr>
        <w:t>肉骨粉和油脂</w:t>
      </w:r>
    </w:p>
    <w:p>
      <w:pPr>
        <w:pStyle w:val="7"/>
        <w:keepNext w:val="0"/>
        <w:keepLines w:val="0"/>
        <w:pageBreakBefore w:val="0"/>
        <w:widowControl w:val="0"/>
        <w:kinsoku/>
        <w:wordWrap/>
        <w:overflowPunct/>
        <w:topLinePunct w:val="0"/>
        <w:autoSpaceDE w:val="0"/>
        <w:autoSpaceDN w:val="0"/>
        <w:bidi w:val="0"/>
        <w:adjustRightInd/>
        <w:snapToGrid/>
        <w:spacing w:before="150" w:line="360" w:lineRule="auto"/>
        <w:ind w:left="567" w:right="578" w:firstLine="482"/>
        <w:textAlignment w:val="auto"/>
        <w:rPr>
          <w:color w:val="0000FF"/>
        </w:rPr>
      </w:pPr>
      <w:r>
        <w:rPr>
          <w:color w:val="0000FF"/>
          <w:spacing w:val="-5"/>
        </w:rPr>
        <w:t>本项目病死畜禽无害化处理最终得到肉骨粉干品和工业用油脂。据调查每处理一吨病死动物，产出肉骨粉</w:t>
      </w:r>
      <w:r>
        <w:rPr>
          <w:rFonts w:ascii="Times New Roman" w:eastAsia="Times New Roman"/>
          <w:color w:val="0000FF"/>
        </w:rPr>
        <w:t>330kg</w:t>
      </w:r>
      <w:r>
        <w:rPr>
          <w:color w:val="0000FF"/>
          <w:spacing w:val="-6"/>
        </w:rPr>
        <w:t>左右、产出工业用油脂</w:t>
      </w:r>
      <w:r>
        <w:rPr>
          <w:rFonts w:ascii="Times New Roman" w:eastAsia="Times New Roman"/>
          <w:color w:val="0000FF"/>
        </w:rPr>
        <w:t>130kg</w:t>
      </w:r>
      <w:r>
        <w:rPr>
          <w:color w:val="0000FF"/>
        </w:rPr>
        <w:t>左右。</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220" w:rightChars="100" w:firstLine="480" w:firstLineChars="200"/>
        <w:textAlignment w:val="auto"/>
        <w:rPr>
          <w:color w:val="0000FF"/>
        </w:rPr>
      </w:pPr>
      <w:r>
        <w:rPr>
          <w:color w:val="0000FF"/>
        </w:rPr>
        <w:t>本项目年处理病死羊量为</w:t>
      </w:r>
      <w:r>
        <w:rPr>
          <w:rFonts w:hint="eastAsia"/>
          <w:color w:val="0000FF"/>
          <w:lang w:val="en-US" w:eastAsia="zh-CN"/>
        </w:rPr>
        <w:t>8</w:t>
      </w:r>
      <w:r>
        <w:rPr>
          <w:rFonts w:ascii="Times New Roman" w:eastAsia="Times New Roman"/>
          <w:color w:val="0000FF"/>
        </w:rPr>
        <w:t>t/a</w:t>
      </w:r>
      <w:r>
        <w:rPr>
          <w:color w:val="0000FF"/>
        </w:rPr>
        <w:t>，得到肉骨粉</w:t>
      </w:r>
      <w:r>
        <w:rPr>
          <w:rFonts w:hint="eastAsia"/>
          <w:color w:val="0000FF"/>
          <w:lang w:val="en-US" w:eastAsia="zh-CN"/>
        </w:rPr>
        <w:t>2.64</w:t>
      </w:r>
      <w:r>
        <w:rPr>
          <w:rFonts w:ascii="Times New Roman" w:eastAsia="Times New Roman"/>
          <w:color w:val="0000FF"/>
        </w:rPr>
        <w:t>t/a</w:t>
      </w:r>
      <w:r>
        <w:rPr>
          <w:color w:val="0000FF"/>
        </w:rPr>
        <w:t>，油脂</w:t>
      </w:r>
      <w:r>
        <w:rPr>
          <w:rFonts w:hint="eastAsia"/>
          <w:color w:val="0000FF"/>
          <w:lang w:val="en-US" w:eastAsia="zh-CN"/>
        </w:rPr>
        <w:t>1.04</w:t>
      </w:r>
      <w:r>
        <w:rPr>
          <w:rFonts w:ascii="Times New Roman" w:eastAsia="Times New Roman"/>
          <w:color w:val="0000FF"/>
        </w:rPr>
        <w:t>t/a</w:t>
      </w:r>
      <w:r>
        <w:rPr>
          <w:color w:val="0000FF"/>
        </w:rPr>
        <w:t>。</w:t>
      </w:r>
      <w:r>
        <w:rPr>
          <w:color w:val="0000FF"/>
          <w:spacing w:val="-7"/>
        </w:rPr>
        <w:t>肉骨粉可出售给肉骨粉干品生产厂；油脂可作为化工用油及生物柴油的原料</w:t>
      </w:r>
      <w:r>
        <w:rPr>
          <w:color w:val="0000FF"/>
        </w:rPr>
        <w:t>出售给工业用油脂厂。</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0" w:after="0" w:line="360" w:lineRule="auto"/>
        <w:ind w:left="220" w:leftChars="100" w:right="220" w:rightChars="100" w:firstLine="480" w:firstLineChars="200"/>
        <w:jc w:val="left"/>
        <w:textAlignment w:val="auto"/>
        <w:rPr>
          <w:sz w:val="24"/>
        </w:rPr>
      </w:pPr>
      <w:r>
        <w:rPr>
          <w:rFonts w:hint="eastAsia"/>
          <w:sz w:val="24"/>
          <w:lang w:eastAsia="zh-CN"/>
        </w:rPr>
        <w:t>（</w:t>
      </w:r>
      <w:r>
        <w:rPr>
          <w:rFonts w:hint="eastAsia"/>
          <w:sz w:val="24"/>
          <w:lang w:val="en-US" w:eastAsia="zh-CN"/>
        </w:rPr>
        <w:t>5</w:t>
      </w:r>
      <w:r>
        <w:rPr>
          <w:rFonts w:hint="eastAsia"/>
          <w:sz w:val="24"/>
          <w:lang w:eastAsia="zh-CN"/>
        </w:rPr>
        <w:t>）</w:t>
      </w:r>
      <w:r>
        <w:rPr>
          <w:sz w:val="24"/>
        </w:rPr>
        <w:t>消毒、防疫废物</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firstLine="436" w:firstLineChars="200"/>
        <w:textAlignment w:val="auto"/>
        <w:rPr>
          <w:sz w:val="9"/>
        </w:rPr>
      </w:pPr>
      <w:r>
        <w:rPr>
          <w:spacing w:val="-11"/>
        </w:rPr>
        <w:t>消毒、防疫废物包括羊消毒废碘液、消毒过程产生废消毒液和羊分娩过程及</w:t>
      </w:r>
      <w:r>
        <w:rPr>
          <w:spacing w:val="-6"/>
        </w:rPr>
        <w:t>防疫过程中产生的一定量医疗垃圾，主要为注射器、消毒棉、药品包装等。类比</w:t>
      </w:r>
      <w:r>
        <w:rPr>
          <w:spacing w:val="-4"/>
        </w:rPr>
        <w:t>同类项目，消毒、防疫废物产生量约为</w:t>
      </w:r>
      <w:r>
        <w:rPr>
          <w:rFonts w:ascii="Times New Roman" w:eastAsia="Times New Roman"/>
        </w:rPr>
        <w:t>0.2t/a</w:t>
      </w:r>
      <w:r>
        <w:t>。</w:t>
      </w:r>
    </w:p>
    <w:p>
      <w:pPr>
        <w:pStyle w:val="7"/>
        <w:keepNext w:val="0"/>
        <w:keepLines w:val="0"/>
        <w:pageBreakBefore w:val="0"/>
        <w:widowControl w:val="0"/>
        <w:kinsoku/>
        <w:wordWrap/>
        <w:overflowPunct/>
        <w:topLinePunct w:val="0"/>
        <w:autoSpaceDE w:val="0"/>
        <w:autoSpaceDN w:val="0"/>
        <w:bidi w:val="0"/>
        <w:adjustRightInd/>
        <w:snapToGrid/>
        <w:spacing w:before="74" w:line="360" w:lineRule="auto"/>
        <w:ind w:left="220" w:leftChars="100" w:right="577" w:firstLine="480"/>
        <w:jc w:val="both"/>
        <w:textAlignment w:val="auto"/>
        <w:rPr>
          <w:color w:val="0000FF"/>
        </w:rPr>
      </w:pPr>
      <w:r>
        <w:rPr>
          <w:spacing w:val="-8"/>
        </w:rPr>
        <w:t>根据《国家危险废物名录》</w:t>
      </w:r>
      <w:r>
        <w:rPr>
          <w:spacing w:val="-5"/>
        </w:rPr>
        <w:t>（</w:t>
      </w:r>
      <w:r>
        <w:rPr>
          <w:rFonts w:ascii="Times New Roman" w:eastAsia="Times New Roman"/>
          <w:spacing w:val="-5"/>
        </w:rPr>
        <w:t>2016</w:t>
      </w:r>
      <w:r>
        <w:rPr>
          <w:spacing w:val="-5"/>
        </w:rPr>
        <w:t>），医疗垃圾属于危险废物，废物类别为</w:t>
      </w:r>
      <w:r>
        <w:rPr>
          <w:rFonts w:ascii="Times New Roman" w:eastAsia="Times New Roman"/>
        </w:rPr>
        <w:t>HW01</w:t>
      </w:r>
      <w:r>
        <w:t>医疗废物</w:t>
      </w:r>
      <w:r>
        <w:rPr>
          <w:color w:val="0000FF"/>
        </w:rPr>
        <w:t>。消毒、防疫垃圾由项目所在乡镇</w:t>
      </w:r>
      <w:r>
        <w:rPr>
          <w:rFonts w:hint="eastAsia"/>
          <w:color w:val="0000FF"/>
          <w:lang w:val="en-US" w:eastAsia="zh-CN"/>
        </w:rPr>
        <w:t>莎车</w:t>
      </w:r>
      <w:r>
        <w:rPr>
          <w:color w:val="0000FF"/>
        </w:rPr>
        <w:t>乡兽医站以及村级防疫中心委托有资质的单位处理处置。</w:t>
      </w:r>
    </w:p>
    <w:p>
      <w:pPr>
        <w:pStyle w:val="18"/>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0" w:after="0" w:line="360" w:lineRule="auto"/>
        <w:ind w:leftChars="100" w:right="0" w:rightChars="0" w:firstLine="480" w:firstLineChars="200"/>
        <w:jc w:val="left"/>
        <w:textAlignment w:val="auto"/>
        <w:rPr>
          <w:sz w:val="24"/>
        </w:rPr>
      </w:pPr>
      <w:r>
        <w:rPr>
          <w:rFonts w:hint="eastAsia"/>
          <w:sz w:val="24"/>
          <w:lang w:eastAsia="zh-CN"/>
        </w:rPr>
        <w:t>（</w:t>
      </w:r>
      <w:r>
        <w:rPr>
          <w:rFonts w:hint="eastAsia"/>
          <w:sz w:val="24"/>
          <w:lang w:val="en-US" w:eastAsia="zh-CN"/>
        </w:rPr>
        <w:t>5</w:t>
      </w:r>
      <w:r>
        <w:rPr>
          <w:rFonts w:hint="eastAsia"/>
          <w:sz w:val="24"/>
          <w:lang w:eastAsia="zh-CN"/>
        </w:rPr>
        <w:t>）</w:t>
      </w:r>
      <w:r>
        <w:rPr>
          <w:sz w:val="24"/>
        </w:rPr>
        <w:t>兽用医疗废物</w:t>
      </w:r>
    </w:p>
    <w:p>
      <w:pPr>
        <w:pStyle w:val="7"/>
        <w:keepNext w:val="0"/>
        <w:keepLines w:val="0"/>
        <w:pageBreakBefore w:val="0"/>
        <w:widowControl w:val="0"/>
        <w:kinsoku/>
        <w:wordWrap/>
        <w:overflowPunct/>
        <w:topLinePunct w:val="0"/>
        <w:autoSpaceDE w:val="0"/>
        <w:autoSpaceDN w:val="0"/>
        <w:bidi w:val="0"/>
        <w:adjustRightInd/>
        <w:snapToGrid/>
        <w:spacing w:before="161" w:line="360" w:lineRule="auto"/>
        <w:ind w:left="220" w:leftChars="100" w:right="577" w:firstLine="480"/>
        <w:jc w:val="both"/>
        <w:textAlignment w:val="auto"/>
        <w:rPr>
          <w:color w:val="0000FF"/>
        </w:rPr>
      </w:pPr>
      <w:r>
        <w:rPr>
          <w:color w:val="0000FF"/>
          <w:spacing w:val="1"/>
        </w:rPr>
        <w:t>本项目充分发挥</w:t>
      </w:r>
      <w:r>
        <w:rPr>
          <w:rFonts w:hint="eastAsia"/>
          <w:color w:val="0000FF"/>
          <w:spacing w:val="1"/>
          <w:lang w:val="en-US" w:eastAsia="zh-CN"/>
        </w:rPr>
        <w:t>莎车</w:t>
      </w:r>
      <w:r>
        <w:rPr>
          <w:color w:val="0000FF"/>
          <w:spacing w:val="1"/>
        </w:rPr>
        <w:t>县农业农村局和</w:t>
      </w:r>
      <w:r>
        <w:rPr>
          <w:rFonts w:hint="eastAsia"/>
          <w:color w:val="0000FF"/>
          <w:spacing w:val="1"/>
          <w:lang w:val="en-US" w:eastAsia="zh-CN"/>
        </w:rPr>
        <w:t>莎车</w:t>
      </w:r>
      <w:r>
        <w:rPr>
          <w:color w:val="0000FF"/>
          <w:spacing w:val="1"/>
        </w:rPr>
        <w:t>乡镇兽医站以及村级防疫中心在</w:t>
      </w:r>
      <w:r>
        <w:rPr>
          <w:color w:val="0000FF"/>
          <w:spacing w:val="-9"/>
        </w:rPr>
        <w:t>养殖工作的作用，负责标准化羊产业养殖场的日常防疫工作；</w:t>
      </w:r>
      <w:r>
        <w:rPr>
          <w:rFonts w:hint="eastAsia"/>
          <w:color w:val="0000FF"/>
          <w:spacing w:val="-9"/>
          <w:lang w:eastAsia="zh-CN"/>
        </w:rPr>
        <w:t>莎车</w:t>
      </w:r>
      <w:r>
        <w:rPr>
          <w:color w:val="0000FF"/>
          <w:spacing w:val="-9"/>
        </w:rPr>
        <w:t>县农业农村局</w:t>
      </w:r>
      <w:r>
        <w:rPr>
          <w:color w:val="0000FF"/>
        </w:rPr>
        <w:t>作为技术指导单位，负责羊产业养殖场的全局防疫工作。</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220" w:leftChars="100" w:right="575" w:firstLine="480"/>
        <w:jc w:val="both"/>
        <w:textAlignment w:val="auto"/>
      </w:pPr>
      <w:r>
        <w:rPr>
          <w:spacing w:val="-6"/>
        </w:rPr>
        <w:t>兽用医疗废物包括治疗羊感染性疾病、损伤性疾病等产生的医疗废弃物，主</w:t>
      </w:r>
      <w:r>
        <w:rPr>
          <w:spacing w:val="-10"/>
        </w:rPr>
        <w:t>要为注射器、输液管、棉球、棉签、纱布、玻璃药剂瓶等。参考《规模养殖场动</w:t>
      </w:r>
      <w:r>
        <w:t>物医疗废弃物产生量的统计试验》文献可知，羊只的兽用医疗废弃物产生量为</w:t>
      </w:r>
      <w:r>
        <w:rPr>
          <w:rFonts w:ascii="Times New Roman" w:eastAsia="Times New Roman"/>
        </w:rPr>
        <w:t>6.75t/a</w:t>
      </w:r>
      <w:r>
        <w:t>。</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220" w:leftChars="100" w:right="575" w:firstLine="480"/>
        <w:jc w:val="both"/>
        <w:textAlignment w:val="auto"/>
      </w:pPr>
      <w:r>
        <w:rPr>
          <w:spacing w:val="-8"/>
        </w:rPr>
        <w:t>根据《国家危险废物名录》</w:t>
      </w:r>
      <w:r>
        <w:rPr>
          <w:spacing w:val="-5"/>
        </w:rPr>
        <w:t>（</w:t>
      </w:r>
      <w:r>
        <w:rPr>
          <w:rFonts w:ascii="Times New Roman" w:hAnsi="Times New Roman" w:eastAsia="Times New Roman"/>
          <w:spacing w:val="-5"/>
        </w:rPr>
        <w:t>2016</w:t>
      </w:r>
      <w:r>
        <w:rPr>
          <w:spacing w:val="-5"/>
        </w:rPr>
        <w:t>），医疗垃圾属于危险废物，废物类别为</w:t>
      </w:r>
      <w:r>
        <w:t>“</w:t>
      </w:r>
      <w:r>
        <w:rPr>
          <w:rFonts w:ascii="Times New Roman" w:hAnsi="Times New Roman" w:eastAsia="Times New Roman"/>
        </w:rPr>
        <w:t>HW01</w:t>
      </w:r>
      <w:r>
        <w:t>医疗废物”。兽用医疗废物由项目所在乡镇</w:t>
      </w:r>
      <w:r>
        <w:rPr>
          <w:rFonts w:hint="eastAsia"/>
          <w:lang w:eastAsia="zh-CN"/>
        </w:rPr>
        <w:t>莎车</w:t>
      </w:r>
      <w:r>
        <w:t>乡兽医站以及村级防疫中心委托有资质的单位处理处置。</w:t>
      </w:r>
    </w:p>
    <w:p>
      <w:pPr>
        <w:pStyle w:val="18"/>
        <w:numPr>
          <w:ilvl w:val="0"/>
          <w:numId w:val="37"/>
        </w:numPr>
        <w:tabs>
          <w:tab w:val="left" w:pos="1621"/>
        </w:tabs>
        <w:spacing w:before="2" w:after="0" w:line="240" w:lineRule="auto"/>
        <w:ind w:left="1621" w:right="0" w:hanging="601"/>
        <w:jc w:val="left"/>
        <w:rPr>
          <w:sz w:val="24"/>
        </w:rPr>
      </w:pPr>
      <w:r>
        <w:rPr>
          <w:sz w:val="24"/>
        </w:rPr>
        <w:t>员工生活垃圾</w:t>
      </w:r>
    </w:p>
    <w:p>
      <w:pPr>
        <w:pStyle w:val="7"/>
        <w:spacing w:before="3" w:line="364" w:lineRule="auto"/>
        <w:ind w:left="220" w:right="317" w:firstLine="480"/>
        <w:jc w:val="both"/>
        <w:rPr>
          <w:color w:val="0000FF"/>
        </w:rPr>
      </w:pPr>
      <w:r>
        <w:rPr>
          <w:color w:val="0000FF"/>
          <w:spacing w:val="-3"/>
        </w:rPr>
        <w:t>本项目劳动定员</w:t>
      </w:r>
      <w:r>
        <w:rPr>
          <w:rFonts w:ascii="Times New Roman" w:eastAsia="Times New Roman"/>
          <w:color w:val="0000FF"/>
        </w:rPr>
        <w:t>30</w:t>
      </w:r>
      <w:r>
        <w:rPr>
          <w:color w:val="0000FF"/>
          <w:spacing w:val="-2"/>
        </w:rPr>
        <w:t>人，</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圾收集系统，不会对区域环境造成不良影响。</w:t>
      </w:r>
    </w:p>
    <w:p>
      <w:pPr>
        <w:pStyle w:val="18"/>
        <w:numPr>
          <w:ilvl w:val="0"/>
          <w:numId w:val="37"/>
        </w:numPr>
        <w:tabs>
          <w:tab w:val="left" w:pos="1621"/>
        </w:tabs>
        <w:spacing w:before="2" w:after="0" w:line="240" w:lineRule="auto"/>
        <w:ind w:left="1621" w:right="0" w:hanging="601"/>
        <w:jc w:val="left"/>
        <w:rPr>
          <w:sz w:val="24"/>
        </w:rPr>
      </w:pPr>
      <w:r>
        <w:rPr>
          <w:sz w:val="24"/>
        </w:rPr>
        <w:t>固体废物产生及处置情况汇总</w:t>
      </w:r>
    </w:p>
    <w:p>
      <w:pPr>
        <w:pStyle w:val="7"/>
        <w:spacing w:before="160"/>
        <w:ind w:left="1020"/>
      </w:pPr>
      <w:r>
        <w:rPr>
          <w:spacing w:val="-4"/>
        </w:rPr>
        <w:t>项目固体废物产生及处置情况一览表见表</w:t>
      </w:r>
      <w:r>
        <w:rPr>
          <w:rFonts w:ascii="Times New Roman" w:eastAsia="Times New Roman"/>
        </w:rPr>
        <w:t>3.2-12</w:t>
      </w:r>
      <w:r>
        <w:t>。</w:t>
      </w:r>
    </w:p>
    <w:p>
      <w:pPr>
        <w:pStyle w:val="7"/>
        <w:spacing w:before="9"/>
        <w:ind w:left="0"/>
        <w:rPr>
          <w:sz w:val="18"/>
        </w:rPr>
      </w:pPr>
    </w:p>
    <w:p>
      <w:pPr>
        <w:pStyle w:val="7"/>
        <w:bidi w:val="0"/>
        <w:jc w:val="center"/>
      </w:pPr>
      <w:r>
        <w:t>表</w:t>
      </w:r>
      <w:r>
        <w:rPr>
          <w:rFonts w:ascii="Times New Roman" w:eastAsia="Times New Roman"/>
        </w:rPr>
        <w:t>3.2-12</w:t>
      </w:r>
      <w:r>
        <w:rPr>
          <w:rFonts w:ascii="Times New Roman" w:eastAsia="Times New Roman"/>
        </w:rPr>
        <w:tab/>
      </w:r>
      <w:r>
        <w:t>项目固体废弃物产生及处置情况一览表</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
        <w:gridCol w:w="1045"/>
        <w:gridCol w:w="1508"/>
        <w:gridCol w:w="1263"/>
        <w:gridCol w:w="1142"/>
        <w:gridCol w:w="3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50" w:type="dxa"/>
          </w:tcPr>
          <w:p>
            <w:pPr>
              <w:pStyle w:val="19"/>
              <w:spacing w:line="240" w:lineRule="exact"/>
              <w:ind w:left="118" w:right="110"/>
              <w:jc w:val="left"/>
              <w:rPr>
                <w:b/>
                <w:color w:val="0000FF"/>
                <w:sz w:val="21"/>
              </w:rPr>
            </w:pPr>
            <w:r>
              <w:rPr>
                <w:b/>
                <w:color w:val="0000FF"/>
                <w:sz w:val="21"/>
              </w:rPr>
              <w:t>序号</w:t>
            </w:r>
          </w:p>
        </w:tc>
        <w:tc>
          <w:tcPr>
            <w:tcW w:w="1045" w:type="dxa"/>
          </w:tcPr>
          <w:p>
            <w:pPr>
              <w:pStyle w:val="19"/>
              <w:spacing w:line="240" w:lineRule="exact"/>
              <w:ind w:left="417" w:right="195" w:hanging="212"/>
              <w:jc w:val="left"/>
              <w:rPr>
                <w:b/>
                <w:color w:val="0000FF"/>
                <w:sz w:val="21"/>
              </w:rPr>
            </w:pPr>
            <w:r>
              <w:rPr>
                <w:b/>
                <w:color w:val="0000FF"/>
                <w:sz w:val="21"/>
              </w:rPr>
              <w:t>废物名称</w:t>
            </w:r>
          </w:p>
        </w:tc>
        <w:tc>
          <w:tcPr>
            <w:tcW w:w="1508" w:type="dxa"/>
          </w:tcPr>
          <w:p>
            <w:pPr>
              <w:pStyle w:val="19"/>
              <w:spacing w:line="240" w:lineRule="exact"/>
              <w:ind w:left="649" w:right="109" w:hanging="526"/>
              <w:jc w:val="left"/>
              <w:rPr>
                <w:b/>
                <w:color w:val="0000FF"/>
                <w:sz w:val="21"/>
              </w:rPr>
            </w:pPr>
            <w:r>
              <w:rPr>
                <w:b/>
                <w:color w:val="0000FF"/>
                <w:sz w:val="21"/>
              </w:rPr>
              <w:t>产生工序及装置</w:t>
            </w:r>
          </w:p>
        </w:tc>
        <w:tc>
          <w:tcPr>
            <w:tcW w:w="1263" w:type="dxa"/>
          </w:tcPr>
          <w:p>
            <w:pPr>
              <w:pStyle w:val="19"/>
              <w:spacing w:before="102"/>
              <w:ind w:left="120" w:right="112"/>
              <w:rPr>
                <w:b/>
                <w:color w:val="0000FF"/>
                <w:sz w:val="21"/>
              </w:rPr>
            </w:pPr>
            <w:r>
              <w:rPr>
                <w:b/>
                <w:color w:val="0000FF"/>
                <w:sz w:val="21"/>
              </w:rPr>
              <w:t>属性</w:t>
            </w:r>
          </w:p>
        </w:tc>
        <w:tc>
          <w:tcPr>
            <w:tcW w:w="1142" w:type="dxa"/>
          </w:tcPr>
          <w:p>
            <w:pPr>
              <w:pStyle w:val="19"/>
              <w:spacing w:line="237" w:lineRule="exact"/>
              <w:ind w:left="256"/>
              <w:jc w:val="left"/>
              <w:rPr>
                <w:b/>
                <w:color w:val="0000FF"/>
                <w:sz w:val="21"/>
              </w:rPr>
            </w:pPr>
            <w:r>
              <w:rPr>
                <w:b/>
                <w:color w:val="0000FF"/>
                <w:w w:val="95"/>
                <w:sz w:val="21"/>
              </w:rPr>
              <w:t>产生量</w:t>
            </w:r>
          </w:p>
          <w:p>
            <w:pPr>
              <w:pStyle w:val="19"/>
              <w:spacing w:line="223" w:lineRule="exact"/>
              <w:ind w:left="244"/>
              <w:jc w:val="left"/>
              <w:rPr>
                <w:b/>
                <w:color w:val="0000FF"/>
                <w:sz w:val="21"/>
              </w:rPr>
            </w:pPr>
            <w:r>
              <w:rPr>
                <w:b/>
                <w:color w:val="0000FF"/>
                <w:sz w:val="21"/>
              </w:rPr>
              <w:t>（</w:t>
            </w:r>
            <w:r>
              <w:rPr>
                <w:rFonts w:ascii="Times New Roman" w:eastAsia="Times New Roman"/>
                <w:b/>
                <w:color w:val="0000FF"/>
                <w:sz w:val="21"/>
              </w:rPr>
              <w:t>t/a</w:t>
            </w:r>
            <w:r>
              <w:rPr>
                <w:b/>
                <w:color w:val="0000FF"/>
                <w:sz w:val="21"/>
              </w:rPr>
              <w:t>）</w:t>
            </w:r>
          </w:p>
        </w:tc>
        <w:tc>
          <w:tcPr>
            <w:tcW w:w="3111" w:type="dxa"/>
          </w:tcPr>
          <w:p>
            <w:pPr>
              <w:pStyle w:val="19"/>
              <w:spacing w:before="102"/>
              <w:ind w:left="895"/>
              <w:jc w:val="left"/>
              <w:rPr>
                <w:b/>
                <w:color w:val="0000FF"/>
                <w:sz w:val="21"/>
              </w:rPr>
            </w:pPr>
            <w:r>
              <w:rPr>
                <w:b/>
                <w:color w:val="0000FF"/>
                <w:sz w:val="21"/>
              </w:rPr>
              <w:t>去向</w:t>
            </w:r>
            <w:r>
              <w:rPr>
                <w:rFonts w:ascii="Times New Roman" w:eastAsia="Times New Roman"/>
                <w:b/>
                <w:color w:val="0000FF"/>
                <w:sz w:val="21"/>
              </w:rPr>
              <w:t>/</w:t>
            </w:r>
            <w:r>
              <w:rPr>
                <w:b/>
                <w:color w:val="0000FF"/>
                <w:sz w:val="21"/>
              </w:rPr>
              <w:t>处置措施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50" w:type="dxa"/>
          </w:tcPr>
          <w:p>
            <w:pPr>
              <w:pStyle w:val="19"/>
              <w:spacing w:before="118"/>
              <w:ind w:left="7"/>
              <w:rPr>
                <w:rFonts w:ascii="Times New Roman"/>
                <w:color w:val="0000FF"/>
                <w:sz w:val="21"/>
              </w:rPr>
            </w:pPr>
            <w:r>
              <w:rPr>
                <w:rFonts w:ascii="Times New Roman"/>
                <w:color w:val="0000FF"/>
                <w:w w:val="99"/>
                <w:sz w:val="21"/>
              </w:rPr>
              <w:t>1</w:t>
            </w:r>
          </w:p>
        </w:tc>
        <w:tc>
          <w:tcPr>
            <w:tcW w:w="1045" w:type="dxa"/>
          </w:tcPr>
          <w:p>
            <w:pPr>
              <w:pStyle w:val="19"/>
              <w:spacing w:before="105"/>
              <w:ind w:left="185" w:right="179"/>
              <w:rPr>
                <w:color w:val="0000FF"/>
                <w:sz w:val="21"/>
              </w:rPr>
            </w:pPr>
            <w:r>
              <w:rPr>
                <w:color w:val="0000FF"/>
                <w:sz w:val="21"/>
              </w:rPr>
              <w:t>羊粪</w:t>
            </w:r>
          </w:p>
        </w:tc>
        <w:tc>
          <w:tcPr>
            <w:tcW w:w="1508" w:type="dxa"/>
          </w:tcPr>
          <w:p>
            <w:pPr>
              <w:pStyle w:val="19"/>
              <w:spacing w:before="105"/>
              <w:ind w:left="332"/>
              <w:jc w:val="left"/>
              <w:rPr>
                <w:color w:val="0000FF"/>
                <w:sz w:val="21"/>
              </w:rPr>
            </w:pPr>
            <w:r>
              <w:rPr>
                <w:color w:val="0000FF"/>
                <w:sz w:val="21"/>
              </w:rPr>
              <w:t>全部羊舍</w:t>
            </w:r>
          </w:p>
        </w:tc>
        <w:tc>
          <w:tcPr>
            <w:tcW w:w="1263" w:type="dxa"/>
            <w:vMerge w:val="restart"/>
          </w:tcPr>
          <w:p>
            <w:pPr>
              <w:pStyle w:val="19"/>
              <w:jc w:val="left"/>
              <w:rPr>
                <w:b/>
                <w:color w:val="0000FF"/>
                <w:sz w:val="20"/>
              </w:rPr>
            </w:pPr>
          </w:p>
          <w:p>
            <w:pPr>
              <w:pStyle w:val="19"/>
              <w:jc w:val="left"/>
              <w:rPr>
                <w:b/>
                <w:color w:val="0000FF"/>
                <w:sz w:val="20"/>
              </w:rPr>
            </w:pPr>
          </w:p>
          <w:p>
            <w:pPr>
              <w:pStyle w:val="19"/>
              <w:spacing w:before="3"/>
              <w:jc w:val="left"/>
              <w:rPr>
                <w:b/>
                <w:color w:val="0000FF"/>
                <w:sz w:val="16"/>
              </w:rPr>
            </w:pPr>
          </w:p>
          <w:p>
            <w:pPr>
              <w:pStyle w:val="19"/>
              <w:spacing w:line="213" w:lineRule="auto"/>
              <w:ind w:left="211" w:right="201"/>
              <w:jc w:val="left"/>
              <w:rPr>
                <w:color w:val="0000FF"/>
                <w:sz w:val="21"/>
              </w:rPr>
            </w:pPr>
            <w:r>
              <w:rPr>
                <w:color w:val="0000FF"/>
                <w:sz w:val="21"/>
              </w:rPr>
              <w:t>一般工业固体废物</w:t>
            </w:r>
          </w:p>
        </w:tc>
        <w:tc>
          <w:tcPr>
            <w:tcW w:w="1142" w:type="dxa"/>
          </w:tcPr>
          <w:p>
            <w:pPr>
              <w:pStyle w:val="19"/>
              <w:spacing w:before="118"/>
              <w:ind w:right="216"/>
              <w:jc w:val="center"/>
              <w:rPr>
                <w:rFonts w:hint="default" w:ascii="Times New Roman" w:eastAsia="宋体"/>
                <w:color w:val="0000FF"/>
                <w:sz w:val="21"/>
                <w:lang w:val="en-US" w:eastAsia="zh-CN"/>
              </w:rPr>
            </w:pPr>
            <w:r>
              <w:rPr>
                <w:rFonts w:hint="eastAsia" w:ascii="Times New Roman"/>
                <w:color w:val="0000FF"/>
                <w:w w:val="95"/>
                <w:sz w:val="21"/>
                <w:lang w:val="en-US" w:eastAsia="zh-CN"/>
              </w:rPr>
              <w:t>39785</w:t>
            </w:r>
          </w:p>
        </w:tc>
        <w:tc>
          <w:tcPr>
            <w:tcW w:w="3111" w:type="dxa"/>
          </w:tcPr>
          <w:p>
            <w:pPr>
              <w:pStyle w:val="19"/>
              <w:spacing w:line="240" w:lineRule="exact"/>
              <w:ind w:left="108" w:right="35"/>
              <w:jc w:val="left"/>
              <w:rPr>
                <w:color w:val="0000FF"/>
                <w:sz w:val="21"/>
              </w:rPr>
            </w:pPr>
            <w:r>
              <w:rPr>
                <w:color w:val="0000FF"/>
                <w:sz w:val="21"/>
              </w:rPr>
              <w:t>羊粪采用干清粪工艺，清运至堆肥厂，制成有机肥外售。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50" w:type="dxa"/>
          </w:tcPr>
          <w:p>
            <w:pPr>
              <w:pStyle w:val="19"/>
              <w:spacing w:before="7"/>
              <w:jc w:val="left"/>
              <w:rPr>
                <w:b/>
                <w:color w:val="0000FF"/>
                <w:sz w:val="18"/>
              </w:rPr>
            </w:pPr>
          </w:p>
          <w:p>
            <w:pPr>
              <w:pStyle w:val="19"/>
              <w:ind w:left="7"/>
              <w:rPr>
                <w:rFonts w:ascii="Times New Roman"/>
                <w:color w:val="0000FF"/>
                <w:sz w:val="21"/>
              </w:rPr>
            </w:pPr>
            <w:r>
              <w:rPr>
                <w:rFonts w:ascii="Times New Roman"/>
                <w:color w:val="0000FF"/>
                <w:w w:val="99"/>
                <w:sz w:val="21"/>
              </w:rPr>
              <w:t>2</w:t>
            </w:r>
          </w:p>
        </w:tc>
        <w:tc>
          <w:tcPr>
            <w:tcW w:w="1045" w:type="dxa"/>
          </w:tcPr>
          <w:p>
            <w:pPr>
              <w:pStyle w:val="19"/>
              <w:spacing w:before="125" w:line="213" w:lineRule="auto"/>
              <w:ind w:left="417" w:right="197" w:hanging="212"/>
              <w:jc w:val="left"/>
              <w:rPr>
                <w:color w:val="0000FF"/>
                <w:sz w:val="21"/>
              </w:rPr>
            </w:pPr>
            <w:r>
              <w:rPr>
                <w:color w:val="0000FF"/>
                <w:sz w:val="21"/>
              </w:rPr>
              <w:t>废弃垫料</w:t>
            </w:r>
          </w:p>
        </w:tc>
        <w:tc>
          <w:tcPr>
            <w:tcW w:w="1508" w:type="dxa"/>
          </w:tcPr>
          <w:p>
            <w:pPr>
              <w:pStyle w:val="19"/>
              <w:spacing w:before="4"/>
              <w:jc w:val="left"/>
              <w:rPr>
                <w:b/>
                <w:color w:val="0000FF"/>
                <w:sz w:val="17"/>
              </w:rPr>
            </w:pPr>
          </w:p>
          <w:p>
            <w:pPr>
              <w:pStyle w:val="19"/>
              <w:ind w:left="332"/>
              <w:jc w:val="left"/>
              <w:rPr>
                <w:color w:val="0000FF"/>
                <w:sz w:val="21"/>
              </w:rPr>
            </w:pPr>
            <w:r>
              <w:rPr>
                <w:color w:val="0000FF"/>
                <w:sz w:val="21"/>
              </w:rPr>
              <w:t>全部羊舍</w:t>
            </w:r>
          </w:p>
        </w:tc>
        <w:tc>
          <w:tcPr>
            <w:tcW w:w="1263" w:type="dxa"/>
            <w:vMerge w:val="continue"/>
            <w:tcBorders>
              <w:top w:val="nil"/>
            </w:tcBorders>
          </w:tcPr>
          <w:p>
            <w:pPr>
              <w:rPr>
                <w:color w:val="0000FF"/>
                <w:sz w:val="2"/>
                <w:szCs w:val="2"/>
              </w:rPr>
            </w:pPr>
          </w:p>
        </w:tc>
        <w:tc>
          <w:tcPr>
            <w:tcW w:w="1142" w:type="dxa"/>
          </w:tcPr>
          <w:p>
            <w:pPr>
              <w:pStyle w:val="19"/>
              <w:spacing w:before="5"/>
              <w:jc w:val="center"/>
              <w:rPr>
                <w:b/>
                <w:color w:val="0000FF"/>
                <w:sz w:val="18"/>
              </w:rPr>
            </w:pPr>
          </w:p>
          <w:p>
            <w:pPr>
              <w:pStyle w:val="19"/>
              <w:ind w:right="271"/>
              <w:jc w:val="center"/>
              <w:rPr>
                <w:rFonts w:hint="default" w:ascii="Times New Roman" w:eastAsia="宋体"/>
                <w:color w:val="0000FF"/>
                <w:sz w:val="21"/>
                <w:lang w:val="en-US" w:eastAsia="zh-CN"/>
              </w:rPr>
            </w:pPr>
            <w:r>
              <w:rPr>
                <w:rFonts w:hint="eastAsia" w:ascii="Times New Roman"/>
                <w:color w:val="0000FF"/>
                <w:sz w:val="21"/>
                <w:lang w:val="en-US" w:eastAsia="zh-CN"/>
              </w:rPr>
              <w:t xml:space="preserve">  24</w:t>
            </w:r>
          </w:p>
        </w:tc>
        <w:tc>
          <w:tcPr>
            <w:tcW w:w="3111" w:type="dxa"/>
          </w:tcPr>
          <w:p>
            <w:pPr>
              <w:pStyle w:val="19"/>
              <w:spacing w:line="240" w:lineRule="exact"/>
              <w:ind w:left="108" w:right="98"/>
              <w:jc w:val="both"/>
              <w:rPr>
                <w:color w:val="0000FF"/>
                <w:sz w:val="21"/>
              </w:rPr>
            </w:pPr>
            <w:r>
              <w:rPr>
                <w:color w:val="0000FF"/>
                <w:spacing w:val="-8"/>
                <w:sz w:val="21"/>
              </w:rPr>
              <w:t>垫料层与羊粪、粪渣一起进入堆</w:t>
            </w:r>
            <w:r>
              <w:rPr>
                <w:color w:val="0000FF"/>
                <w:spacing w:val="-5"/>
                <w:sz w:val="21"/>
              </w:rPr>
              <w:t>肥厂高温发酵无害化处理，不外</w:t>
            </w:r>
            <w:r>
              <w:rPr>
                <w:color w:val="0000FF"/>
                <w:sz w:val="21"/>
              </w:rPr>
              <w:t>排，实现综合利用。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dxa"/>
          </w:tcPr>
          <w:p>
            <w:pPr>
              <w:pStyle w:val="19"/>
              <w:spacing w:before="48"/>
              <w:ind w:left="7"/>
              <w:rPr>
                <w:rFonts w:ascii="Times New Roman"/>
                <w:color w:val="0000FF"/>
                <w:sz w:val="21"/>
              </w:rPr>
            </w:pPr>
            <w:r>
              <w:rPr>
                <w:rFonts w:ascii="Times New Roman"/>
                <w:color w:val="0000FF"/>
                <w:w w:val="99"/>
                <w:sz w:val="21"/>
              </w:rPr>
              <w:t>3</w:t>
            </w:r>
          </w:p>
        </w:tc>
        <w:tc>
          <w:tcPr>
            <w:tcW w:w="1045" w:type="dxa"/>
          </w:tcPr>
          <w:p>
            <w:pPr>
              <w:pStyle w:val="19"/>
              <w:spacing w:before="34"/>
              <w:ind w:left="185" w:right="179"/>
              <w:rPr>
                <w:color w:val="0000FF"/>
                <w:sz w:val="21"/>
              </w:rPr>
            </w:pPr>
            <w:r>
              <w:rPr>
                <w:color w:val="0000FF"/>
                <w:sz w:val="21"/>
              </w:rPr>
              <w:t>肉骨粉</w:t>
            </w:r>
          </w:p>
        </w:tc>
        <w:tc>
          <w:tcPr>
            <w:tcW w:w="1508" w:type="dxa"/>
            <w:vMerge w:val="restart"/>
          </w:tcPr>
          <w:p>
            <w:pPr>
              <w:pStyle w:val="19"/>
              <w:spacing w:before="110" w:line="213" w:lineRule="auto"/>
              <w:ind w:left="229" w:right="114" w:hanging="106"/>
              <w:jc w:val="left"/>
              <w:rPr>
                <w:color w:val="0000FF"/>
                <w:sz w:val="21"/>
              </w:rPr>
            </w:pPr>
            <w:r>
              <w:rPr>
                <w:color w:val="0000FF"/>
                <w:sz w:val="21"/>
              </w:rPr>
              <w:t>病死畜禽无害化处理车间</w:t>
            </w:r>
          </w:p>
        </w:tc>
        <w:tc>
          <w:tcPr>
            <w:tcW w:w="1263" w:type="dxa"/>
            <w:vMerge w:val="continue"/>
            <w:tcBorders>
              <w:top w:val="nil"/>
            </w:tcBorders>
          </w:tcPr>
          <w:p>
            <w:pPr>
              <w:rPr>
                <w:color w:val="0000FF"/>
                <w:sz w:val="2"/>
                <w:szCs w:val="2"/>
              </w:rPr>
            </w:pPr>
          </w:p>
        </w:tc>
        <w:tc>
          <w:tcPr>
            <w:tcW w:w="1142" w:type="dxa"/>
          </w:tcPr>
          <w:p>
            <w:pPr>
              <w:pStyle w:val="19"/>
              <w:spacing w:before="48"/>
              <w:ind w:right="322"/>
              <w:jc w:val="center"/>
              <w:rPr>
                <w:rFonts w:hint="default" w:ascii="Times New Roman" w:eastAsia="宋体"/>
                <w:color w:val="0000FF"/>
                <w:sz w:val="21"/>
                <w:lang w:val="en-US" w:eastAsia="zh-CN"/>
              </w:rPr>
            </w:pPr>
            <w:r>
              <w:rPr>
                <w:rFonts w:hint="eastAsia" w:ascii="Times New Roman"/>
                <w:color w:val="0000FF"/>
                <w:sz w:val="21"/>
                <w:lang w:val="en-US" w:eastAsia="zh-CN"/>
              </w:rPr>
              <w:t xml:space="preserve">    2.64</w:t>
            </w:r>
          </w:p>
        </w:tc>
        <w:tc>
          <w:tcPr>
            <w:tcW w:w="3111" w:type="dxa"/>
          </w:tcPr>
          <w:p>
            <w:pPr>
              <w:pStyle w:val="19"/>
              <w:spacing w:before="34"/>
              <w:ind w:left="108"/>
              <w:jc w:val="left"/>
              <w:rPr>
                <w:color w:val="0000FF"/>
                <w:sz w:val="21"/>
              </w:rPr>
            </w:pPr>
            <w:r>
              <w:rPr>
                <w:color w:val="0000FF"/>
                <w:sz w:val="21"/>
              </w:rPr>
              <w:t>出售给肉骨粉干品生产厂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dxa"/>
          </w:tcPr>
          <w:p>
            <w:pPr>
              <w:pStyle w:val="19"/>
              <w:spacing w:before="48"/>
              <w:ind w:left="7"/>
              <w:rPr>
                <w:rFonts w:ascii="Times New Roman"/>
                <w:color w:val="0000FF"/>
                <w:sz w:val="21"/>
              </w:rPr>
            </w:pPr>
            <w:r>
              <w:rPr>
                <w:rFonts w:ascii="Times New Roman"/>
                <w:color w:val="0000FF"/>
                <w:w w:val="99"/>
                <w:sz w:val="21"/>
              </w:rPr>
              <w:t>4</w:t>
            </w:r>
          </w:p>
        </w:tc>
        <w:tc>
          <w:tcPr>
            <w:tcW w:w="1045" w:type="dxa"/>
          </w:tcPr>
          <w:p>
            <w:pPr>
              <w:pStyle w:val="19"/>
              <w:spacing w:before="35"/>
              <w:ind w:left="185" w:right="179"/>
              <w:rPr>
                <w:color w:val="0000FF"/>
                <w:sz w:val="21"/>
              </w:rPr>
            </w:pPr>
            <w:r>
              <w:rPr>
                <w:color w:val="0000FF"/>
                <w:sz w:val="21"/>
              </w:rPr>
              <w:t>油脂</w:t>
            </w:r>
          </w:p>
        </w:tc>
        <w:tc>
          <w:tcPr>
            <w:tcW w:w="1508" w:type="dxa"/>
            <w:vMerge w:val="continue"/>
            <w:tcBorders>
              <w:top w:val="nil"/>
            </w:tcBorders>
          </w:tcPr>
          <w:p>
            <w:pPr>
              <w:rPr>
                <w:color w:val="0000FF"/>
                <w:sz w:val="2"/>
                <w:szCs w:val="2"/>
              </w:rPr>
            </w:pPr>
          </w:p>
        </w:tc>
        <w:tc>
          <w:tcPr>
            <w:tcW w:w="1263" w:type="dxa"/>
            <w:vMerge w:val="continue"/>
            <w:tcBorders>
              <w:top w:val="nil"/>
            </w:tcBorders>
          </w:tcPr>
          <w:p>
            <w:pPr>
              <w:rPr>
                <w:color w:val="0000FF"/>
                <w:sz w:val="2"/>
                <w:szCs w:val="2"/>
              </w:rPr>
            </w:pPr>
          </w:p>
        </w:tc>
        <w:tc>
          <w:tcPr>
            <w:tcW w:w="1142" w:type="dxa"/>
          </w:tcPr>
          <w:p>
            <w:pPr>
              <w:pStyle w:val="19"/>
              <w:spacing w:before="48"/>
              <w:ind w:right="322"/>
              <w:jc w:val="center"/>
              <w:rPr>
                <w:rFonts w:hint="default" w:ascii="Times New Roman" w:eastAsia="宋体"/>
                <w:color w:val="0000FF"/>
                <w:sz w:val="21"/>
                <w:lang w:val="en-US" w:eastAsia="zh-CN"/>
              </w:rPr>
            </w:pPr>
            <w:r>
              <w:rPr>
                <w:rFonts w:hint="eastAsia" w:ascii="Times New Roman"/>
                <w:color w:val="0000FF"/>
                <w:sz w:val="21"/>
                <w:lang w:val="en-US" w:eastAsia="zh-CN"/>
              </w:rPr>
              <w:t xml:space="preserve">   1.04</w:t>
            </w:r>
          </w:p>
        </w:tc>
        <w:tc>
          <w:tcPr>
            <w:tcW w:w="3111" w:type="dxa"/>
          </w:tcPr>
          <w:p>
            <w:pPr>
              <w:pStyle w:val="19"/>
              <w:spacing w:before="35"/>
              <w:ind w:left="108"/>
              <w:jc w:val="left"/>
              <w:rPr>
                <w:color w:val="0000FF"/>
                <w:sz w:val="21"/>
              </w:rPr>
            </w:pPr>
            <w:r>
              <w:rPr>
                <w:color w:val="0000FF"/>
                <w:sz w:val="21"/>
              </w:rPr>
              <w:t>出售给工业用油脂厂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50" w:type="dxa"/>
          </w:tcPr>
          <w:p>
            <w:pPr>
              <w:pStyle w:val="19"/>
              <w:spacing w:before="118"/>
              <w:ind w:left="7"/>
              <w:rPr>
                <w:rFonts w:ascii="Times New Roman"/>
                <w:color w:val="0000FF"/>
                <w:sz w:val="21"/>
              </w:rPr>
            </w:pPr>
            <w:r>
              <w:rPr>
                <w:rFonts w:ascii="Times New Roman"/>
                <w:color w:val="0000FF"/>
                <w:w w:val="99"/>
                <w:sz w:val="21"/>
              </w:rPr>
              <w:t>5</w:t>
            </w:r>
          </w:p>
        </w:tc>
        <w:tc>
          <w:tcPr>
            <w:tcW w:w="1045" w:type="dxa"/>
          </w:tcPr>
          <w:p>
            <w:pPr>
              <w:pStyle w:val="19"/>
              <w:spacing w:before="105"/>
              <w:ind w:left="185" w:right="179"/>
              <w:rPr>
                <w:color w:val="0000FF"/>
                <w:sz w:val="21"/>
              </w:rPr>
            </w:pPr>
            <w:r>
              <w:rPr>
                <w:color w:val="0000FF"/>
                <w:sz w:val="21"/>
              </w:rPr>
              <w:t>病死羊</w:t>
            </w:r>
          </w:p>
        </w:tc>
        <w:tc>
          <w:tcPr>
            <w:tcW w:w="1508" w:type="dxa"/>
          </w:tcPr>
          <w:p>
            <w:pPr>
              <w:pStyle w:val="19"/>
              <w:spacing w:before="105"/>
              <w:ind w:left="332"/>
              <w:jc w:val="left"/>
              <w:rPr>
                <w:color w:val="0000FF"/>
                <w:sz w:val="21"/>
              </w:rPr>
            </w:pPr>
            <w:r>
              <w:rPr>
                <w:color w:val="0000FF"/>
                <w:sz w:val="21"/>
              </w:rPr>
              <w:t>养殖基地</w:t>
            </w:r>
          </w:p>
        </w:tc>
        <w:tc>
          <w:tcPr>
            <w:tcW w:w="1263" w:type="dxa"/>
          </w:tcPr>
          <w:p>
            <w:pPr>
              <w:pStyle w:val="19"/>
              <w:spacing w:before="105"/>
              <w:ind w:left="120" w:right="112"/>
              <w:rPr>
                <w:color w:val="0000FF"/>
                <w:sz w:val="21"/>
              </w:rPr>
            </w:pPr>
            <w:r>
              <w:rPr>
                <w:color w:val="0000FF"/>
                <w:sz w:val="21"/>
              </w:rPr>
              <w:t>危险废物</w:t>
            </w:r>
          </w:p>
        </w:tc>
        <w:tc>
          <w:tcPr>
            <w:tcW w:w="1142" w:type="dxa"/>
          </w:tcPr>
          <w:p>
            <w:pPr>
              <w:pStyle w:val="19"/>
              <w:spacing w:before="118"/>
              <w:jc w:val="center"/>
              <w:rPr>
                <w:rFonts w:hint="eastAsia" w:ascii="Times New Roman" w:eastAsia="宋体"/>
                <w:color w:val="0000FF"/>
                <w:sz w:val="21"/>
                <w:lang w:eastAsia="zh-CN"/>
              </w:rPr>
            </w:pPr>
            <w:r>
              <w:rPr>
                <w:rFonts w:hint="eastAsia" w:ascii="Times New Roman"/>
                <w:color w:val="0000FF"/>
                <w:sz w:val="21"/>
                <w:lang w:val="en-US" w:eastAsia="zh-CN"/>
              </w:rPr>
              <w:t>8</w:t>
            </w:r>
          </w:p>
        </w:tc>
        <w:tc>
          <w:tcPr>
            <w:tcW w:w="3111" w:type="dxa"/>
          </w:tcPr>
          <w:p>
            <w:pPr>
              <w:pStyle w:val="19"/>
              <w:spacing w:line="240" w:lineRule="exact"/>
              <w:ind w:left="108" w:right="96"/>
              <w:jc w:val="left"/>
              <w:rPr>
                <w:color w:val="0000FF"/>
                <w:sz w:val="21"/>
              </w:rPr>
            </w:pPr>
            <w:r>
              <w:rPr>
                <w:color w:val="0000FF"/>
                <w:sz w:val="21"/>
              </w:rPr>
              <w:t>本项目病死羊采用干化法畜禽无害化处理方式处理，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50" w:type="dxa"/>
          </w:tcPr>
          <w:p>
            <w:pPr>
              <w:pStyle w:val="19"/>
              <w:spacing w:before="5"/>
              <w:jc w:val="left"/>
              <w:rPr>
                <w:b/>
                <w:color w:val="0000FF"/>
                <w:sz w:val="18"/>
              </w:rPr>
            </w:pPr>
          </w:p>
          <w:p>
            <w:pPr>
              <w:pStyle w:val="19"/>
              <w:ind w:left="7"/>
              <w:rPr>
                <w:rFonts w:ascii="Times New Roman"/>
                <w:color w:val="0000FF"/>
                <w:sz w:val="21"/>
              </w:rPr>
            </w:pPr>
            <w:r>
              <w:rPr>
                <w:rFonts w:ascii="Times New Roman"/>
                <w:color w:val="0000FF"/>
                <w:w w:val="99"/>
                <w:sz w:val="21"/>
              </w:rPr>
              <w:t>6</w:t>
            </w:r>
          </w:p>
        </w:tc>
        <w:tc>
          <w:tcPr>
            <w:tcW w:w="1045" w:type="dxa"/>
          </w:tcPr>
          <w:p>
            <w:pPr>
              <w:pStyle w:val="19"/>
              <w:spacing w:before="125" w:line="213" w:lineRule="auto"/>
              <w:ind w:left="206" w:right="52" w:hanging="99"/>
              <w:jc w:val="left"/>
              <w:rPr>
                <w:color w:val="0000FF"/>
                <w:sz w:val="21"/>
              </w:rPr>
            </w:pPr>
            <w:r>
              <w:rPr>
                <w:color w:val="0000FF"/>
                <w:sz w:val="21"/>
              </w:rPr>
              <w:t>消毒、防疫废物</w:t>
            </w:r>
          </w:p>
        </w:tc>
        <w:tc>
          <w:tcPr>
            <w:tcW w:w="1508" w:type="dxa"/>
          </w:tcPr>
          <w:p>
            <w:pPr>
              <w:pStyle w:val="19"/>
              <w:spacing w:before="4"/>
              <w:jc w:val="left"/>
              <w:rPr>
                <w:b/>
                <w:color w:val="0000FF"/>
                <w:sz w:val="17"/>
              </w:rPr>
            </w:pPr>
          </w:p>
          <w:p>
            <w:pPr>
              <w:pStyle w:val="19"/>
              <w:ind w:left="332"/>
              <w:jc w:val="left"/>
              <w:rPr>
                <w:color w:val="0000FF"/>
                <w:sz w:val="21"/>
              </w:rPr>
            </w:pPr>
            <w:r>
              <w:rPr>
                <w:color w:val="0000FF"/>
                <w:sz w:val="21"/>
              </w:rPr>
              <w:t>卫生防疫</w:t>
            </w:r>
          </w:p>
        </w:tc>
        <w:tc>
          <w:tcPr>
            <w:tcW w:w="1263" w:type="dxa"/>
          </w:tcPr>
          <w:p>
            <w:pPr>
              <w:pStyle w:val="19"/>
              <w:spacing w:line="244" w:lineRule="exact"/>
              <w:ind w:left="120" w:right="112"/>
              <w:rPr>
                <w:color w:val="0000FF"/>
                <w:sz w:val="21"/>
              </w:rPr>
            </w:pPr>
            <w:r>
              <w:rPr>
                <w:color w:val="0000FF"/>
                <w:sz w:val="21"/>
              </w:rPr>
              <w:t>医疗废物</w:t>
            </w:r>
          </w:p>
          <w:p>
            <w:pPr>
              <w:pStyle w:val="19"/>
              <w:spacing w:line="233" w:lineRule="exact"/>
              <w:ind w:left="119" w:right="112"/>
              <w:rPr>
                <w:rFonts w:ascii="Times New Roman"/>
                <w:color w:val="0000FF"/>
                <w:sz w:val="21"/>
              </w:rPr>
            </w:pPr>
            <w:r>
              <w:rPr>
                <w:rFonts w:ascii="Times New Roman"/>
                <w:color w:val="0000FF"/>
                <w:sz w:val="21"/>
              </w:rPr>
              <w:t>HW01</w:t>
            </w:r>
          </w:p>
          <w:p>
            <w:pPr>
              <w:pStyle w:val="19"/>
              <w:spacing w:line="223" w:lineRule="exact"/>
              <w:ind w:left="121" w:right="112"/>
              <w:rPr>
                <w:rFonts w:ascii="Times New Roman"/>
                <w:color w:val="0000FF"/>
                <w:sz w:val="21"/>
              </w:rPr>
            </w:pPr>
            <w:r>
              <w:rPr>
                <w:rFonts w:ascii="Times New Roman"/>
                <w:color w:val="0000FF"/>
                <w:sz w:val="21"/>
              </w:rPr>
              <w:t>900-001-01</w:t>
            </w:r>
          </w:p>
        </w:tc>
        <w:tc>
          <w:tcPr>
            <w:tcW w:w="1142" w:type="dxa"/>
          </w:tcPr>
          <w:p>
            <w:pPr>
              <w:pStyle w:val="19"/>
              <w:spacing w:before="5"/>
              <w:jc w:val="center"/>
              <w:rPr>
                <w:b/>
                <w:color w:val="0000FF"/>
                <w:sz w:val="18"/>
              </w:rPr>
            </w:pPr>
          </w:p>
          <w:p>
            <w:pPr>
              <w:pStyle w:val="19"/>
              <w:ind w:right="410"/>
              <w:jc w:val="center"/>
              <w:rPr>
                <w:rFonts w:ascii="Times New Roman"/>
                <w:color w:val="0000FF"/>
                <w:sz w:val="21"/>
              </w:rPr>
            </w:pPr>
            <w:r>
              <w:rPr>
                <w:rFonts w:hint="eastAsia" w:ascii="Times New Roman"/>
                <w:color w:val="0000FF"/>
                <w:sz w:val="21"/>
                <w:lang w:val="en-US" w:eastAsia="zh-CN"/>
              </w:rPr>
              <w:t xml:space="preserve">     </w:t>
            </w:r>
            <w:r>
              <w:rPr>
                <w:rFonts w:ascii="Times New Roman"/>
                <w:color w:val="0000FF"/>
                <w:sz w:val="21"/>
              </w:rPr>
              <w:t>0.2</w:t>
            </w:r>
          </w:p>
        </w:tc>
        <w:tc>
          <w:tcPr>
            <w:tcW w:w="3111" w:type="dxa"/>
            <w:vMerge w:val="restart"/>
          </w:tcPr>
          <w:p>
            <w:pPr>
              <w:pStyle w:val="19"/>
              <w:spacing w:before="11"/>
              <w:jc w:val="left"/>
              <w:rPr>
                <w:b/>
                <w:color w:val="0000FF"/>
                <w:sz w:val="28"/>
              </w:rPr>
            </w:pPr>
          </w:p>
          <w:p>
            <w:pPr>
              <w:pStyle w:val="19"/>
              <w:spacing w:line="213" w:lineRule="auto"/>
              <w:ind w:left="108" w:right="96"/>
              <w:jc w:val="both"/>
              <w:rPr>
                <w:color w:val="0000FF"/>
                <w:sz w:val="21"/>
              </w:rPr>
            </w:pPr>
            <w:r>
              <w:rPr>
                <w:color w:val="0000FF"/>
                <w:sz w:val="21"/>
              </w:rPr>
              <w:t>本项目产生的医疗废物由项目所在乡镇</w:t>
            </w:r>
            <w:r>
              <w:rPr>
                <w:rFonts w:hint="eastAsia"/>
                <w:color w:val="0000FF"/>
                <w:sz w:val="21"/>
                <w:lang w:eastAsia="zh-CN"/>
              </w:rPr>
              <w:t>莎车</w:t>
            </w:r>
            <w:r>
              <w:rPr>
                <w:color w:val="0000FF"/>
                <w:sz w:val="21"/>
              </w:rPr>
              <w:t>乡兽医站以及村级防疫中心委托有资质的单位处理处置。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50" w:type="dxa"/>
          </w:tcPr>
          <w:p>
            <w:pPr>
              <w:pStyle w:val="19"/>
              <w:spacing w:before="9"/>
              <w:jc w:val="left"/>
              <w:rPr>
                <w:b/>
                <w:color w:val="0000FF"/>
                <w:sz w:val="27"/>
              </w:rPr>
            </w:pPr>
          </w:p>
          <w:p>
            <w:pPr>
              <w:pStyle w:val="19"/>
              <w:ind w:left="7"/>
              <w:rPr>
                <w:rFonts w:ascii="Times New Roman"/>
                <w:color w:val="0000FF"/>
                <w:sz w:val="21"/>
              </w:rPr>
            </w:pPr>
            <w:r>
              <w:rPr>
                <w:rFonts w:ascii="Times New Roman"/>
                <w:color w:val="0000FF"/>
                <w:w w:val="99"/>
                <w:sz w:val="21"/>
              </w:rPr>
              <w:t>7</w:t>
            </w:r>
          </w:p>
        </w:tc>
        <w:tc>
          <w:tcPr>
            <w:tcW w:w="1045" w:type="dxa"/>
          </w:tcPr>
          <w:p>
            <w:pPr>
              <w:pStyle w:val="19"/>
              <w:spacing w:before="1"/>
              <w:jc w:val="left"/>
              <w:rPr>
                <w:b/>
                <w:color w:val="0000FF"/>
                <w:sz w:val="19"/>
              </w:rPr>
            </w:pPr>
          </w:p>
          <w:p>
            <w:pPr>
              <w:pStyle w:val="19"/>
              <w:spacing w:line="213" w:lineRule="auto"/>
              <w:ind w:left="206" w:right="197"/>
              <w:jc w:val="left"/>
              <w:rPr>
                <w:color w:val="0000FF"/>
                <w:sz w:val="21"/>
              </w:rPr>
            </w:pPr>
            <w:r>
              <w:rPr>
                <w:color w:val="0000FF"/>
                <w:sz w:val="21"/>
              </w:rPr>
              <w:t>兽用医疗废物</w:t>
            </w:r>
          </w:p>
        </w:tc>
        <w:tc>
          <w:tcPr>
            <w:tcW w:w="1508" w:type="dxa"/>
          </w:tcPr>
          <w:p>
            <w:pPr>
              <w:pStyle w:val="19"/>
              <w:spacing w:before="8"/>
              <w:jc w:val="left"/>
              <w:rPr>
                <w:b/>
                <w:color w:val="0000FF"/>
                <w:sz w:val="26"/>
              </w:rPr>
            </w:pPr>
          </w:p>
          <w:p>
            <w:pPr>
              <w:pStyle w:val="19"/>
              <w:ind w:left="332"/>
              <w:jc w:val="left"/>
              <w:rPr>
                <w:color w:val="0000FF"/>
                <w:sz w:val="21"/>
              </w:rPr>
            </w:pPr>
            <w:r>
              <w:rPr>
                <w:color w:val="0000FF"/>
                <w:sz w:val="21"/>
              </w:rPr>
              <w:t>卫生防疫</w:t>
            </w:r>
          </w:p>
        </w:tc>
        <w:tc>
          <w:tcPr>
            <w:tcW w:w="1263" w:type="dxa"/>
          </w:tcPr>
          <w:p>
            <w:pPr>
              <w:pStyle w:val="19"/>
              <w:spacing w:line="243" w:lineRule="exact"/>
              <w:ind w:left="211"/>
              <w:jc w:val="left"/>
              <w:rPr>
                <w:color w:val="0000FF"/>
                <w:sz w:val="21"/>
              </w:rPr>
            </w:pPr>
            <w:r>
              <w:rPr>
                <w:color w:val="0000FF"/>
                <w:sz w:val="21"/>
              </w:rPr>
              <w:t>医疗废物</w:t>
            </w:r>
          </w:p>
          <w:p>
            <w:pPr>
              <w:pStyle w:val="19"/>
              <w:spacing w:line="237" w:lineRule="auto"/>
              <w:ind w:left="142" w:right="130" w:firstLine="208"/>
              <w:jc w:val="left"/>
              <w:rPr>
                <w:rFonts w:ascii="Times New Roman"/>
                <w:color w:val="0000FF"/>
                <w:sz w:val="21"/>
              </w:rPr>
            </w:pPr>
            <w:r>
              <w:rPr>
                <w:rFonts w:ascii="Times New Roman"/>
                <w:color w:val="0000FF"/>
                <w:sz w:val="21"/>
              </w:rPr>
              <w:t xml:space="preserve">HW01 </w:t>
            </w:r>
            <w:r>
              <w:rPr>
                <w:rFonts w:ascii="Times New Roman"/>
                <w:color w:val="0000FF"/>
                <w:w w:val="95"/>
                <w:sz w:val="21"/>
              </w:rPr>
              <w:t>831-001-01</w:t>
            </w:r>
          </w:p>
          <w:p>
            <w:pPr>
              <w:pStyle w:val="19"/>
              <w:spacing w:line="224" w:lineRule="exact"/>
              <w:ind w:left="142"/>
              <w:jc w:val="left"/>
              <w:rPr>
                <w:rFonts w:ascii="Times New Roman"/>
                <w:color w:val="0000FF"/>
                <w:sz w:val="21"/>
              </w:rPr>
            </w:pPr>
            <w:r>
              <w:rPr>
                <w:rFonts w:ascii="Times New Roman"/>
                <w:color w:val="0000FF"/>
                <w:sz w:val="21"/>
              </w:rPr>
              <w:t>832-002-01</w:t>
            </w:r>
          </w:p>
        </w:tc>
        <w:tc>
          <w:tcPr>
            <w:tcW w:w="1142" w:type="dxa"/>
          </w:tcPr>
          <w:p>
            <w:pPr>
              <w:pStyle w:val="19"/>
              <w:spacing w:before="9"/>
              <w:jc w:val="center"/>
              <w:rPr>
                <w:b/>
                <w:color w:val="0000FF"/>
                <w:sz w:val="27"/>
              </w:rPr>
            </w:pPr>
          </w:p>
          <w:p>
            <w:pPr>
              <w:pStyle w:val="19"/>
              <w:jc w:val="center"/>
              <w:rPr>
                <w:rFonts w:ascii="Times New Roman"/>
                <w:color w:val="0000FF"/>
                <w:sz w:val="21"/>
              </w:rPr>
            </w:pPr>
            <w:r>
              <w:rPr>
                <w:rFonts w:ascii="Times New Roman"/>
                <w:color w:val="0000FF"/>
                <w:sz w:val="21"/>
              </w:rPr>
              <w:t>6.75</w:t>
            </w:r>
          </w:p>
        </w:tc>
        <w:tc>
          <w:tcPr>
            <w:tcW w:w="3111" w:type="dxa"/>
            <w:vMerge w:val="continue"/>
            <w:tcBorders>
              <w:top w:val="nil"/>
              <w:bottom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50" w:type="dxa"/>
          </w:tcPr>
          <w:p>
            <w:pPr>
              <w:pStyle w:val="19"/>
              <w:ind w:left="7"/>
              <w:rPr>
                <w:rFonts w:hint="eastAsia" w:ascii="Times New Roman" w:eastAsia="宋体"/>
                <w:color w:val="0000FF"/>
                <w:w w:val="99"/>
                <w:sz w:val="21"/>
                <w:lang w:val="en-US" w:eastAsia="zh-CN"/>
              </w:rPr>
            </w:pPr>
            <w:r>
              <w:rPr>
                <w:rFonts w:hint="eastAsia" w:ascii="Times New Roman"/>
                <w:color w:val="0000FF"/>
                <w:w w:val="99"/>
                <w:sz w:val="21"/>
                <w:lang w:val="en-US" w:eastAsia="zh-CN"/>
              </w:rPr>
              <w:t>8</w:t>
            </w:r>
          </w:p>
        </w:tc>
        <w:tc>
          <w:tcPr>
            <w:tcW w:w="1045" w:type="dxa"/>
          </w:tcPr>
          <w:p>
            <w:pPr>
              <w:pStyle w:val="19"/>
              <w:spacing w:line="213" w:lineRule="auto"/>
              <w:ind w:left="206" w:right="197"/>
              <w:jc w:val="left"/>
              <w:rPr>
                <w:rFonts w:hint="default" w:eastAsia="宋体"/>
                <w:color w:val="0000FF"/>
                <w:sz w:val="21"/>
                <w:lang w:val="en-US" w:eastAsia="zh-CN"/>
              </w:rPr>
            </w:pPr>
            <w:r>
              <w:rPr>
                <w:rFonts w:hint="eastAsia"/>
                <w:color w:val="0000FF"/>
                <w:sz w:val="21"/>
                <w:lang w:val="en-US" w:eastAsia="zh-CN"/>
              </w:rPr>
              <w:t>人员生活垃圾</w:t>
            </w:r>
          </w:p>
        </w:tc>
        <w:tc>
          <w:tcPr>
            <w:tcW w:w="1508" w:type="dxa"/>
          </w:tcPr>
          <w:p>
            <w:pPr>
              <w:pStyle w:val="19"/>
              <w:ind w:left="332"/>
              <w:jc w:val="left"/>
              <w:rPr>
                <w:color w:val="0000FF"/>
                <w:sz w:val="21"/>
              </w:rPr>
            </w:pPr>
            <w:r>
              <w:rPr>
                <w:bCs/>
                <w:color w:val="FF0000"/>
                <w:sz w:val="24"/>
                <w:szCs w:val="24"/>
              </w:rPr>
              <w:t>站内设垃圾堆放装置</w:t>
            </w:r>
          </w:p>
        </w:tc>
        <w:tc>
          <w:tcPr>
            <w:tcW w:w="1263" w:type="dxa"/>
          </w:tcPr>
          <w:p>
            <w:pPr>
              <w:pStyle w:val="19"/>
              <w:spacing w:line="224" w:lineRule="exact"/>
              <w:ind w:left="142"/>
              <w:jc w:val="both"/>
              <w:rPr>
                <w:rFonts w:hint="eastAsia" w:ascii="Times New Roman"/>
                <w:color w:val="0000FF"/>
                <w:sz w:val="21"/>
                <w:lang w:val="en-US" w:eastAsia="zh-CN"/>
              </w:rPr>
            </w:pPr>
          </w:p>
          <w:p>
            <w:pPr>
              <w:pStyle w:val="19"/>
              <w:spacing w:line="224" w:lineRule="exact"/>
              <w:ind w:left="142"/>
              <w:jc w:val="both"/>
              <w:rPr>
                <w:rFonts w:hint="eastAsia" w:ascii="Times New Roman" w:eastAsia="宋体"/>
                <w:color w:val="0000FF"/>
                <w:sz w:val="21"/>
                <w:lang w:val="en-US" w:eastAsia="zh-CN"/>
              </w:rPr>
            </w:pPr>
            <w:r>
              <w:rPr>
                <w:rFonts w:hint="eastAsia" w:ascii="Times New Roman"/>
                <w:color w:val="0000FF"/>
                <w:sz w:val="21"/>
                <w:lang w:val="en-US" w:eastAsia="zh-CN"/>
              </w:rPr>
              <w:t>一般固体废弃物</w:t>
            </w:r>
          </w:p>
        </w:tc>
        <w:tc>
          <w:tcPr>
            <w:tcW w:w="1142" w:type="dxa"/>
          </w:tcPr>
          <w:p>
            <w:pPr>
              <w:pStyle w:val="19"/>
              <w:jc w:val="center"/>
              <w:rPr>
                <w:rFonts w:hint="eastAsia"/>
                <w:bCs/>
                <w:color w:val="FF0000"/>
                <w:sz w:val="24"/>
                <w:szCs w:val="24"/>
                <w:lang w:val="en-US" w:eastAsia="zh-CN"/>
              </w:rPr>
            </w:pPr>
          </w:p>
          <w:p>
            <w:pPr>
              <w:pStyle w:val="19"/>
              <w:jc w:val="center"/>
              <w:rPr>
                <w:rFonts w:ascii="Times New Roman"/>
                <w:color w:val="0000FF"/>
                <w:sz w:val="21"/>
              </w:rPr>
            </w:pPr>
            <w:r>
              <w:rPr>
                <w:rFonts w:hint="eastAsia"/>
                <w:bCs/>
                <w:color w:val="FF0000"/>
                <w:sz w:val="24"/>
                <w:szCs w:val="24"/>
                <w:lang w:val="en-US" w:eastAsia="zh-CN"/>
              </w:rPr>
              <w:t>8.76</w:t>
            </w:r>
          </w:p>
        </w:tc>
        <w:tc>
          <w:tcPr>
            <w:tcW w:w="3111" w:type="dxa"/>
            <w:tcBorders>
              <w:top w:val="nil"/>
            </w:tcBorders>
          </w:tcPr>
          <w:p>
            <w:pPr>
              <w:rPr>
                <w:color w:val="0000FF"/>
                <w:sz w:val="2"/>
                <w:szCs w:val="2"/>
              </w:rPr>
            </w:pPr>
            <w:r>
              <w:rPr>
                <w:bCs/>
                <w:color w:val="FF0000"/>
                <w:sz w:val="24"/>
                <w:szCs w:val="24"/>
              </w:rPr>
              <w:t>生活垃圾集中收集后统一送至</w:t>
            </w:r>
            <w:r>
              <w:rPr>
                <w:rFonts w:hint="eastAsia"/>
                <w:bCs/>
                <w:color w:val="FF0000"/>
                <w:sz w:val="24"/>
                <w:szCs w:val="24"/>
                <w:lang w:val="en-US" w:eastAsia="zh-CN"/>
              </w:rPr>
              <w:t>莎车县</w:t>
            </w:r>
            <w:r>
              <w:rPr>
                <w:bCs/>
                <w:color w:val="FF0000"/>
                <w:sz w:val="24"/>
                <w:szCs w:val="24"/>
              </w:rPr>
              <w:t>圾收集系统</w:t>
            </w:r>
          </w:p>
        </w:tc>
      </w:tr>
    </w:tbl>
    <w:p/>
    <w:p>
      <w:pPr>
        <w:pStyle w:val="4"/>
        <w:numPr>
          <w:ilvl w:val="1"/>
          <w:numId w:val="31"/>
        </w:numPr>
        <w:tabs>
          <w:tab w:val="left" w:pos="1100"/>
        </w:tabs>
        <w:spacing w:before="64" w:after="0" w:line="240" w:lineRule="auto"/>
        <w:ind w:left="1099" w:right="0" w:hanging="560"/>
        <w:jc w:val="left"/>
        <w:outlineLvl w:val="1"/>
      </w:pPr>
      <w:bookmarkStart w:id="192" w:name="3.3 总量控制"/>
      <w:bookmarkEnd w:id="192"/>
      <w:bookmarkStart w:id="193" w:name="_bookmark19"/>
      <w:bookmarkEnd w:id="193"/>
      <w:bookmarkStart w:id="194" w:name="_Toc18539"/>
      <w:r>
        <w:t>总量控制</w:t>
      </w:r>
      <w:bookmarkEnd w:id="194"/>
    </w:p>
    <w:p>
      <w:pPr>
        <w:pStyle w:val="7"/>
        <w:spacing w:before="3"/>
        <w:ind w:left="0"/>
        <w:rPr>
          <w:b/>
        </w:rPr>
      </w:pPr>
    </w:p>
    <w:p>
      <w:pPr>
        <w:pStyle w:val="7"/>
        <w:spacing w:before="1" w:line="364" w:lineRule="auto"/>
        <w:ind w:right="577" w:firstLine="480"/>
        <w:jc w:val="both"/>
      </w:pPr>
      <w:r>
        <w:rPr>
          <w:spacing w:val="-8"/>
        </w:rPr>
        <w:t>本项目羊排泄的尿液被垫料吸收、蒸发，项目定期对垫料层和粪便进行清理</w:t>
      </w:r>
      <w:r>
        <w:rPr>
          <w:spacing w:val="-11"/>
        </w:rPr>
        <w:t>更换，不需要对畜舍进行冲洗，无冲栏废水产生。垫料层与羊粪一起进入堆肥厂</w:t>
      </w:r>
      <w:r>
        <w:rPr>
          <w:spacing w:val="-10"/>
        </w:rPr>
        <w:t>堆肥发酵，废水实现综合利用，不外排。本项目职工</w:t>
      </w:r>
      <w:r>
        <w:rPr>
          <w:rFonts w:hint="eastAsia"/>
          <w:spacing w:val="-10"/>
          <w:lang w:val="en-US" w:eastAsia="zh-CN"/>
        </w:rPr>
        <w:t>人数较少产生的污水</w:t>
      </w:r>
      <w:r>
        <w:rPr>
          <w:rFonts w:hint="eastAsia" w:ascii="宋体" w:hAnsi="宋体" w:eastAsia="宋体" w:cs="宋体"/>
          <w:color w:val="FF0000"/>
          <w:spacing w:val="-1"/>
          <w:sz w:val="24"/>
          <w:szCs w:val="24"/>
          <w:lang w:val="en-US" w:eastAsia="zh-CN"/>
        </w:rPr>
        <w:t>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spacing w:val="-10"/>
        </w:rPr>
        <w:t>。因此，本项目不需申请水污染物排放总量控制</w:t>
      </w:r>
      <w:r>
        <w:t>指标。</w:t>
      </w:r>
    </w:p>
    <w:p>
      <w:pPr>
        <w:pStyle w:val="7"/>
        <w:spacing w:before="3" w:line="362" w:lineRule="auto"/>
        <w:ind w:right="485" w:firstLine="480"/>
      </w:pPr>
      <w:r>
        <w:rPr>
          <w:spacing w:val="-1"/>
        </w:rPr>
        <w:t>本项目废气主要为羊舍舍及污粪处理区恶臭气体，污染因子为氨、硫化氢、</w:t>
      </w:r>
      <w:r>
        <w:rPr>
          <w:spacing w:val="-10"/>
          <w:position w:val="2"/>
        </w:rPr>
        <w:t>臭气浓度等，无</w:t>
      </w:r>
      <w:r>
        <w:rPr>
          <w:rFonts w:ascii="Times New Roman" w:eastAsia="Times New Roman"/>
          <w:position w:val="2"/>
        </w:rPr>
        <w:t>SO</w:t>
      </w:r>
      <w:r>
        <w:rPr>
          <w:rFonts w:ascii="Times New Roman" w:eastAsia="Times New Roman"/>
          <w:position w:val="2"/>
          <w:vertAlign w:val="subscript"/>
        </w:rPr>
        <w:t>2</w:t>
      </w:r>
      <w:r>
        <w:rPr>
          <w:spacing w:val="-12"/>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X</w:t>
      </w:r>
      <w:r>
        <w:rPr>
          <w:spacing w:val="-30"/>
          <w:position w:val="2"/>
          <w:vertAlign w:val="baseline"/>
        </w:rPr>
        <w:t>及</w:t>
      </w:r>
      <w:r>
        <w:rPr>
          <w:rFonts w:ascii="Times New Roman" w:eastAsia="Times New Roman"/>
          <w:position w:val="2"/>
          <w:vertAlign w:val="baseline"/>
        </w:rPr>
        <w:t>VOC</w:t>
      </w:r>
      <w:r>
        <w:rPr>
          <w:rFonts w:ascii="Times New Roman" w:eastAsia="Times New Roman"/>
          <w:position w:val="2"/>
          <w:vertAlign w:val="subscript"/>
        </w:rPr>
        <w:t>S</w:t>
      </w:r>
      <w:r>
        <w:rPr>
          <w:spacing w:val="-5"/>
          <w:position w:val="2"/>
          <w:vertAlign w:val="baseline"/>
        </w:rPr>
        <w:t>排放，因此，本项目不需申请废气污染物排</w:t>
      </w:r>
      <w:r>
        <w:rPr>
          <w:spacing w:val="-5"/>
          <w:vertAlign w:val="baseline"/>
        </w:rPr>
        <w:t>污总量控制指标。</w:t>
      </w:r>
    </w:p>
    <w:p>
      <w:pPr>
        <w:pStyle w:val="7"/>
        <w:spacing w:before="6"/>
        <w:ind w:left="1020"/>
      </w:pPr>
      <w:r>
        <w:t>综上所述，本项目无需申请总量控制指标。</w:t>
      </w:r>
    </w:p>
    <w:p>
      <w:pPr>
        <w:pStyle w:val="7"/>
        <w:spacing w:before="6"/>
        <w:ind w:left="0"/>
      </w:pPr>
    </w:p>
    <w:p>
      <w:pPr>
        <w:pStyle w:val="4"/>
        <w:numPr>
          <w:ilvl w:val="1"/>
          <w:numId w:val="31"/>
        </w:numPr>
        <w:tabs>
          <w:tab w:val="left" w:pos="1100"/>
        </w:tabs>
        <w:spacing w:before="0" w:after="0" w:line="240" w:lineRule="auto"/>
        <w:ind w:left="1099" w:right="0" w:hanging="560"/>
        <w:jc w:val="left"/>
        <w:outlineLvl w:val="1"/>
      </w:pPr>
      <w:bookmarkStart w:id="195" w:name="_bookmark20"/>
      <w:bookmarkEnd w:id="195"/>
      <w:bookmarkStart w:id="196" w:name="3.4 清洁生产与循环经济"/>
      <w:bookmarkEnd w:id="196"/>
      <w:bookmarkStart w:id="197" w:name="_Toc18096"/>
      <w:r>
        <w:t>清洁生产与循环经济</w:t>
      </w:r>
      <w:bookmarkEnd w:id="197"/>
    </w:p>
    <w:p>
      <w:pPr>
        <w:pStyle w:val="7"/>
        <w:spacing w:before="5"/>
        <w:ind w:left="0"/>
        <w:rPr>
          <w:b/>
          <w:sz w:val="28"/>
        </w:rPr>
      </w:pPr>
    </w:p>
    <w:p>
      <w:pPr>
        <w:pStyle w:val="5"/>
        <w:numPr>
          <w:ilvl w:val="2"/>
          <w:numId w:val="31"/>
        </w:numPr>
        <w:tabs>
          <w:tab w:val="left" w:pos="1241"/>
        </w:tabs>
        <w:spacing w:before="1" w:after="0" w:line="240" w:lineRule="auto"/>
        <w:ind w:left="1240" w:right="0" w:hanging="701"/>
        <w:jc w:val="left"/>
        <w:outlineLvl w:val="2"/>
      </w:pPr>
      <w:bookmarkStart w:id="198" w:name="3.4.1 清洁生产的意义"/>
      <w:bookmarkEnd w:id="198"/>
      <w:bookmarkStart w:id="199" w:name="3.4.1 清洁生产的意义"/>
      <w:bookmarkEnd w:id="199"/>
      <w:bookmarkStart w:id="200" w:name="_Toc31028"/>
      <w:r>
        <w:t>清洁生产的意义</w:t>
      </w:r>
      <w:bookmarkEnd w:id="200"/>
    </w:p>
    <w:p>
      <w:pPr>
        <w:pStyle w:val="7"/>
        <w:spacing w:before="4"/>
        <w:ind w:left="0"/>
        <w:rPr>
          <w:b/>
          <w:sz w:val="21"/>
        </w:rPr>
      </w:pPr>
    </w:p>
    <w:p>
      <w:pPr>
        <w:pStyle w:val="7"/>
        <w:spacing w:before="1" w:line="364" w:lineRule="auto"/>
        <w:ind w:right="485" w:firstLine="480"/>
      </w:pPr>
      <w:r>
        <w:rPr>
          <w:spacing w:val="-5"/>
        </w:rPr>
        <w:t>清洁生产是贯彻可持续发展战略方针的重要举措。清洁生产是指将综合预防</w:t>
      </w:r>
      <w:r>
        <w:rPr>
          <w:spacing w:val="-6"/>
        </w:rPr>
        <w:t>的环境策略持续地应用于生产过程和产品中，以便减少对人类和环境的风险性。</w:t>
      </w:r>
      <w:r>
        <w:rPr>
          <w:spacing w:val="-5"/>
        </w:rPr>
        <w:t>它主要包括生产过程和产品二个部分。对生产过程而言，清洁生产包括节约原材</w:t>
      </w:r>
      <w:r>
        <w:rPr>
          <w:spacing w:val="-12"/>
        </w:rPr>
        <w:t>料和能源，淘汰有毒原材料并在全部排放物和废物离开生产过程以前减少它的数量和毒性；对产品而言，清洁生产策略旨在减少产品在整个生产周期过程</w:t>
      </w:r>
      <w:r>
        <w:rPr>
          <w:spacing w:val="-3"/>
        </w:rPr>
        <w:t>（</w:t>
      </w:r>
      <w:r>
        <w:t>包括从原料提炼到产品的最终处置</w:t>
      </w:r>
      <w:r>
        <w:rPr>
          <w:spacing w:val="-48"/>
        </w:rPr>
        <w:t>）</w:t>
      </w:r>
      <w:r>
        <w:rPr>
          <w:spacing w:val="-5"/>
        </w:rPr>
        <w:t>中对人类和环境的影响。污染预防是当今世界也</w:t>
      </w:r>
      <w:r>
        <w:rPr>
          <w:spacing w:val="-10"/>
        </w:rPr>
        <w:t>是我国政府提倡的环境保护政策。实施清洁生产是可持续发展战略的要求，力求</w:t>
      </w:r>
      <w:r>
        <w:rPr>
          <w:spacing w:val="-12"/>
        </w:rPr>
        <w:t>工业提高能效，开发更清洁的技术，更新、代替对环境有害的产品和原材料，实</w:t>
      </w:r>
      <w:r>
        <w:rPr>
          <w:spacing w:val="-16"/>
        </w:rPr>
        <w:t>现环境和资源的保护和有效管理；实行清洁生产是控制环境污染的有效手段；实</w:t>
      </w:r>
      <w:r>
        <w:t>行清洁生产可大大降低末端处理的负担；实行清洁生产可提高企业的市场竞争力。</w:t>
      </w:r>
    </w:p>
    <w:p>
      <w:pPr>
        <w:pStyle w:val="7"/>
        <w:keepNext w:val="0"/>
        <w:keepLines w:val="0"/>
        <w:pageBreakBefore w:val="0"/>
        <w:widowControl w:val="0"/>
        <w:kinsoku/>
        <w:wordWrap/>
        <w:overflowPunct/>
        <w:topLinePunct w:val="0"/>
        <w:autoSpaceDE w:val="0"/>
        <w:autoSpaceDN w:val="0"/>
        <w:bidi w:val="0"/>
        <w:adjustRightInd/>
        <w:snapToGrid/>
        <w:spacing w:before="8" w:line="360" w:lineRule="auto"/>
        <w:ind w:left="220" w:leftChars="100" w:right="220" w:rightChars="100" w:firstLine="452" w:firstLineChars="200"/>
        <w:textAlignment w:val="auto"/>
        <w:rPr>
          <w:sz w:val="9"/>
        </w:rPr>
      </w:pPr>
      <w:r>
        <w:rPr>
          <w:spacing w:val="-7"/>
        </w:rPr>
        <w:t>本项目运营期间实行清洁生产，是指在生产过程中选用清洁原料，采用先进</w:t>
      </w:r>
      <w:r>
        <w:rPr>
          <w:spacing w:val="-11"/>
        </w:rPr>
        <w:t>工艺、先进技术和设备。通过生产全过程控制和资源能源的合理配置，最大限度</w:t>
      </w:r>
      <w:r>
        <w:rPr>
          <w:spacing w:val="-7"/>
        </w:rPr>
        <w:t>地把原料转化为产品，把污染消灭在生产过程中，达到节能、降耗、减污、增效</w:t>
      </w:r>
      <w:r>
        <w:t>的目的。</w:t>
      </w:r>
    </w:p>
    <w:p>
      <w:pPr>
        <w:pStyle w:val="5"/>
        <w:numPr>
          <w:ilvl w:val="2"/>
          <w:numId w:val="31"/>
        </w:numPr>
        <w:tabs>
          <w:tab w:val="left" w:pos="1241"/>
        </w:tabs>
        <w:spacing w:before="73" w:after="0" w:line="240" w:lineRule="auto"/>
        <w:ind w:left="1240" w:right="0" w:hanging="701"/>
        <w:jc w:val="both"/>
        <w:outlineLvl w:val="2"/>
      </w:pPr>
      <w:bookmarkStart w:id="201" w:name="3.4.2 清洁生产水平分析"/>
      <w:bookmarkEnd w:id="201"/>
      <w:bookmarkStart w:id="202" w:name="3.4.2 清洁生产水平分析"/>
      <w:bookmarkEnd w:id="202"/>
      <w:bookmarkStart w:id="203" w:name="_Toc19358"/>
      <w:r>
        <w:t>清洁生产水平分析</w:t>
      </w:r>
      <w:bookmarkEnd w:id="203"/>
    </w:p>
    <w:p>
      <w:pPr>
        <w:pStyle w:val="7"/>
        <w:spacing w:before="12"/>
        <w:ind w:left="0"/>
        <w:rPr>
          <w:b/>
          <w:sz w:val="21"/>
        </w:rPr>
      </w:pPr>
    </w:p>
    <w:p>
      <w:pPr>
        <w:pStyle w:val="18"/>
        <w:numPr>
          <w:ilvl w:val="3"/>
          <w:numId w:val="31"/>
        </w:numPr>
        <w:tabs>
          <w:tab w:val="left" w:pos="1320"/>
        </w:tabs>
        <w:spacing w:before="0" w:after="0" w:line="240" w:lineRule="auto"/>
        <w:ind w:left="1320" w:right="0" w:hanging="780"/>
        <w:jc w:val="both"/>
        <w:rPr>
          <w:sz w:val="24"/>
        </w:rPr>
      </w:pPr>
      <w:bookmarkStart w:id="204" w:name="3.4.2.1 清洁生产定性评价指标"/>
      <w:bookmarkEnd w:id="204"/>
      <w:bookmarkStart w:id="205" w:name="3.4.2.1 清洁生产定性评价指标"/>
      <w:bookmarkEnd w:id="205"/>
      <w:r>
        <w:rPr>
          <w:sz w:val="24"/>
        </w:rPr>
        <w:t>清洁生产定性评价指标</w:t>
      </w:r>
    </w:p>
    <w:p>
      <w:pPr>
        <w:pStyle w:val="7"/>
        <w:spacing w:before="216" w:line="360" w:lineRule="auto"/>
        <w:ind w:right="457" w:firstLine="480"/>
        <w:jc w:val="both"/>
      </w:pPr>
      <w:r>
        <w:rPr>
          <w:spacing w:val="-9"/>
        </w:rPr>
        <w:t>根据《建设项目环境影响评价清洁生产分析程序》清洁生产评价指标分为六</w:t>
      </w:r>
      <w:r>
        <w:rPr>
          <w:spacing w:val="-11"/>
        </w:rPr>
        <w:t>类：生产工艺与装备要求、资源能源利用指标、产品指标、污染物产生指标、废</w:t>
      </w:r>
      <w:r>
        <w:rPr>
          <w:spacing w:val="-16"/>
        </w:rPr>
        <w:t>弃物回收利用指标和环境管理要求。目前国家尚未颁布畜禽养殖类清洁生产指标</w:t>
      </w:r>
      <w:r>
        <w:rPr>
          <w:spacing w:val="-12"/>
        </w:rPr>
        <w:t>体系，因此，本次环评参考畜禽养殖类有关规范和标准要求作为本项目清洁生产</w:t>
      </w:r>
      <w:r>
        <w:rPr>
          <w:spacing w:val="-13"/>
        </w:rPr>
        <w:t>的评价指标。指标主要来源于：《家畜家禽防疫条例实施细则》、《畜禽养殖业</w:t>
      </w:r>
      <w:r>
        <w:rPr>
          <w:spacing w:val="-15"/>
        </w:rPr>
        <w:t>污染防治技术规范》、《畜禽养殖污染防治管理办法》、无公害食品《畜禽饮用</w:t>
      </w:r>
      <w:r>
        <w:rPr>
          <w:spacing w:val="-21"/>
        </w:rPr>
        <w:t>水水质》、《畜禽养殖业污染治理工程技术规范》</w:t>
      </w:r>
      <w:r>
        <w:rPr>
          <w:spacing w:val="-42"/>
        </w:rPr>
        <w:t>、《生物有机肥》</w:t>
      </w:r>
      <w:r>
        <w:t>（</w:t>
      </w:r>
      <w:r>
        <w:rPr>
          <w:rFonts w:ascii="Times New Roman" w:eastAsia="Times New Roman"/>
          <w:spacing w:val="-1"/>
        </w:rPr>
        <w:t>NY</w:t>
      </w:r>
      <w:r>
        <w:rPr>
          <w:rFonts w:ascii="Times New Roman" w:eastAsia="Times New Roman"/>
        </w:rPr>
        <w:t>884</w:t>
      </w:r>
      <w:r>
        <w:rPr>
          <w:rFonts w:ascii="Times New Roman" w:eastAsia="Times New Roman"/>
          <w:spacing w:val="-1"/>
        </w:rPr>
        <w:t>-</w:t>
      </w:r>
      <w:r>
        <w:rPr>
          <w:rFonts w:ascii="Times New Roman" w:eastAsia="Times New Roman"/>
        </w:rPr>
        <w:t>201</w:t>
      </w:r>
      <w:r>
        <w:rPr>
          <w:rFonts w:ascii="Times New Roman" w:eastAsia="Times New Roman"/>
          <w:spacing w:val="2"/>
        </w:rPr>
        <w:t>2</w:t>
      </w:r>
      <w:r>
        <w:rPr>
          <w:spacing w:val="-120"/>
        </w:rPr>
        <w:t>）</w:t>
      </w:r>
      <w:r>
        <w:rPr>
          <w:spacing w:val="-14"/>
        </w:rPr>
        <w:t>。</w:t>
      </w:r>
    </w:p>
    <w:p>
      <w:pPr>
        <w:tabs>
          <w:tab w:val="left" w:pos="4252"/>
        </w:tabs>
        <w:spacing w:before="0" w:line="381" w:lineRule="auto"/>
        <w:ind w:left="2733" w:right="1124" w:hanging="1714"/>
        <w:jc w:val="both"/>
        <w:rPr>
          <w:b/>
          <w:sz w:val="24"/>
        </w:rPr>
      </w:pPr>
      <w:r>
        <w:rPr>
          <w:sz w:val="24"/>
        </w:rPr>
        <w:t>根据以上规范和相关要求，本项目清洁生产定性评价统计见表</w:t>
      </w:r>
      <w:r>
        <w:rPr>
          <w:rFonts w:ascii="Times New Roman" w:eastAsia="Times New Roman"/>
          <w:sz w:val="24"/>
        </w:rPr>
        <w:t>3.4-1</w:t>
      </w:r>
      <w:r>
        <w:rPr>
          <w:spacing w:val="-16"/>
          <w:sz w:val="24"/>
        </w:rPr>
        <w:t>。</w:t>
      </w:r>
      <w:r>
        <w:rPr>
          <w:b/>
          <w:sz w:val="24"/>
        </w:rPr>
        <w:t>表</w:t>
      </w:r>
      <w:r>
        <w:rPr>
          <w:rFonts w:ascii="Times New Roman" w:eastAsia="Times New Roman"/>
          <w:b/>
          <w:sz w:val="24"/>
        </w:rPr>
        <w:t>3.4-1</w:t>
      </w:r>
      <w:r>
        <w:rPr>
          <w:rFonts w:ascii="Times New Roman" w:eastAsia="Times New Roman"/>
          <w:b/>
          <w:sz w:val="24"/>
        </w:rPr>
        <w:tab/>
      </w:r>
      <w:r>
        <w:rPr>
          <w:b/>
          <w:sz w:val="24"/>
        </w:rPr>
        <w:t>项目清洁生产评价指标</w:t>
      </w:r>
    </w:p>
    <w:tbl>
      <w:tblPr>
        <w:tblStyle w:val="15"/>
        <w:tblpPr w:leftFromText="180" w:rightFromText="180" w:vertAnchor="text" w:horzAnchor="page" w:tblpX="1733" w:tblpY="26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1"/>
        <w:gridCol w:w="4095"/>
        <w:gridCol w:w="2129"/>
        <w:gridCol w:w="1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131" w:type="dxa"/>
          </w:tcPr>
          <w:p>
            <w:pPr>
              <w:pStyle w:val="19"/>
              <w:spacing w:before="33"/>
              <w:ind w:left="145"/>
              <w:jc w:val="left"/>
              <w:rPr>
                <w:b/>
                <w:sz w:val="21"/>
              </w:rPr>
            </w:pPr>
            <w:r>
              <w:rPr>
                <w:b/>
                <w:sz w:val="21"/>
              </w:rPr>
              <w:t>评价指标</w:t>
            </w:r>
          </w:p>
        </w:tc>
        <w:tc>
          <w:tcPr>
            <w:tcW w:w="4095" w:type="dxa"/>
          </w:tcPr>
          <w:p>
            <w:pPr>
              <w:pStyle w:val="19"/>
              <w:spacing w:before="33"/>
              <w:ind w:left="80" w:right="69"/>
              <w:rPr>
                <w:b/>
                <w:sz w:val="21"/>
              </w:rPr>
            </w:pPr>
            <w:r>
              <w:rPr>
                <w:b/>
                <w:sz w:val="21"/>
              </w:rPr>
              <w:t>清洁生产指标</w:t>
            </w:r>
          </w:p>
        </w:tc>
        <w:tc>
          <w:tcPr>
            <w:tcW w:w="2129" w:type="dxa"/>
          </w:tcPr>
          <w:p>
            <w:pPr>
              <w:pStyle w:val="19"/>
              <w:spacing w:before="33"/>
              <w:ind w:left="329"/>
              <w:jc w:val="left"/>
              <w:rPr>
                <w:b/>
                <w:sz w:val="21"/>
              </w:rPr>
            </w:pPr>
            <w:r>
              <w:rPr>
                <w:b/>
                <w:sz w:val="21"/>
              </w:rPr>
              <w:t>本项目设计情况</w:t>
            </w:r>
          </w:p>
        </w:tc>
        <w:tc>
          <w:tcPr>
            <w:tcW w:w="1088" w:type="dxa"/>
          </w:tcPr>
          <w:p>
            <w:pPr>
              <w:pStyle w:val="19"/>
              <w:spacing w:before="33"/>
              <w:ind w:left="101" w:right="92"/>
              <w:rPr>
                <w:b/>
                <w:sz w:val="21"/>
              </w:rPr>
            </w:pPr>
            <w:r>
              <w:rPr>
                <w:b/>
                <w:sz w:val="21"/>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131" w:type="dxa"/>
            <w:vMerge w:val="restart"/>
          </w:tcPr>
          <w:p>
            <w:pPr>
              <w:pStyle w:val="19"/>
              <w:jc w:val="left"/>
              <w:rPr>
                <w:b/>
                <w:sz w:val="20"/>
              </w:rPr>
            </w:pPr>
          </w:p>
          <w:p>
            <w:pPr>
              <w:pStyle w:val="19"/>
              <w:jc w:val="left"/>
              <w:rPr>
                <w:b/>
                <w:sz w:val="20"/>
              </w:rPr>
            </w:pPr>
          </w:p>
          <w:p>
            <w:pPr>
              <w:pStyle w:val="19"/>
              <w:jc w:val="left"/>
              <w:rPr>
                <w:b/>
                <w:sz w:val="20"/>
              </w:rPr>
            </w:pPr>
          </w:p>
          <w:p>
            <w:pPr>
              <w:pStyle w:val="19"/>
              <w:spacing w:before="9"/>
              <w:jc w:val="left"/>
              <w:rPr>
                <w:b/>
                <w:sz w:val="16"/>
              </w:rPr>
            </w:pPr>
          </w:p>
          <w:p>
            <w:pPr>
              <w:pStyle w:val="19"/>
              <w:spacing w:line="213" w:lineRule="auto"/>
              <w:ind w:left="145" w:right="30" w:hanging="106"/>
              <w:jc w:val="left"/>
              <w:rPr>
                <w:sz w:val="21"/>
              </w:rPr>
            </w:pPr>
            <w:r>
              <w:rPr>
                <w:sz w:val="21"/>
              </w:rPr>
              <w:t>生产工艺与装备要求</w:t>
            </w:r>
          </w:p>
        </w:tc>
        <w:tc>
          <w:tcPr>
            <w:tcW w:w="4095" w:type="dxa"/>
          </w:tcPr>
          <w:p>
            <w:pPr>
              <w:pStyle w:val="19"/>
              <w:spacing w:before="34"/>
              <w:ind w:left="80" w:right="74"/>
              <w:rPr>
                <w:sz w:val="21"/>
              </w:rPr>
            </w:pPr>
            <w:r>
              <w:rPr>
                <w:sz w:val="21"/>
              </w:rPr>
              <w:t>是否全进全出的饲养方式</w:t>
            </w:r>
          </w:p>
        </w:tc>
        <w:tc>
          <w:tcPr>
            <w:tcW w:w="2129" w:type="dxa"/>
          </w:tcPr>
          <w:p>
            <w:pPr>
              <w:pStyle w:val="19"/>
              <w:spacing w:before="34"/>
              <w:ind w:left="5"/>
              <w:rPr>
                <w:sz w:val="21"/>
              </w:rPr>
            </w:pPr>
            <w:r>
              <w:rPr>
                <w:w w:val="99"/>
                <w:sz w:val="21"/>
              </w:rPr>
              <w:t>是</w:t>
            </w:r>
          </w:p>
        </w:tc>
        <w:tc>
          <w:tcPr>
            <w:tcW w:w="1088" w:type="dxa"/>
          </w:tcPr>
          <w:p>
            <w:pPr>
              <w:pStyle w:val="19"/>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4"/>
              <w:ind w:left="80" w:right="71"/>
              <w:rPr>
                <w:sz w:val="21"/>
              </w:rPr>
            </w:pPr>
            <w:r>
              <w:rPr>
                <w:sz w:val="21"/>
              </w:rPr>
              <w:t>生产区、粪污治理区、生活区是否分区</w:t>
            </w:r>
          </w:p>
        </w:tc>
        <w:tc>
          <w:tcPr>
            <w:tcW w:w="2129" w:type="dxa"/>
          </w:tcPr>
          <w:p>
            <w:pPr>
              <w:pStyle w:val="19"/>
              <w:spacing w:before="34"/>
              <w:ind w:left="5"/>
              <w:rPr>
                <w:sz w:val="21"/>
              </w:rPr>
            </w:pPr>
            <w:r>
              <w:rPr>
                <w:w w:val="99"/>
                <w:sz w:val="21"/>
              </w:rPr>
              <w:t>是</w:t>
            </w:r>
          </w:p>
        </w:tc>
        <w:tc>
          <w:tcPr>
            <w:tcW w:w="1088" w:type="dxa"/>
          </w:tcPr>
          <w:p>
            <w:pPr>
              <w:pStyle w:val="19"/>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131" w:type="dxa"/>
            <w:vMerge w:val="continue"/>
            <w:tcBorders>
              <w:top w:val="nil"/>
            </w:tcBorders>
          </w:tcPr>
          <w:p>
            <w:pPr>
              <w:rPr>
                <w:sz w:val="2"/>
                <w:szCs w:val="2"/>
              </w:rPr>
            </w:pPr>
          </w:p>
        </w:tc>
        <w:tc>
          <w:tcPr>
            <w:tcW w:w="4095" w:type="dxa"/>
          </w:tcPr>
          <w:p>
            <w:pPr>
              <w:pStyle w:val="19"/>
              <w:spacing w:before="35"/>
              <w:ind w:left="80" w:right="174"/>
              <w:rPr>
                <w:rFonts w:hint="eastAsia" w:eastAsia="宋体"/>
                <w:sz w:val="21"/>
                <w:lang w:eastAsia="zh-CN"/>
              </w:rPr>
            </w:pPr>
            <w:r>
              <w:rPr>
                <w:w w:val="95"/>
                <w:sz w:val="21"/>
              </w:rPr>
              <w:t>饮水是否达到无公害食品畜禽饮用水水质</w:t>
            </w:r>
          </w:p>
        </w:tc>
        <w:tc>
          <w:tcPr>
            <w:tcW w:w="2129" w:type="dxa"/>
          </w:tcPr>
          <w:p>
            <w:pPr>
              <w:pStyle w:val="19"/>
              <w:tabs>
                <w:tab w:val="left" w:pos="957"/>
              </w:tabs>
              <w:spacing w:before="35"/>
              <w:jc w:val="left"/>
              <w:rPr>
                <w:sz w:val="21"/>
              </w:rPr>
            </w:pPr>
            <w:r>
              <w:rPr>
                <w:sz w:val="21"/>
              </w:rPr>
              <w:tab/>
            </w:r>
            <w:r>
              <w:rPr>
                <w:sz w:val="21"/>
              </w:rPr>
              <w:t>是</w:t>
            </w:r>
          </w:p>
        </w:tc>
        <w:tc>
          <w:tcPr>
            <w:tcW w:w="1088" w:type="dxa"/>
          </w:tcPr>
          <w:p>
            <w:pPr>
              <w:pStyle w:val="19"/>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5"/>
              <w:ind w:left="80" w:right="76"/>
              <w:rPr>
                <w:sz w:val="21"/>
              </w:rPr>
            </w:pPr>
            <w:r>
              <w:rPr>
                <w:sz w:val="21"/>
              </w:rPr>
              <w:t>净、污道是否分开</w:t>
            </w:r>
          </w:p>
        </w:tc>
        <w:tc>
          <w:tcPr>
            <w:tcW w:w="2129" w:type="dxa"/>
          </w:tcPr>
          <w:p>
            <w:pPr>
              <w:pStyle w:val="19"/>
              <w:spacing w:before="35"/>
              <w:ind w:left="5"/>
              <w:rPr>
                <w:sz w:val="21"/>
              </w:rPr>
            </w:pPr>
            <w:r>
              <w:rPr>
                <w:w w:val="99"/>
                <w:sz w:val="21"/>
              </w:rPr>
              <w:t>是</w:t>
            </w:r>
          </w:p>
        </w:tc>
        <w:tc>
          <w:tcPr>
            <w:tcW w:w="1088" w:type="dxa"/>
          </w:tcPr>
          <w:p>
            <w:pPr>
              <w:pStyle w:val="19"/>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3"/>
              <w:ind w:left="80" w:right="74"/>
              <w:rPr>
                <w:sz w:val="21"/>
              </w:rPr>
            </w:pPr>
            <w:r>
              <w:rPr>
                <w:sz w:val="21"/>
              </w:rPr>
              <w:t>羊舍通风、采光、温度、湿度是否适宜</w:t>
            </w:r>
          </w:p>
        </w:tc>
        <w:tc>
          <w:tcPr>
            <w:tcW w:w="2129" w:type="dxa"/>
          </w:tcPr>
          <w:p>
            <w:pPr>
              <w:pStyle w:val="19"/>
              <w:spacing w:before="33"/>
              <w:ind w:left="5"/>
              <w:rPr>
                <w:sz w:val="21"/>
              </w:rPr>
            </w:pPr>
            <w:r>
              <w:rPr>
                <w:w w:val="99"/>
                <w:sz w:val="21"/>
              </w:rPr>
              <w:t>是</w:t>
            </w:r>
          </w:p>
        </w:tc>
        <w:tc>
          <w:tcPr>
            <w:tcW w:w="1088" w:type="dxa"/>
          </w:tcPr>
          <w:p>
            <w:pPr>
              <w:pStyle w:val="19"/>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3"/>
              <w:ind w:left="80" w:right="76"/>
              <w:rPr>
                <w:sz w:val="21"/>
              </w:rPr>
            </w:pPr>
            <w:r>
              <w:rPr>
                <w:sz w:val="21"/>
              </w:rPr>
              <w:t>是否使用禁止药品</w:t>
            </w:r>
          </w:p>
        </w:tc>
        <w:tc>
          <w:tcPr>
            <w:tcW w:w="2129" w:type="dxa"/>
          </w:tcPr>
          <w:p>
            <w:pPr>
              <w:pStyle w:val="19"/>
              <w:spacing w:before="33"/>
              <w:ind w:left="5"/>
              <w:rPr>
                <w:sz w:val="21"/>
              </w:rPr>
            </w:pPr>
            <w:r>
              <w:rPr>
                <w:w w:val="99"/>
                <w:sz w:val="21"/>
              </w:rPr>
              <w:t>否</w:t>
            </w:r>
          </w:p>
        </w:tc>
        <w:tc>
          <w:tcPr>
            <w:tcW w:w="1088" w:type="dxa"/>
          </w:tcPr>
          <w:p>
            <w:pPr>
              <w:pStyle w:val="19"/>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4"/>
              <w:ind w:left="80" w:right="74"/>
              <w:rPr>
                <w:sz w:val="21"/>
              </w:rPr>
            </w:pPr>
            <w:r>
              <w:rPr>
                <w:sz w:val="21"/>
              </w:rPr>
              <w:t>卫生防护距离内是否在居民聚集区</w:t>
            </w:r>
          </w:p>
        </w:tc>
        <w:tc>
          <w:tcPr>
            <w:tcW w:w="2129" w:type="dxa"/>
          </w:tcPr>
          <w:p>
            <w:pPr>
              <w:pStyle w:val="19"/>
              <w:spacing w:before="34"/>
              <w:ind w:left="5"/>
              <w:rPr>
                <w:sz w:val="21"/>
              </w:rPr>
            </w:pPr>
            <w:r>
              <w:rPr>
                <w:w w:val="99"/>
                <w:sz w:val="21"/>
              </w:rPr>
              <w:t>否</w:t>
            </w:r>
          </w:p>
        </w:tc>
        <w:tc>
          <w:tcPr>
            <w:tcW w:w="1088" w:type="dxa"/>
          </w:tcPr>
          <w:p>
            <w:pPr>
              <w:pStyle w:val="19"/>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31" w:type="dxa"/>
            <w:vMerge w:val="restart"/>
          </w:tcPr>
          <w:p>
            <w:pPr>
              <w:pStyle w:val="19"/>
              <w:jc w:val="left"/>
              <w:rPr>
                <w:b/>
                <w:sz w:val="20"/>
              </w:rPr>
            </w:pPr>
          </w:p>
          <w:p>
            <w:pPr>
              <w:pStyle w:val="19"/>
              <w:spacing w:before="1"/>
              <w:jc w:val="left"/>
              <w:rPr>
                <w:b/>
                <w:sz w:val="15"/>
              </w:rPr>
            </w:pPr>
          </w:p>
          <w:p>
            <w:pPr>
              <w:pStyle w:val="19"/>
              <w:ind w:left="145"/>
              <w:jc w:val="left"/>
              <w:rPr>
                <w:sz w:val="21"/>
              </w:rPr>
            </w:pPr>
            <w:r>
              <w:rPr>
                <w:sz w:val="21"/>
              </w:rPr>
              <w:t>产品指标</w:t>
            </w:r>
          </w:p>
        </w:tc>
        <w:tc>
          <w:tcPr>
            <w:tcW w:w="4095" w:type="dxa"/>
          </w:tcPr>
          <w:p>
            <w:pPr>
              <w:pStyle w:val="19"/>
              <w:spacing w:line="236" w:lineRule="exact"/>
              <w:ind w:left="5"/>
              <w:jc w:val="left"/>
              <w:rPr>
                <w:sz w:val="21"/>
              </w:rPr>
            </w:pPr>
            <w:r>
              <w:rPr>
                <w:sz w:val="21"/>
              </w:rPr>
              <w:t>高温堆肥是否达到《粪便无害化卫生要求》</w:t>
            </w:r>
          </w:p>
          <w:p>
            <w:pPr>
              <w:pStyle w:val="19"/>
              <w:spacing w:line="224" w:lineRule="exact"/>
              <w:ind w:left="5"/>
              <w:jc w:val="left"/>
              <w:rPr>
                <w:sz w:val="21"/>
              </w:rPr>
            </w:pPr>
            <w:r>
              <w:rPr>
                <w:sz w:val="21"/>
              </w:rPr>
              <w:t>（</w:t>
            </w:r>
            <w:r>
              <w:rPr>
                <w:rFonts w:ascii="Times New Roman" w:eastAsia="Times New Roman"/>
                <w:sz w:val="21"/>
              </w:rPr>
              <w:t>GB7959-2012</w:t>
            </w:r>
            <w:r>
              <w:rPr>
                <w:sz w:val="21"/>
              </w:rPr>
              <w:t>）相关要求</w:t>
            </w:r>
          </w:p>
        </w:tc>
        <w:tc>
          <w:tcPr>
            <w:tcW w:w="2129" w:type="dxa"/>
          </w:tcPr>
          <w:p>
            <w:pPr>
              <w:pStyle w:val="19"/>
              <w:spacing w:before="104"/>
              <w:ind w:left="5"/>
              <w:rPr>
                <w:sz w:val="21"/>
              </w:rPr>
            </w:pPr>
            <w:r>
              <w:rPr>
                <w:w w:val="99"/>
                <w:sz w:val="21"/>
              </w:rPr>
              <w:t>是</w:t>
            </w:r>
          </w:p>
        </w:tc>
        <w:tc>
          <w:tcPr>
            <w:tcW w:w="1088" w:type="dxa"/>
          </w:tcPr>
          <w:p>
            <w:pPr>
              <w:pStyle w:val="19"/>
              <w:spacing w:before="10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4"/>
              <w:ind w:left="80" w:right="74"/>
              <w:rPr>
                <w:sz w:val="21"/>
              </w:rPr>
            </w:pPr>
            <w:r>
              <w:rPr>
                <w:sz w:val="21"/>
              </w:rPr>
              <w:t>饲料是否符合卫生标准</w:t>
            </w:r>
          </w:p>
        </w:tc>
        <w:tc>
          <w:tcPr>
            <w:tcW w:w="2129" w:type="dxa"/>
          </w:tcPr>
          <w:p>
            <w:pPr>
              <w:pStyle w:val="19"/>
              <w:spacing w:before="34"/>
              <w:ind w:left="5"/>
              <w:rPr>
                <w:sz w:val="21"/>
              </w:rPr>
            </w:pPr>
            <w:r>
              <w:rPr>
                <w:w w:val="99"/>
                <w:sz w:val="21"/>
              </w:rPr>
              <w:t>是</w:t>
            </w:r>
          </w:p>
        </w:tc>
        <w:tc>
          <w:tcPr>
            <w:tcW w:w="1088" w:type="dxa"/>
          </w:tcPr>
          <w:p>
            <w:pPr>
              <w:pStyle w:val="19"/>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4"/>
              <w:ind w:left="80" w:right="71"/>
              <w:rPr>
                <w:sz w:val="21"/>
              </w:rPr>
            </w:pPr>
            <w:r>
              <w:rPr>
                <w:sz w:val="21"/>
              </w:rPr>
              <w:t>种羊是否来自无疫区</w:t>
            </w:r>
          </w:p>
        </w:tc>
        <w:tc>
          <w:tcPr>
            <w:tcW w:w="2129" w:type="dxa"/>
          </w:tcPr>
          <w:p>
            <w:pPr>
              <w:pStyle w:val="19"/>
              <w:spacing w:before="34"/>
              <w:ind w:left="5"/>
              <w:rPr>
                <w:sz w:val="21"/>
              </w:rPr>
            </w:pPr>
            <w:r>
              <w:rPr>
                <w:w w:val="99"/>
                <w:sz w:val="21"/>
              </w:rPr>
              <w:t>是</w:t>
            </w:r>
          </w:p>
        </w:tc>
        <w:tc>
          <w:tcPr>
            <w:tcW w:w="1088" w:type="dxa"/>
          </w:tcPr>
          <w:p>
            <w:pPr>
              <w:pStyle w:val="19"/>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restart"/>
          </w:tcPr>
          <w:p>
            <w:pPr>
              <w:pStyle w:val="19"/>
              <w:jc w:val="left"/>
              <w:rPr>
                <w:b/>
                <w:sz w:val="20"/>
              </w:rPr>
            </w:pPr>
          </w:p>
          <w:p>
            <w:pPr>
              <w:pStyle w:val="19"/>
              <w:spacing w:before="6"/>
              <w:jc w:val="left"/>
              <w:rPr>
                <w:b/>
                <w:sz w:val="29"/>
              </w:rPr>
            </w:pPr>
          </w:p>
          <w:p>
            <w:pPr>
              <w:pStyle w:val="19"/>
              <w:spacing w:line="213" w:lineRule="auto"/>
              <w:ind w:left="354" w:right="30" w:hanging="315"/>
              <w:jc w:val="left"/>
              <w:rPr>
                <w:sz w:val="21"/>
              </w:rPr>
            </w:pPr>
            <w:r>
              <w:rPr>
                <w:sz w:val="21"/>
              </w:rPr>
              <w:t>污染物产生指标</w:t>
            </w:r>
          </w:p>
        </w:tc>
        <w:tc>
          <w:tcPr>
            <w:tcW w:w="4095" w:type="dxa"/>
          </w:tcPr>
          <w:p>
            <w:pPr>
              <w:pStyle w:val="19"/>
              <w:spacing w:before="35"/>
              <w:ind w:left="80" w:right="76"/>
              <w:rPr>
                <w:sz w:val="21"/>
              </w:rPr>
            </w:pPr>
            <w:r>
              <w:rPr>
                <w:sz w:val="21"/>
              </w:rPr>
              <w:t>废水排放量和浓度是否达标</w:t>
            </w:r>
          </w:p>
        </w:tc>
        <w:tc>
          <w:tcPr>
            <w:tcW w:w="2129" w:type="dxa"/>
          </w:tcPr>
          <w:p>
            <w:pPr>
              <w:pStyle w:val="19"/>
              <w:spacing w:before="35"/>
              <w:ind w:left="5"/>
              <w:rPr>
                <w:sz w:val="21"/>
              </w:rPr>
            </w:pPr>
            <w:r>
              <w:rPr>
                <w:w w:val="99"/>
                <w:sz w:val="21"/>
              </w:rPr>
              <w:t>是</w:t>
            </w:r>
          </w:p>
        </w:tc>
        <w:tc>
          <w:tcPr>
            <w:tcW w:w="1088" w:type="dxa"/>
          </w:tcPr>
          <w:p>
            <w:pPr>
              <w:pStyle w:val="19"/>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5"/>
              <w:ind w:left="80" w:right="74"/>
              <w:rPr>
                <w:sz w:val="21"/>
              </w:rPr>
            </w:pPr>
            <w:r>
              <w:rPr>
                <w:sz w:val="21"/>
              </w:rPr>
              <w:t>羊粪等固废是否无害化处置</w:t>
            </w:r>
          </w:p>
        </w:tc>
        <w:tc>
          <w:tcPr>
            <w:tcW w:w="2129" w:type="dxa"/>
          </w:tcPr>
          <w:p>
            <w:pPr>
              <w:pStyle w:val="19"/>
              <w:spacing w:before="35"/>
              <w:ind w:left="5"/>
              <w:rPr>
                <w:sz w:val="21"/>
              </w:rPr>
            </w:pPr>
            <w:r>
              <w:rPr>
                <w:w w:val="99"/>
                <w:sz w:val="21"/>
              </w:rPr>
              <w:t>是</w:t>
            </w:r>
          </w:p>
        </w:tc>
        <w:tc>
          <w:tcPr>
            <w:tcW w:w="1088" w:type="dxa"/>
          </w:tcPr>
          <w:p>
            <w:pPr>
              <w:pStyle w:val="19"/>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3"/>
              <w:ind w:left="80" w:right="74"/>
              <w:rPr>
                <w:sz w:val="21"/>
              </w:rPr>
            </w:pPr>
            <w:r>
              <w:rPr>
                <w:sz w:val="21"/>
              </w:rPr>
              <w:t>病死羊处置是否符合要求</w:t>
            </w:r>
          </w:p>
        </w:tc>
        <w:tc>
          <w:tcPr>
            <w:tcW w:w="2129" w:type="dxa"/>
          </w:tcPr>
          <w:p>
            <w:pPr>
              <w:pStyle w:val="19"/>
              <w:spacing w:before="33"/>
              <w:ind w:left="5"/>
              <w:rPr>
                <w:sz w:val="21"/>
              </w:rPr>
            </w:pPr>
            <w:r>
              <w:rPr>
                <w:w w:val="99"/>
                <w:sz w:val="21"/>
              </w:rPr>
              <w:t>是</w:t>
            </w:r>
          </w:p>
        </w:tc>
        <w:tc>
          <w:tcPr>
            <w:tcW w:w="1088" w:type="dxa"/>
          </w:tcPr>
          <w:p>
            <w:pPr>
              <w:pStyle w:val="19"/>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3"/>
              <w:ind w:left="80" w:right="76"/>
              <w:rPr>
                <w:sz w:val="21"/>
              </w:rPr>
            </w:pPr>
            <w:r>
              <w:rPr>
                <w:sz w:val="21"/>
              </w:rPr>
              <w:t>危险废物处置是否符合要求</w:t>
            </w:r>
          </w:p>
        </w:tc>
        <w:tc>
          <w:tcPr>
            <w:tcW w:w="2129" w:type="dxa"/>
          </w:tcPr>
          <w:p>
            <w:pPr>
              <w:pStyle w:val="19"/>
              <w:spacing w:before="33"/>
              <w:ind w:left="5"/>
              <w:rPr>
                <w:sz w:val="21"/>
              </w:rPr>
            </w:pPr>
            <w:r>
              <w:rPr>
                <w:w w:val="99"/>
                <w:sz w:val="21"/>
              </w:rPr>
              <w:t>是</w:t>
            </w:r>
          </w:p>
        </w:tc>
        <w:tc>
          <w:tcPr>
            <w:tcW w:w="1088" w:type="dxa"/>
          </w:tcPr>
          <w:p>
            <w:pPr>
              <w:pStyle w:val="19"/>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4"/>
              <w:ind w:left="80" w:right="76"/>
              <w:rPr>
                <w:sz w:val="21"/>
              </w:rPr>
            </w:pPr>
            <w:r>
              <w:rPr>
                <w:sz w:val="21"/>
              </w:rPr>
              <w:t>恶臭浓度是否达标</w:t>
            </w:r>
          </w:p>
        </w:tc>
        <w:tc>
          <w:tcPr>
            <w:tcW w:w="2129" w:type="dxa"/>
          </w:tcPr>
          <w:p>
            <w:pPr>
              <w:pStyle w:val="19"/>
              <w:spacing w:before="34"/>
              <w:ind w:left="434"/>
              <w:jc w:val="left"/>
              <w:rPr>
                <w:sz w:val="21"/>
              </w:rPr>
            </w:pPr>
            <w:r>
              <w:rPr>
                <w:sz w:val="21"/>
              </w:rPr>
              <w:t>环评预测达标</w:t>
            </w:r>
          </w:p>
        </w:tc>
        <w:tc>
          <w:tcPr>
            <w:tcW w:w="1088" w:type="dxa"/>
          </w:tcPr>
          <w:p>
            <w:pPr>
              <w:pStyle w:val="19"/>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restart"/>
          </w:tcPr>
          <w:p>
            <w:pPr>
              <w:pStyle w:val="19"/>
              <w:spacing w:before="110" w:line="213" w:lineRule="auto"/>
              <w:ind w:left="248" w:right="30" w:hanging="209"/>
              <w:jc w:val="left"/>
              <w:rPr>
                <w:sz w:val="21"/>
              </w:rPr>
            </w:pPr>
            <w:r>
              <w:rPr>
                <w:sz w:val="21"/>
              </w:rPr>
              <w:t>废物回收利用指标</w:t>
            </w:r>
          </w:p>
        </w:tc>
        <w:tc>
          <w:tcPr>
            <w:tcW w:w="4095" w:type="dxa"/>
          </w:tcPr>
          <w:p>
            <w:pPr>
              <w:pStyle w:val="19"/>
              <w:spacing w:before="34"/>
              <w:ind w:left="80" w:right="74"/>
              <w:rPr>
                <w:sz w:val="21"/>
              </w:rPr>
            </w:pPr>
            <w:r>
              <w:rPr>
                <w:sz w:val="21"/>
              </w:rPr>
              <w:t>废水回收利用率</w:t>
            </w:r>
          </w:p>
        </w:tc>
        <w:tc>
          <w:tcPr>
            <w:tcW w:w="2129" w:type="dxa"/>
          </w:tcPr>
          <w:p>
            <w:pPr>
              <w:pStyle w:val="19"/>
              <w:spacing w:before="34"/>
              <w:ind w:left="609"/>
              <w:jc w:val="left"/>
              <w:rPr>
                <w:sz w:val="21"/>
              </w:rPr>
            </w:pPr>
            <w:r>
              <w:rPr>
                <w:rFonts w:ascii="Times New Roman" w:eastAsia="Times New Roman"/>
                <w:sz w:val="21"/>
              </w:rPr>
              <w:t>100%</w:t>
            </w:r>
            <w:r>
              <w:rPr>
                <w:sz w:val="21"/>
              </w:rPr>
              <w:t>回收</w:t>
            </w:r>
          </w:p>
        </w:tc>
        <w:tc>
          <w:tcPr>
            <w:tcW w:w="1088" w:type="dxa"/>
          </w:tcPr>
          <w:p>
            <w:pPr>
              <w:pStyle w:val="19"/>
              <w:spacing w:before="34"/>
              <w:ind w:left="99" w:right="92"/>
              <w:rPr>
                <w:sz w:val="21"/>
              </w:rPr>
            </w:pPr>
            <w:r>
              <w:rPr>
                <w:sz w:val="21"/>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4"/>
              <w:ind w:left="80" w:right="74"/>
              <w:rPr>
                <w:sz w:val="21"/>
              </w:rPr>
            </w:pPr>
            <w:r>
              <w:rPr>
                <w:sz w:val="21"/>
              </w:rPr>
              <w:t>固废综合利用率</w:t>
            </w:r>
          </w:p>
        </w:tc>
        <w:tc>
          <w:tcPr>
            <w:tcW w:w="2129" w:type="dxa"/>
          </w:tcPr>
          <w:p>
            <w:pPr>
              <w:pStyle w:val="19"/>
              <w:spacing w:before="34"/>
              <w:ind w:left="398"/>
              <w:jc w:val="left"/>
              <w:rPr>
                <w:sz w:val="21"/>
              </w:rPr>
            </w:pPr>
            <w:r>
              <w:rPr>
                <w:rFonts w:ascii="Times New Roman" w:eastAsia="Times New Roman"/>
                <w:sz w:val="21"/>
              </w:rPr>
              <w:t>100%</w:t>
            </w:r>
            <w:r>
              <w:rPr>
                <w:sz w:val="21"/>
              </w:rPr>
              <w:t>综合利用</w:t>
            </w:r>
          </w:p>
        </w:tc>
        <w:tc>
          <w:tcPr>
            <w:tcW w:w="1088" w:type="dxa"/>
          </w:tcPr>
          <w:p>
            <w:pPr>
              <w:pStyle w:val="19"/>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restart"/>
          </w:tcPr>
          <w:p>
            <w:pPr>
              <w:pStyle w:val="19"/>
              <w:jc w:val="left"/>
              <w:rPr>
                <w:b/>
                <w:sz w:val="20"/>
              </w:rPr>
            </w:pPr>
          </w:p>
          <w:p>
            <w:pPr>
              <w:pStyle w:val="19"/>
              <w:jc w:val="left"/>
              <w:rPr>
                <w:b/>
                <w:sz w:val="20"/>
              </w:rPr>
            </w:pPr>
          </w:p>
          <w:p>
            <w:pPr>
              <w:pStyle w:val="19"/>
              <w:spacing w:before="2"/>
              <w:jc w:val="left"/>
              <w:rPr>
                <w:b/>
                <w:sz w:val="23"/>
              </w:rPr>
            </w:pPr>
          </w:p>
          <w:p>
            <w:pPr>
              <w:pStyle w:val="19"/>
              <w:spacing w:line="213" w:lineRule="auto"/>
              <w:ind w:left="459" w:right="30" w:hanging="420"/>
              <w:jc w:val="left"/>
              <w:rPr>
                <w:sz w:val="21"/>
              </w:rPr>
            </w:pPr>
            <w:r>
              <w:rPr>
                <w:sz w:val="21"/>
              </w:rPr>
              <w:t>环境管理要求</w:t>
            </w:r>
          </w:p>
        </w:tc>
        <w:tc>
          <w:tcPr>
            <w:tcW w:w="4095" w:type="dxa"/>
          </w:tcPr>
          <w:p>
            <w:pPr>
              <w:pStyle w:val="19"/>
              <w:spacing w:before="35"/>
              <w:ind w:left="80" w:right="71"/>
              <w:rPr>
                <w:sz w:val="21"/>
              </w:rPr>
            </w:pPr>
            <w:r>
              <w:rPr>
                <w:sz w:val="21"/>
              </w:rPr>
              <w:t>是否有环评</w:t>
            </w:r>
          </w:p>
        </w:tc>
        <w:tc>
          <w:tcPr>
            <w:tcW w:w="2129" w:type="dxa"/>
          </w:tcPr>
          <w:p>
            <w:pPr>
              <w:pStyle w:val="19"/>
              <w:spacing w:before="30"/>
              <w:ind w:left="14"/>
              <w:jc w:val="left"/>
              <w:rPr>
                <w:sz w:val="21"/>
              </w:rPr>
            </w:pPr>
            <w:r>
              <w:rPr>
                <w:sz w:val="21"/>
              </w:rPr>
              <w:t>已委托有资质单位编制</w:t>
            </w:r>
          </w:p>
        </w:tc>
        <w:tc>
          <w:tcPr>
            <w:tcW w:w="1088" w:type="dxa"/>
          </w:tcPr>
          <w:p>
            <w:pPr>
              <w:pStyle w:val="19"/>
              <w:spacing w:before="35"/>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3"/>
              <w:ind w:left="80" w:right="74"/>
              <w:rPr>
                <w:sz w:val="21"/>
              </w:rPr>
            </w:pPr>
            <w:r>
              <w:rPr>
                <w:sz w:val="21"/>
              </w:rPr>
              <w:t>是否有动物防疫合格证</w:t>
            </w:r>
          </w:p>
        </w:tc>
        <w:tc>
          <w:tcPr>
            <w:tcW w:w="2129" w:type="dxa"/>
          </w:tcPr>
          <w:p>
            <w:pPr>
              <w:pStyle w:val="19"/>
              <w:spacing w:before="33"/>
              <w:ind w:left="5"/>
              <w:rPr>
                <w:sz w:val="21"/>
              </w:rPr>
            </w:pPr>
            <w:r>
              <w:rPr>
                <w:w w:val="99"/>
                <w:sz w:val="21"/>
              </w:rPr>
              <w:t>是</w:t>
            </w:r>
          </w:p>
        </w:tc>
        <w:tc>
          <w:tcPr>
            <w:tcW w:w="1088" w:type="dxa"/>
          </w:tcPr>
          <w:p>
            <w:pPr>
              <w:pStyle w:val="19"/>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3"/>
              <w:ind w:left="80" w:right="74"/>
              <w:rPr>
                <w:sz w:val="21"/>
              </w:rPr>
            </w:pPr>
            <w:r>
              <w:rPr>
                <w:sz w:val="21"/>
              </w:rPr>
              <w:t>从业人员是否持证上岗</w:t>
            </w:r>
          </w:p>
        </w:tc>
        <w:tc>
          <w:tcPr>
            <w:tcW w:w="2129" w:type="dxa"/>
          </w:tcPr>
          <w:p>
            <w:pPr>
              <w:pStyle w:val="19"/>
              <w:spacing w:before="33"/>
              <w:ind w:left="5"/>
              <w:rPr>
                <w:sz w:val="21"/>
              </w:rPr>
            </w:pPr>
            <w:r>
              <w:rPr>
                <w:w w:val="99"/>
                <w:sz w:val="21"/>
              </w:rPr>
              <w:t>是</w:t>
            </w:r>
          </w:p>
        </w:tc>
        <w:tc>
          <w:tcPr>
            <w:tcW w:w="1088" w:type="dxa"/>
          </w:tcPr>
          <w:p>
            <w:pPr>
              <w:pStyle w:val="19"/>
              <w:spacing w:before="33"/>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4"/>
              <w:ind w:left="80" w:right="76"/>
              <w:rPr>
                <w:sz w:val="21"/>
              </w:rPr>
            </w:pPr>
            <w:r>
              <w:rPr>
                <w:sz w:val="21"/>
              </w:rPr>
              <w:t>生产记录是否完善</w:t>
            </w:r>
          </w:p>
        </w:tc>
        <w:tc>
          <w:tcPr>
            <w:tcW w:w="2129" w:type="dxa"/>
          </w:tcPr>
          <w:p>
            <w:pPr>
              <w:pStyle w:val="19"/>
              <w:spacing w:before="34"/>
              <w:ind w:left="5"/>
              <w:rPr>
                <w:sz w:val="21"/>
              </w:rPr>
            </w:pPr>
            <w:r>
              <w:rPr>
                <w:w w:val="99"/>
                <w:sz w:val="21"/>
              </w:rPr>
              <w:t>是</w:t>
            </w:r>
          </w:p>
        </w:tc>
        <w:tc>
          <w:tcPr>
            <w:tcW w:w="1088" w:type="dxa"/>
          </w:tcPr>
          <w:p>
            <w:pPr>
              <w:pStyle w:val="19"/>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4"/>
              <w:ind w:left="80" w:right="76"/>
              <w:rPr>
                <w:sz w:val="21"/>
              </w:rPr>
            </w:pPr>
            <w:r>
              <w:rPr>
                <w:sz w:val="21"/>
              </w:rPr>
              <w:t>防疫记录是否完善</w:t>
            </w:r>
          </w:p>
        </w:tc>
        <w:tc>
          <w:tcPr>
            <w:tcW w:w="2129" w:type="dxa"/>
          </w:tcPr>
          <w:p>
            <w:pPr>
              <w:pStyle w:val="19"/>
              <w:spacing w:before="34"/>
              <w:ind w:left="5"/>
              <w:rPr>
                <w:sz w:val="21"/>
              </w:rPr>
            </w:pPr>
            <w:r>
              <w:rPr>
                <w:w w:val="99"/>
                <w:sz w:val="21"/>
              </w:rPr>
              <w:t>是</w:t>
            </w:r>
          </w:p>
        </w:tc>
        <w:tc>
          <w:tcPr>
            <w:tcW w:w="1088" w:type="dxa"/>
          </w:tcPr>
          <w:p>
            <w:pPr>
              <w:pStyle w:val="19"/>
              <w:spacing w:before="34"/>
              <w:ind w:left="99" w:right="92"/>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31" w:type="dxa"/>
            <w:vMerge w:val="continue"/>
            <w:tcBorders>
              <w:top w:val="nil"/>
            </w:tcBorders>
          </w:tcPr>
          <w:p>
            <w:pPr>
              <w:rPr>
                <w:sz w:val="2"/>
                <w:szCs w:val="2"/>
              </w:rPr>
            </w:pPr>
          </w:p>
        </w:tc>
        <w:tc>
          <w:tcPr>
            <w:tcW w:w="4095" w:type="dxa"/>
          </w:tcPr>
          <w:p>
            <w:pPr>
              <w:pStyle w:val="19"/>
              <w:spacing w:before="35"/>
              <w:ind w:left="80" w:right="76"/>
              <w:rPr>
                <w:sz w:val="21"/>
              </w:rPr>
            </w:pPr>
            <w:r>
              <w:rPr>
                <w:sz w:val="21"/>
              </w:rPr>
              <w:t>销售记录是否完善</w:t>
            </w:r>
          </w:p>
        </w:tc>
        <w:tc>
          <w:tcPr>
            <w:tcW w:w="2129" w:type="dxa"/>
          </w:tcPr>
          <w:p>
            <w:pPr>
              <w:pStyle w:val="19"/>
              <w:spacing w:before="35"/>
              <w:ind w:left="5"/>
              <w:rPr>
                <w:sz w:val="21"/>
              </w:rPr>
            </w:pPr>
            <w:r>
              <w:rPr>
                <w:w w:val="99"/>
                <w:sz w:val="21"/>
              </w:rPr>
              <w:t>是</w:t>
            </w:r>
          </w:p>
        </w:tc>
        <w:tc>
          <w:tcPr>
            <w:tcW w:w="1088" w:type="dxa"/>
          </w:tcPr>
          <w:p>
            <w:pPr>
              <w:pStyle w:val="19"/>
              <w:spacing w:before="35"/>
              <w:ind w:left="99" w:right="92"/>
              <w:rPr>
                <w:sz w:val="21"/>
              </w:rPr>
            </w:pPr>
            <w:r>
              <w:rPr>
                <w:sz w:val="21"/>
              </w:rPr>
              <w:t>符合</w:t>
            </w:r>
          </w:p>
        </w:tc>
      </w:tr>
    </w:tbl>
    <w:p>
      <w:pPr>
        <w:pStyle w:val="18"/>
        <w:numPr>
          <w:ilvl w:val="3"/>
          <w:numId w:val="31"/>
        </w:numPr>
        <w:tabs>
          <w:tab w:val="left" w:pos="1320"/>
        </w:tabs>
        <w:spacing w:before="152" w:after="0" w:line="240" w:lineRule="auto"/>
        <w:ind w:left="1320" w:right="0" w:hanging="780"/>
        <w:jc w:val="both"/>
        <w:rPr>
          <w:sz w:val="24"/>
        </w:rPr>
      </w:pPr>
      <w:bookmarkStart w:id="206" w:name="3.4.2.2 清洁生产水平分析"/>
      <w:bookmarkEnd w:id="206"/>
      <w:bookmarkStart w:id="207" w:name="3.4.2.2 清洁生产水平分析"/>
      <w:bookmarkEnd w:id="207"/>
      <w:r>
        <w:rPr>
          <w:sz w:val="24"/>
        </w:rPr>
        <w:t>清洁生产水平分析</w:t>
      </w:r>
    </w:p>
    <w:p>
      <w:pPr>
        <w:pStyle w:val="7"/>
        <w:spacing w:before="216" w:line="357" w:lineRule="auto"/>
        <w:ind w:right="577" w:firstLine="480"/>
        <w:jc w:val="both"/>
      </w:pPr>
      <w:r>
        <w:t>根据《中华人民共和国清洁生产促进法》（</w:t>
      </w:r>
      <w:r>
        <w:rPr>
          <w:rFonts w:ascii="Times New Roman" w:eastAsia="Times New Roman"/>
        </w:rPr>
        <w:t>2012</w:t>
      </w:r>
      <w:r>
        <w:rPr>
          <w:spacing w:val="-26"/>
        </w:rPr>
        <w:t>年</w:t>
      </w:r>
      <w:r>
        <w:rPr>
          <w:rFonts w:ascii="Times New Roman" w:eastAsia="Times New Roman"/>
        </w:rPr>
        <w:t>7</w:t>
      </w:r>
      <w:r>
        <w:rPr>
          <w:spacing w:val="-25"/>
        </w:rPr>
        <w:t>月</w:t>
      </w:r>
      <w:r>
        <w:rPr>
          <w:rFonts w:ascii="Times New Roman" w:eastAsia="Times New Roman"/>
        </w:rPr>
        <w:t>1</w:t>
      </w:r>
      <w:r>
        <w:t>日）的要求，本</w:t>
      </w:r>
      <w:r>
        <w:rPr>
          <w:spacing w:val="-6"/>
        </w:rPr>
        <w:t>次评价从生产工艺与装备要求指标、产品指标、原辅材料的选用、资源与能源利</w:t>
      </w:r>
      <w:r>
        <w:t>用、末端治理措施、环境管理等六个方面进行清洁生产分析。</w:t>
      </w:r>
    </w:p>
    <w:p>
      <w:pPr>
        <w:pStyle w:val="7"/>
        <w:spacing w:before="6"/>
        <w:ind w:left="1020"/>
      </w:pPr>
      <w:r>
        <w:t>（</w:t>
      </w:r>
      <w:r>
        <w:rPr>
          <w:rFonts w:ascii="Times New Roman" w:eastAsia="Times New Roman"/>
        </w:rPr>
        <w:t>1</w:t>
      </w:r>
      <w:r>
        <w:t>）生产工艺与装备要求</w:t>
      </w:r>
    </w:p>
    <w:p>
      <w:pPr>
        <w:pStyle w:val="18"/>
        <w:numPr>
          <w:ilvl w:val="0"/>
          <w:numId w:val="38"/>
        </w:numPr>
        <w:tabs>
          <w:tab w:val="left" w:pos="1621"/>
        </w:tabs>
        <w:spacing w:before="150" w:after="0" w:line="360" w:lineRule="auto"/>
        <w:ind w:left="540" w:right="605" w:firstLine="480"/>
        <w:jc w:val="left"/>
        <w:rPr>
          <w:sz w:val="24"/>
        </w:rPr>
      </w:pPr>
      <w:r>
        <w:rPr>
          <w:spacing w:val="-1"/>
          <w:sz w:val="24"/>
        </w:rPr>
        <w:t>项目采取适度规模的集约化养殖方式，有利于采用能耗物耗小、污染</w:t>
      </w:r>
      <w:r>
        <w:rPr>
          <w:sz w:val="24"/>
        </w:rPr>
        <w:t>物排放量少的清洁生产工艺，提高经济效益，提高环境质量。</w:t>
      </w:r>
    </w:p>
    <w:p>
      <w:pPr>
        <w:pStyle w:val="18"/>
        <w:numPr>
          <w:ilvl w:val="0"/>
          <w:numId w:val="38"/>
        </w:numPr>
        <w:tabs>
          <w:tab w:val="left" w:pos="1621"/>
        </w:tabs>
        <w:spacing w:before="0" w:after="0" w:line="357" w:lineRule="auto"/>
        <w:ind w:left="1020" w:right="605" w:firstLine="0"/>
        <w:jc w:val="left"/>
        <w:rPr>
          <w:sz w:val="24"/>
        </w:rPr>
      </w:pPr>
      <w:r>
        <w:rPr>
          <w:spacing w:val="-1"/>
          <w:sz w:val="24"/>
        </w:rPr>
        <w:t>项目养殖场设施完善，羊舍结构合理，设计和建设时将充分考虑环保</w:t>
      </w:r>
      <w:r>
        <w:rPr>
          <w:sz w:val="24"/>
        </w:rPr>
        <w:t>的要求，舍羊舍里的粪便干法清除，动物尿液通过管道收集。</w:t>
      </w:r>
    </w:p>
    <w:p>
      <w:pPr>
        <w:pStyle w:val="18"/>
        <w:numPr>
          <w:ilvl w:val="0"/>
          <w:numId w:val="38"/>
        </w:numPr>
        <w:tabs>
          <w:tab w:val="left" w:pos="1621"/>
        </w:tabs>
        <w:spacing w:before="2" w:after="0" w:line="360" w:lineRule="auto"/>
        <w:ind w:left="540" w:right="605" w:firstLine="480"/>
        <w:jc w:val="left"/>
        <w:rPr>
          <w:sz w:val="24"/>
        </w:rPr>
      </w:pPr>
      <w:r>
        <w:rPr>
          <w:spacing w:val="-1"/>
          <w:sz w:val="24"/>
        </w:rPr>
        <w:t>羊舍使用干清粪工艺，外售给当地农户。通过本项目的建设，养殖场</w:t>
      </w:r>
      <w:r>
        <w:rPr>
          <w:sz w:val="24"/>
        </w:rPr>
        <w:t>内可达到真正意义上的“零排放”，很大程度上减轻了对环境的污染。</w:t>
      </w:r>
    </w:p>
    <w:p>
      <w:pPr>
        <w:pStyle w:val="7"/>
        <w:spacing w:line="304" w:lineRule="exact"/>
        <w:ind w:left="1020"/>
      </w:pPr>
      <w:r>
        <w:t>①按照清洁生产的标准建立养殖基地，全程控制羊的饲养和管理；</w:t>
      </w:r>
    </w:p>
    <w:p>
      <w:pPr>
        <w:pStyle w:val="7"/>
        <w:spacing w:before="154" w:line="360" w:lineRule="auto"/>
        <w:ind w:right="457" w:firstLine="480"/>
      </w:pPr>
      <w:r>
        <w:t>②科学设计日粮，选择优质的饲料，合理使用饲料添加剂，通过在饲料中</w:t>
      </w:r>
      <w:r>
        <w:rPr>
          <w:spacing w:val="-21"/>
        </w:rPr>
        <w:t>加入</w:t>
      </w:r>
      <w:r>
        <w:rPr>
          <w:rFonts w:ascii="Times New Roman" w:hAnsi="Times New Roman" w:eastAsia="Times New Roman"/>
        </w:rPr>
        <w:t>EM</w:t>
      </w:r>
      <w:r>
        <w:rPr>
          <w:spacing w:val="-16"/>
        </w:rPr>
        <w:t>制剂、沸石等添加剂，除提高羊生产性能外，对控制恶臭具有重要作用；</w:t>
      </w:r>
    </w:p>
    <w:p>
      <w:pPr>
        <w:pStyle w:val="7"/>
        <w:spacing w:line="360" w:lineRule="auto"/>
        <w:ind w:right="485" w:firstLine="480"/>
      </w:pPr>
      <w:r>
        <w:t>③圈舍全部采用干清粪工艺，羊尿及时排至储液池，羊粪日产日清，通过减少粪便的停留时间和覆盖面积，可大为降低羊舍废气产生。通过向粪便或羊舍内投放吸附剂（沸石、锯末、膨润土等）减少臭气的散发；加强羊舍消毒杀菌，减少微生物发酵，防止恶臭产生；</w:t>
      </w:r>
    </w:p>
    <w:p>
      <w:pPr>
        <w:pStyle w:val="7"/>
        <w:spacing w:line="360" w:lineRule="auto"/>
        <w:ind w:right="580" w:firstLine="480"/>
      </w:pPr>
      <w:r>
        <w:t>④养殖区重视绿化工作，保持道路清洁、排水沟畅通、地面不积水、定期杀蚊蝇和灭鼠，间隔空旷地段夜间设置灯光诱捕昆虫；</w:t>
      </w:r>
    </w:p>
    <w:p>
      <w:pPr>
        <w:pStyle w:val="7"/>
        <w:spacing w:line="360" w:lineRule="auto"/>
        <w:ind w:right="577" w:firstLine="480"/>
        <w:jc w:val="both"/>
      </w:pPr>
      <w:r>
        <w:rPr>
          <w:spacing w:val="-1"/>
        </w:rPr>
        <w:t>⑤本项目粪污处理方法较好的解决了规模化养殖的污染问题，达到粪便污</w:t>
      </w:r>
      <w:r>
        <w:rPr>
          <w:spacing w:val="-8"/>
        </w:rPr>
        <w:t>染物的综合利用，实现了清洁生产。本项目建成后，将可以形成“饲草—养殖—粪便—生态有机肥—饲草”的生态循环链，初步形成以发酵产物为纽带的生态农</w:t>
      </w:r>
      <w:r>
        <w:rPr>
          <w:spacing w:val="-10"/>
        </w:rPr>
        <w:t>业建设模式。生态养殖场的建设，促进了种植业与养殖业之间的良性循环，提高了养殖效益，改善了人居环境，而生态系统和产业体系的良性互动循环，也实现</w:t>
      </w:r>
      <w:r>
        <w:rPr>
          <w:spacing w:val="-7"/>
        </w:rPr>
        <w:t>了产业的最大增值和农民增收。粪便处理成有机肥，实现了畜牧养殖业无废物排</w:t>
      </w:r>
      <w:r>
        <w:rPr>
          <w:spacing w:val="-10"/>
        </w:rPr>
        <w:t>放，资源再生循环利用，发展了绿色畜牧产业，保证了畜牧业的可持续发展。本</w:t>
      </w:r>
      <w:r>
        <w:t>项目清洁生产水平基本可以达到国内先进水平。</w:t>
      </w:r>
    </w:p>
    <w:p>
      <w:pPr>
        <w:pStyle w:val="18"/>
        <w:numPr>
          <w:ilvl w:val="0"/>
          <w:numId w:val="39"/>
        </w:numPr>
        <w:tabs>
          <w:tab w:val="left" w:pos="1621"/>
        </w:tabs>
        <w:spacing w:before="0" w:after="0" w:line="299" w:lineRule="exact"/>
        <w:ind w:left="1621" w:right="0" w:hanging="601"/>
        <w:jc w:val="left"/>
        <w:rPr>
          <w:sz w:val="24"/>
        </w:rPr>
      </w:pPr>
      <w:r>
        <w:rPr>
          <w:sz w:val="24"/>
        </w:rPr>
        <w:t>产品指标</w:t>
      </w:r>
    </w:p>
    <w:p>
      <w:pPr>
        <w:pStyle w:val="7"/>
        <w:spacing w:before="7"/>
        <w:ind w:left="0"/>
        <w:rPr>
          <w:sz w:val="8"/>
        </w:rPr>
      </w:pPr>
    </w:p>
    <w:p>
      <w:pPr>
        <w:pStyle w:val="7"/>
        <w:spacing w:before="67" w:line="343" w:lineRule="auto"/>
        <w:ind w:right="577" w:firstLine="480"/>
        <w:jc w:val="both"/>
      </w:pPr>
      <w:r>
        <w:rPr>
          <w:spacing w:val="-8"/>
        </w:rPr>
        <w:t>全面提高秸秆养畜水平，加强动物卫生防疫和健康养殖监督。建立健全健康</w:t>
      </w:r>
      <w:r>
        <w:rPr>
          <w:spacing w:val="-9"/>
        </w:rPr>
        <w:t>养殖管理制度，加强疫病防治和监控，加强上市产品检疫监测，确保产品的质量</w:t>
      </w:r>
      <w:r>
        <w:rPr>
          <w:spacing w:val="-11"/>
        </w:rPr>
        <w:t>安全、计量及卫生标准。杜绝使用不符合国家卫生标准的饲料添加剂，严格按照</w:t>
      </w:r>
      <w:r>
        <w:rPr>
          <w:spacing w:val="-8"/>
        </w:rPr>
        <w:t>绿色产品生产模式生产，并积极申报绿色产品和产地认证，不断提高产品竞争能</w:t>
      </w:r>
      <w:r>
        <w:t>力。通过不断提高秸秆养畜饲管水平，达到提高饲养水平和经济效益目的。</w:t>
      </w:r>
    </w:p>
    <w:p>
      <w:pPr>
        <w:pStyle w:val="7"/>
        <w:spacing w:line="343" w:lineRule="auto"/>
        <w:ind w:right="457" w:firstLine="480"/>
      </w:pPr>
      <w:r>
        <w:rPr>
          <w:spacing w:val="-11"/>
        </w:rPr>
        <w:t>堆肥的使用可有效替代传统的单元素化肥，不仅节约资源、降低了农业成本，</w:t>
      </w:r>
      <w:r>
        <w:rPr>
          <w:spacing w:val="-5"/>
        </w:rPr>
        <w:t>而且可有效降解土壤中难吸收的无机元素，保护了土壤，有利于动植物的生存和人类的健康。</w:t>
      </w:r>
    </w:p>
    <w:p>
      <w:pPr>
        <w:pStyle w:val="18"/>
        <w:numPr>
          <w:ilvl w:val="0"/>
          <w:numId w:val="39"/>
        </w:numPr>
        <w:tabs>
          <w:tab w:val="left" w:pos="1621"/>
        </w:tabs>
        <w:spacing w:before="0" w:after="0" w:line="240" w:lineRule="auto"/>
        <w:ind w:left="1621" w:right="0" w:hanging="601"/>
        <w:jc w:val="left"/>
        <w:rPr>
          <w:sz w:val="24"/>
        </w:rPr>
      </w:pPr>
      <w:r>
        <w:rPr>
          <w:sz w:val="24"/>
        </w:rPr>
        <w:t>原辅材料的选用</w:t>
      </w:r>
    </w:p>
    <w:p>
      <w:pPr>
        <w:pStyle w:val="7"/>
        <w:spacing w:before="135" w:line="343" w:lineRule="auto"/>
        <w:ind w:right="577" w:firstLine="480"/>
        <w:jc w:val="both"/>
      </w:pPr>
      <w:r>
        <w:rPr>
          <w:spacing w:val="2"/>
        </w:rPr>
        <w:t>原材料的选用是清洁生产首先要考虑的问题，只有从源头上加强控制和管</w:t>
      </w:r>
      <w:r>
        <w:rPr>
          <w:spacing w:val="-10"/>
        </w:rPr>
        <w:t>理，减少有毒有害原料的种类和使用量。本项目饲料选用优质的饲料，并合理使</w:t>
      </w:r>
      <w:r>
        <w:rPr>
          <w:spacing w:val="-9"/>
        </w:rPr>
        <w:t>用饲料添加剂，既保证了羊生长需求，又可以抑制恶臭气体产生；消毒药品选用</w:t>
      </w:r>
      <w:r>
        <w:t>高效、低毒、无公害的消毒药剂。</w:t>
      </w:r>
    </w:p>
    <w:p>
      <w:pPr>
        <w:pStyle w:val="18"/>
        <w:numPr>
          <w:ilvl w:val="0"/>
          <w:numId w:val="39"/>
        </w:numPr>
        <w:tabs>
          <w:tab w:val="left" w:pos="1621"/>
        </w:tabs>
        <w:spacing w:before="0" w:after="0" w:line="240" w:lineRule="auto"/>
        <w:ind w:left="1621" w:right="0" w:hanging="601"/>
        <w:jc w:val="left"/>
        <w:rPr>
          <w:sz w:val="24"/>
        </w:rPr>
      </w:pPr>
      <w:r>
        <w:rPr>
          <w:sz w:val="24"/>
        </w:rPr>
        <w:t>资源与能源利用</w:t>
      </w:r>
    </w:p>
    <w:p>
      <w:pPr>
        <w:pStyle w:val="7"/>
        <w:spacing w:before="132" w:line="343" w:lineRule="auto"/>
        <w:ind w:right="577" w:firstLine="480"/>
        <w:jc w:val="both"/>
      </w:pPr>
      <w:r>
        <w:rPr>
          <w:spacing w:val="-6"/>
        </w:rPr>
        <w:t>本项目有助于当地林果产业的无公害化发展，减少了化肥的使用量；示范带</w:t>
      </w:r>
      <w:r>
        <w:rPr>
          <w:spacing w:val="-8"/>
        </w:rPr>
        <w:t>动</w:t>
      </w:r>
      <w:r>
        <w:rPr>
          <w:rFonts w:hint="eastAsia"/>
          <w:spacing w:val="-8"/>
          <w:lang w:eastAsia="zh-CN"/>
        </w:rPr>
        <w:t>莎车</w:t>
      </w:r>
      <w:r>
        <w:rPr>
          <w:spacing w:val="-8"/>
        </w:rPr>
        <w:t>县养殖业向规模化、标准化模式发展，还有利于形成有机农业→绿色优质</w:t>
      </w:r>
      <w:r>
        <w:rPr>
          <w:spacing w:val="-3"/>
        </w:rPr>
        <w:t>饲料→绿色畜牧业</w:t>
      </w:r>
      <w:r>
        <w:t>（</w:t>
      </w:r>
      <w:r>
        <w:rPr>
          <w:spacing w:val="-9"/>
        </w:rPr>
        <w:t>肉、奶、蛋</w:t>
      </w:r>
      <w:r>
        <w:rPr>
          <w:spacing w:val="-10"/>
        </w:rPr>
        <w:t>）</w:t>
      </w:r>
      <w:r>
        <w:rPr>
          <w:spacing w:val="-5"/>
        </w:rPr>
        <w:t>→有机肥料→有机农业的良性循环，同时可带</w:t>
      </w:r>
      <w:r>
        <w:t>动饲料种植、运输、饲料和肉食品加工等产业的发展，促进产业结构调整。</w:t>
      </w:r>
    </w:p>
    <w:p>
      <w:pPr>
        <w:pStyle w:val="7"/>
        <w:spacing w:before="2" w:line="343" w:lineRule="auto"/>
        <w:ind w:right="457" w:firstLine="480"/>
        <w:jc w:val="both"/>
      </w:pPr>
      <w:r>
        <w:t>本项目养殖废水（羊尿）进入垫料层中，最终与羊粪一起发酵生产有机肥，</w:t>
      </w:r>
      <w:r>
        <w:rPr>
          <w:spacing w:val="-16"/>
        </w:rPr>
        <w:t>羊舍采用干清粪工艺，由人工定期清扫，不产生羊舍冲洗废水实现了废物零排放，</w:t>
      </w:r>
      <w:r>
        <w:t>减少环境负荷。</w:t>
      </w:r>
    </w:p>
    <w:p>
      <w:pPr>
        <w:pStyle w:val="18"/>
        <w:numPr>
          <w:ilvl w:val="0"/>
          <w:numId w:val="39"/>
        </w:numPr>
        <w:tabs>
          <w:tab w:val="left" w:pos="1621"/>
        </w:tabs>
        <w:spacing w:before="1" w:after="0" w:line="240" w:lineRule="auto"/>
        <w:ind w:left="1621" w:right="0" w:hanging="601"/>
        <w:jc w:val="left"/>
        <w:rPr>
          <w:sz w:val="24"/>
        </w:rPr>
      </w:pPr>
      <w:r>
        <w:rPr>
          <w:sz w:val="24"/>
        </w:rPr>
        <w:t>末端治理措施</w:t>
      </w:r>
    </w:p>
    <w:p>
      <w:pPr>
        <w:pStyle w:val="7"/>
        <w:spacing w:before="132" w:line="343" w:lineRule="auto"/>
        <w:ind w:right="577" w:firstLine="480"/>
        <w:jc w:val="both"/>
      </w:pPr>
      <w:r>
        <w:rPr>
          <w:spacing w:val="-6"/>
        </w:rPr>
        <w:t>营运期养殖场恶臭通过加强羊舍管理和通风、科学设计日粮、选择优质的饲</w:t>
      </w:r>
      <w:r>
        <w:rPr>
          <w:spacing w:val="-12"/>
        </w:rPr>
        <w:t>料、合理使用饲料添加剂、种植绿化隔离带、严格划定卫生防护距离等措施进行</w:t>
      </w:r>
      <w:r>
        <w:rPr>
          <w:spacing w:val="-10"/>
        </w:rPr>
        <w:t>控制；本项目采用干清粪处理工艺，没有生产废水产生，养殖人员生活污水经自</w:t>
      </w:r>
      <w:r>
        <w:rPr>
          <w:spacing w:val="-6"/>
        </w:rPr>
        <w:t>建的地埋式一体化污水处理装置处理后，用于项目区绿化，不外排。项目外排的</w:t>
      </w:r>
      <w:r>
        <w:rPr>
          <w:position w:val="2"/>
        </w:rPr>
        <w:t>主要是无组织排放的恶臭气体、</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，通过采取相应的治理措施后，均可</w:t>
      </w:r>
      <w:r>
        <w:rPr>
          <w:spacing w:val="-11"/>
          <w:vertAlign w:val="baseline"/>
        </w:rPr>
        <w:t>达标排放，羊粪便出售给当地的农户，其他固体废物全部得到综合利用与妥善处</w:t>
      </w:r>
      <w:r>
        <w:rPr>
          <w:spacing w:val="-12"/>
          <w:vertAlign w:val="baseline"/>
        </w:rPr>
        <w:t>置，实现了废物零排放。本项目主要污染防治措施均本着实现资源合理利用的原</w:t>
      </w:r>
      <w:r>
        <w:rPr>
          <w:vertAlign w:val="baseline"/>
        </w:rPr>
        <w:t>则，将污染物通过治理转化为有用资源进行利用。</w:t>
      </w:r>
    </w:p>
    <w:p>
      <w:pPr>
        <w:pStyle w:val="7"/>
        <w:spacing w:before="7"/>
        <w:ind w:left="0" w:firstLine="1200" w:firstLineChars="500"/>
        <w:rPr>
          <w:sz w:val="8"/>
        </w:rPr>
      </w:pPr>
      <w:r>
        <w:rPr>
          <w:rFonts w:hint="eastAsia"/>
          <w:sz w:val="24"/>
          <w:lang w:eastAsia="zh-CN"/>
        </w:rPr>
        <w:t>（</w:t>
      </w:r>
      <w:r>
        <w:rPr>
          <w:rFonts w:hint="eastAsia"/>
          <w:sz w:val="24"/>
          <w:lang w:val="en-US" w:eastAsia="zh-CN"/>
        </w:rPr>
        <w:t>6</w:t>
      </w:r>
      <w:r>
        <w:rPr>
          <w:rFonts w:hint="eastAsia"/>
          <w:sz w:val="24"/>
          <w:lang w:eastAsia="zh-CN"/>
        </w:rPr>
        <w:t>）</w:t>
      </w:r>
      <w:r>
        <w:rPr>
          <w:sz w:val="24"/>
        </w:rPr>
        <w:t>环境管理</w:t>
      </w:r>
    </w:p>
    <w:p>
      <w:pPr>
        <w:pStyle w:val="7"/>
        <w:spacing w:before="67" w:line="343" w:lineRule="auto"/>
        <w:ind w:right="455" w:firstLine="480"/>
      </w:pPr>
      <w:r>
        <w:rPr>
          <w:spacing w:val="-6"/>
        </w:rPr>
        <w:t>本项目的建设符合国家产业政策，选址、平面布置及污染防治措施符合《畜</w:t>
      </w:r>
      <w:r>
        <w:rPr>
          <w:spacing w:val="-11"/>
        </w:rPr>
        <w:t>禽养殖业污染防治技术规范》</w:t>
      </w:r>
      <w:r>
        <w:rPr>
          <w:spacing w:val="-3"/>
        </w:rPr>
        <w:t>（</w:t>
      </w:r>
      <w:r>
        <w:rPr>
          <w:rFonts w:ascii="Times New Roman" w:eastAsia="Times New Roman"/>
          <w:spacing w:val="-3"/>
        </w:rPr>
        <w:t>HJ/T81-2001</w:t>
      </w:r>
      <w:r>
        <w:rPr>
          <w:spacing w:val="-3"/>
        </w:rPr>
        <w:t>）</w:t>
      </w:r>
      <w:r>
        <w:rPr>
          <w:spacing w:val="-17"/>
        </w:rPr>
        <w:t>、《畜禽规模养殖污染防治条例》、</w:t>
      </w:r>
    </w:p>
    <w:p>
      <w:pPr>
        <w:pStyle w:val="7"/>
        <w:spacing w:line="306" w:lineRule="exact"/>
      </w:pPr>
      <w:r>
        <w:t>《畜禽养殖业污染治理工程技术规范》（</w:t>
      </w:r>
      <w:r>
        <w:rPr>
          <w:rFonts w:ascii="Times New Roman" w:eastAsia="Times New Roman"/>
        </w:rPr>
        <w:t>HJ497-2009</w:t>
      </w:r>
      <w:r>
        <w:t>）等技术文件的要求。</w:t>
      </w:r>
    </w:p>
    <w:p>
      <w:pPr>
        <w:pStyle w:val="7"/>
        <w:spacing w:before="134" w:line="343" w:lineRule="auto"/>
        <w:ind w:right="577" w:firstLine="480"/>
      </w:pPr>
      <w:r>
        <w:rPr>
          <w:spacing w:val="-5"/>
        </w:rPr>
        <w:t>项目建成后企业将设立健全的环境管理机构和专职管理人员，制订较完善环</w:t>
      </w:r>
      <w:r>
        <w:t>境管理制度，严格控制各种污染物的产生及排放，严格控制风险事故的发生。</w:t>
      </w:r>
    </w:p>
    <w:p>
      <w:pPr>
        <w:pStyle w:val="7"/>
        <w:spacing w:line="345" w:lineRule="auto"/>
        <w:ind w:right="577" w:firstLine="480"/>
      </w:pPr>
      <w:r>
        <w:rPr>
          <w:spacing w:val="-9"/>
        </w:rPr>
        <w:t>坚持预防为主、防治结合、综合治理的原则，坚持推行清洁生产，实行生产</w:t>
      </w:r>
      <w:r>
        <w:t>全过程污染控制。环境管理工作内容包括：</w:t>
      </w:r>
    </w:p>
    <w:p>
      <w:pPr>
        <w:pStyle w:val="7"/>
        <w:spacing w:line="343" w:lineRule="auto"/>
        <w:ind w:right="580" w:firstLine="480"/>
      </w:pPr>
      <w:r>
        <w:t>①有效处理生产过程中产生的废水、废气、固体废物，防止对周围环境造成污染或有害影响。</w:t>
      </w:r>
    </w:p>
    <w:p>
      <w:pPr>
        <w:pStyle w:val="7"/>
        <w:spacing w:line="343" w:lineRule="auto"/>
        <w:ind w:right="577" w:firstLine="480"/>
      </w:pPr>
      <w:r>
        <w:t>②生产部具体负责日常的“三废”治理和环境保护工作，符合达标的排放源应树立合格排放标志。</w:t>
      </w:r>
    </w:p>
    <w:p>
      <w:pPr>
        <w:pStyle w:val="7"/>
        <w:spacing w:line="306" w:lineRule="exact"/>
        <w:ind w:left="1020"/>
      </w:pPr>
      <w:r>
        <w:t>③设立“三废”处理人员岗位负责制，实行严格的奖罚制度。</w:t>
      </w:r>
    </w:p>
    <w:p>
      <w:pPr>
        <w:pStyle w:val="7"/>
        <w:spacing w:before="130" w:line="343" w:lineRule="auto"/>
        <w:ind w:right="580" w:firstLine="480"/>
      </w:pPr>
      <w:r>
        <w:t>④环保人员负责维护环保治理设施，在环保治理设施一旦出现故障时，必须立即采取应急措施，以杜绝污染物排放的出现。</w:t>
      </w:r>
    </w:p>
    <w:p>
      <w:pPr>
        <w:pStyle w:val="7"/>
        <w:spacing w:line="345" w:lineRule="auto"/>
        <w:ind w:right="580" w:firstLine="480"/>
      </w:pPr>
      <w:r>
        <w:t>⑤定期进行环保技术业务培训，以提高工作人员的技术素质水平。积极开展环境保护宣传教育活动，普及环保知识，提高全员的环保意识。</w:t>
      </w:r>
    </w:p>
    <w:p>
      <w:pPr>
        <w:pStyle w:val="7"/>
        <w:spacing w:line="303" w:lineRule="exact"/>
        <w:ind w:left="1020"/>
      </w:pPr>
      <w:r>
        <w:t>⑥搞好场区绿化，改善生产区及周围环境，接受环保部门的检查和指导。</w:t>
      </w:r>
    </w:p>
    <w:p>
      <w:pPr>
        <w:pStyle w:val="7"/>
        <w:spacing w:before="130" w:line="345" w:lineRule="auto"/>
        <w:ind w:right="580" w:firstLine="480"/>
      </w:pPr>
      <w:r>
        <w:t>⑦场内原料必须按照有关管理规定贮存、保管等，不得对生产区及其周围环境造成。</w:t>
      </w:r>
    </w:p>
    <w:p>
      <w:pPr>
        <w:pStyle w:val="7"/>
        <w:spacing w:line="343" w:lineRule="auto"/>
        <w:ind w:right="580" w:firstLine="480"/>
      </w:pPr>
      <w:r>
        <w:t>⑧在生产中，由于突发性事件造成排污异常，要立即采取应急措施，防止污染扩大，并及时向环保主管部门汇报，以便做好协调处置工作。</w:t>
      </w:r>
    </w:p>
    <w:p>
      <w:pPr>
        <w:pStyle w:val="7"/>
        <w:ind w:left="1020"/>
      </w:pPr>
      <w:r>
        <w:t>综上所述，本项目符合“清洁生产”要求，贯彻了清洁生产原则。</w:t>
      </w:r>
    </w:p>
    <w:p>
      <w:pPr>
        <w:pStyle w:val="5"/>
        <w:numPr>
          <w:ilvl w:val="2"/>
          <w:numId w:val="31"/>
        </w:numPr>
        <w:tabs>
          <w:tab w:val="left" w:pos="1241"/>
        </w:tabs>
        <w:spacing w:before="165" w:after="0" w:line="240" w:lineRule="auto"/>
        <w:ind w:left="1240" w:right="0" w:hanging="701"/>
        <w:jc w:val="left"/>
        <w:outlineLvl w:val="2"/>
      </w:pPr>
      <w:bookmarkStart w:id="208" w:name="3.4.3 清洁生产建议"/>
      <w:bookmarkEnd w:id="208"/>
      <w:bookmarkStart w:id="209" w:name="3.4.3 清洁生产建议"/>
      <w:bookmarkEnd w:id="209"/>
      <w:bookmarkStart w:id="210" w:name="_Toc177"/>
      <w:r>
        <w:t>清洁生产建议</w:t>
      </w:r>
      <w:bookmarkEnd w:id="210"/>
    </w:p>
    <w:p>
      <w:pPr>
        <w:pStyle w:val="7"/>
        <w:keepNext w:val="0"/>
        <w:keepLines w:val="0"/>
        <w:pageBreakBefore w:val="0"/>
        <w:widowControl w:val="0"/>
        <w:kinsoku/>
        <w:wordWrap/>
        <w:overflowPunct/>
        <w:topLinePunct w:val="0"/>
        <w:autoSpaceDE w:val="0"/>
        <w:autoSpaceDN w:val="0"/>
        <w:bidi w:val="0"/>
        <w:adjustRightInd/>
        <w:snapToGrid/>
        <w:spacing w:before="188" w:line="360" w:lineRule="auto"/>
        <w:ind w:left="220" w:leftChars="100" w:right="577" w:firstLine="480"/>
        <w:jc w:val="both"/>
        <w:textAlignment w:val="auto"/>
        <w:rPr>
          <w:rFonts w:hint="eastAsia" w:ascii="宋体" w:hAnsi="宋体" w:eastAsia="宋体" w:cs="宋体"/>
          <w:sz w:val="24"/>
          <w:szCs w:val="24"/>
        </w:rPr>
      </w:pPr>
      <w:r>
        <w:rPr>
          <w:rFonts w:hint="eastAsia" w:ascii="宋体" w:hAnsi="宋体" w:eastAsia="宋体" w:cs="宋体"/>
          <w:spacing w:val="-5"/>
          <w:sz w:val="24"/>
          <w:szCs w:val="24"/>
        </w:rPr>
        <w:t>建设单位要确保建立健全的环境管理体制和工作制度，建议公司在今后的发</w:t>
      </w:r>
      <w:r>
        <w:rPr>
          <w:rFonts w:hint="eastAsia" w:ascii="宋体" w:hAnsi="宋体" w:eastAsia="宋体" w:cs="宋体"/>
          <w:sz w:val="24"/>
          <w:szCs w:val="24"/>
        </w:rPr>
        <w:t>展过程中，按照质量管理体系（ISO9002/QS-9000/ISO14001）、GMP认证的相关要求，切实贯彻落实各项清洁生产措施，保障清洁生产的推行，不断进步。</w:t>
      </w:r>
    </w:p>
    <w:p>
      <w:pPr>
        <w:pStyle w:val="7"/>
        <w:keepNext w:val="0"/>
        <w:keepLines w:val="0"/>
        <w:pageBreakBefore w:val="0"/>
        <w:widowControl w:val="0"/>
        <w:kinsoku/>
        <w:wordWrap/>
        <w:overflowPunct/>
        <w:topLinePunct w:val="0"/>
        <w:autoSpaceDE w:val="0"/>
        <w:autoSpaceDN w:val="0"/>
        <w:bidi w:val="0"/>
        <w:adjustRightInd/>
        <w:snapToGrid/>
        <w:spacing w:before="1" w:line="360" w:lineRule="auto"/>
        <w:ind w:left="220" w:leftChars="100"/>
        <w:textAlignment w:val="auto"/>
        <w:rPr>
          <w:rFonts w:hint="eastAsia" w:ascii="宋体" w:hAnsi="宋体" w:eastAsia="宋体" w:cs="宋体"/>
          <w:sz w:val="24"/>
          <w:szCs w:val="24"/>
        </w:rPr>
      </w:pPr>
      <w:r>
        <w:rPr>
          <w:rFonts w:hint="eastAsia" w:ascii="宋体" w:hAnsi="宋体" w:eastAsia="宋体" w:cs="宋体"/>
          <w:sz w:val="24"/>
          <w:szCs w:val="24"/>
        </w:rPr>
        <w:t>为了更好的执行清洁生产方针，本环评建议建设单位考虑以下的清洁措施：</w:t>
      </w:r>
    </w:p>
    <w:p>
      <w:pPr>
        <w:pStyle w:val="7"/>
        <w:keepNext w:val="0"/>
        <w:keepLines w:val="0"/>
        <w:pageBreakBefore w:val="0"/>
        <w:widowControl w:val="0"/>
        <w:kinsoku/>
        <w:wordWrap/>
        <w:overflowPunct/>
        <w:topLinePunct w:val="0"/>
        <w:autoSpaceDE w:val="0"/>
        <w:autoSpaceDN w:val="0"/>
        <w:bidi w:val="0"/>
        <w:adjustRightInd/>
        <w:snapToGrid/>
        <w:spacing w:before="7" w:line="360" w:lineRule="auto"/>
        <w:ind w:left="220" w:leftChars="100"/>
        <w:textAlignment w:val="auto"/>
        <w:rPr>
          <w:rFonts w:hint="eastAsia" w:ascii="宋体" w:hAnsi="宋体" w:eastAsia="宋体" w:cs="宋体"/>
          <w:sz w:val="24"/>
          <w:szCs w:val="24"/>
        </w:rPr>
      </w:pPr>
      <w:r>
        <w:rPr>
          <w:rFonts w:hint="eastAsia" w:ascii="宋体" w:hAnsi="宋体" w:eastAsia="宋体" w:cs="宋体"/>
          <w:sz w:val="24"/>
          <w:szCs w:val="24"/>
        </w:rPr>
        <w:t>①成立清洁生产领导小组，每年根据本单位的实际情况制定清洁生产工作</w:t>
      </w:r>
      <w:r>
        <w:rPr>
          <w:rFonts w:hint="eastAsia" w:ascii="宋体" w:hAnsi="宋体" w:eastAsia="宋体" w:cs="宋体"/>
          <w:spacing w:val="-11"/>
          <w:sz w:val="24"/>
          <w:szCs w:val="24"/>
        </w:rPr>
        <w:t>计划，持续不断地开展清洁生产工作。定期开展污染源调查和环境保护设施运行</w:t>
      </w:r>
      <w:r>
        <w:rPr>
          <w:rFonts w:hint="eastAsia" w:ascii="宋体" w:hAnsi="宋体" w:eastAsia="宋体" w:cs="宋体"/>
          <w:sz w:val="24"/>
          <w:szCs w:val="24"/>
        </w:rPr>
        <w:t>标定，有计划、有步骤地开展生产装置环境保护审计工作。</w:t>
      </w:r>
    </w:p>
    <w:p>
      <w:pPr>
        <w:pStyle w:val="7"/>
        <w:keepNext w:val="0"/>
        <w:keepLines w:val="0"/>
        <w:pageBreakBefore w:val="0"/>
        <w:widowControl w:val="0"/>
        <w:kinsoku/>
        <w:wordWrap/>
        <w:overflowPunct/>
        <w:topLinePunct w:val="0"/>
        <w:autoSpaceDE w:val="0"/>
        <w:autoSpaceDN w:val="0"/>
        <w:bidi w:val="0"/>
        <w:adjustRightInd/>
        <w:snapToGrid/>
        <w:spacing w:before="67" w:line="360" w:lineRule="auto"/>
        <w:ind w:left="220" w:leftChars="100" w:right="605" w:firstLine="480"/>
        <w:jc w:val="both"/>
        <w:textAlignment w:val="auto"/>
        <w:rPr>
          <w:rFonts w:hint="eastAsia" w:ascii="宋体" w:hAnsi="宋体" w:eastAsia="宋体" w:cs="宋体"/>
          <w:sz w:val="24"/>
          <w:szCs w:val="24"/>
        </w:rPr>
      </w:pPr>
      <w:r>
        <w:rPr>
          <w:rFonts w:hint="eastAsia" w:ascii="宋体" w:hAnsi="宋体" w:eastAsia="宋体" w:cs="宋体"/>
          <w:sz w:val="24"/>
          <w:szCs w:val="24"/>
        </w:rPr>
        <w:t>②提高原料的利用率；完善企业内部管理，减少物料消耗，建立严格的管理制度，落实岗位责任制，加强生产中的现场管理。</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605" w:firstLine="480"/>
        <w:jc w:val="both"/>
        <w:textAlignment w:val="auto"/>
        <w:rPr>
          <w:rFonts w:hint="eastAsia" w:ascii="宋体" w:hAnsi="宋体" w:eastAsia="宋体" w:cs="宋体"/>
          <w:sz w:val="24"/>
          <w:szCs w:val="24"/>
        </w:rPr>
      </w:pPr>
      <w:r>
        <w:rPr>
          <w:rFonts w:hint="eastAsia" w:ascii="宋体" w:hAnsi="宋体" w:eastAsia="宋体" w:cs="宋体"/>
          <w:sz w:val="24"/>
          <w:szCs w:val="24"/>
        </w:rPr>
        <w:t>③加强生产设备和污水处理设施维修，及时检修、更换破损的管道、机泵和污染治理设备，尽量减少和防止生产过程中的跑冒滴漏。</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80" w:firstLine="480"/>
        <w:jc w:val="both"/>
        <w:textAlignment w:val="auto"/>
        <w:rPr>
          <w:rFonts w:hint="eastAsia" w:ascii="宋体" w:hAnsi="宋体" w:eastAsia="宋体" w:cs="宋体"/>
          <w:sz w:val="24"/>
          <w:szCs w:val="24"/>
        </w:rPr>
      </w:pPr>
      <w:r>
        <w:rPr>
          <w:rFonts w:hint="eastAsia" w:ascii="宋体" w:hAnsi="宋体" w:eastAsia="宋体" w:cs="宋体"/>
          <w:sz w:val="24"/>
          <w:szCs w:val="24"/>
        </w:rPr>
        <w:t>④每日及时清粪，可有效减轻恶臭气体的产生，改善培育舍内环境，减少羊疾病发病率和死亡率。</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220" w:leftChars="100" w:right="577" w:firstLine="480"/>
        <w:jc w:val="both"/>
        <w:textAlignment w:val="auto"/>
        <w:rPr>
          <w:rFonts w:hint="eastAsia" w:ascii="宋体" w:hAnsi="宋体" w:eastAsia="宋体" w:cs="宋体"/>
          <w:sz w:val="24"/>
          <w:szCs w:val="24"/>
        </w:rPr>
      </w:pPr>
      <w:r>
        <w:rPr>
          <w:rFonts w:hint="eastAsia" w:ascii="宋体" w:hAnsi="宋体" w:eastAsia="宋体" w:cs="宋体"/>
          <w:spacing w:val="-1"/>
          <w:sz w:val="24"/>
          <w:szCs w:val="24"/>
        </w:rPr>
        <w:t>⑤做好病死羊尸体的处置，病死羊尸体按规范要求坚持无害化处理。出现</w:t>
      </w:r>
      <w:r>
        <w:rPr>
          <w:rFonts w:hint="eastAsia" w:ascii="宋体" w:hAnsi="宋体" w:eastAsia="宋体" w:cs="宋体"/>
          <w:spacing w:val="-10"/>
          <w:sz w:val="24"/>
          <w:szCs w:val="24"/>
        </w:rPr>
        <w:t>死羊后，及时确认病死羊病因，按场内制定的操作流程严格进行无害化处理，因</w:t>
      </w:r>
      <w:r>
        <w:rPr>
          <w:rFonts w:hint="eastAsia" w:ascii="宋体" w:hAnsi="宋体" w:eastAsia="宋体" w:cs="宋体"/>
          <w:spacing w:val="-5"/>
          <w:sz w:val="24"/>
          <w:szCs w:val="24"/>
        </w:rPr>
        <w:t>重大疫病及人畜共患病死亡的羊尸体应先上报当地兽医局、动物疾病预防控制中</w:t>
      </w:r>
      <w:r>
        <w:rPr>
          <w:rFonts w:hint="eastAsia" w:ascii="宋体" w:hAnsi="宋体" w:eastAsia="宋体" w:cs="宋体"/>
          <w:spacing w:val="-11"/>
          <w:sz w:val="24"/>
          <w:szCs w:val="24"/>
        </w:rPr>
        <w:t>心，后由动物疫病预防控制中心、兽医局等有关部门组织对病死羊做统一集中无</w:t>
      </w:r>
      <w:r>
        <w:rPr>
          <w:rFonts w:hint="eastAsia" w:ascii="宋体" w:hAnsi="宋体" w:eastAsia="宋体" w:cs="宋体"/>
          <w:sz w:val="24"/>
          <w:szCs w:val="24"/>
        </w:rPr>
        <w:t>害化处理，不可私自处置、外卖或私自屠宰。</w:t>
      </w:r>
    </w:p>
    <w:p>
      <w:pPr>
        <w:keepNext w:val="0"/>
        <w:keepLines w:val="0"/>
        <w:pageBreakBefore w:val="0"/>
        <w:widowControl w:val="0"/>
        <w:kinsoku/>
        <w:wordWrap/>
        <w:overflowPunct/>
        <w:topLinePunct w:val="0"/>
        <w:autoSpaceDE w:val="0"/>
        <w:autoSpaceDN w:val="0"/>
        <w:bidi w:val="0"/>
        <w:adjustRightInd/>
        <w:snapToGrid/>
        <w:spacing w:after="0" w:line="360" w:lineRule="auto"/>
        <w:ind w:left="220" w:leftChars="100"/>
        <w:jc w:val="both"/>
        <w:textAlignment w:val="auto"/>
        <w:rPr>
          <w:rFonts w:hint="eastAsia" w:ascii="宋体" w:hAnsi="宋体" w:eastAsia="宋体" w:cs="宋体"/>
          <w:sz w:val="24"/>
          <w:szCs w:val="24"/>
        </w:rPr>
        <w:sectPr>
          <w:footerReference r:id="rId20"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ind w:right="37"/>
        <w:outlineLvl w:val="0"/>
      </w:pPr>
      <w:bookmarkStart w:id="211" w:name="_Toc24052"/>
      <w:r>
        <w:t>第四章</w:t>
      </w:r>
      <w:r>
        <w:tab/>
      </w:r>
      <w:bookmarkStart w:id="212" w:name="第四章 环境现状调查与评价"/>
      <w:bookmarkEnd w:id="212"/>
      <w:r>
        <w:t>环境现状调查与评价</w:t>
      </w:r>
      <w:bookmarkEnd w:id="211"/>
    </w:p>
    <w:p>
      <w:pPr>
        <w:pStyle w:val="4"/>
        <w:numPr>
          <w:ilvl w:val="1"/>
          <w:numId w:val="40"/>
        </w:numPr>
        <w:tabs>
          <w:tab w:val="left" w:pos="1100"/>
        </w:tabs>
        <w:spacing w:before="315" w:after="0" w:line="240" w:lineRule="auto"/>
        <w:ind w:left="1099" w:right="0" w:hanging="560"/>
        <w:jc w:val="left"/>
        <w:outlineLvl w:val="1"/>
      </w:pPr>
      <w:bookmarkStart w:id="213" w:name="_bookmark22"/>
      <w:bookmarkEnd w:id="213"/>
      <w:bookmarkStart w:id="214" w:name="4.1 自然环境概况"/>
      <w:bookmarkEnd w:id="214"/>
      <w:bookmarkStart w:id="215" w:name="_Toc3177"/>
      <w:r>
        <w:t>自然环境概况</w:t>
      </w:r>
      <w:bookmarkEnd w:id="215"/>
    </w:p>
    <w:p>
      <w:pPr>
        <w:pStyle w:val="7"/>
        <w:spacing w:before="6"/>
        <w:ind w:left="0"/>
        <w:rPr>
          <w:b/>
          <w:sz w:val="28"/>
        </w:rPr>
      </w:pPr>
    </w:p>
    <w:p>
      <w:pPr>
        <w:pStyle w:val="5"/>
        <w:numPr>
          <w:ilvl w:val="2"/>
          <w:numId w:val="40"/>
        </w:numPr>
        <w:tabs>
          <w:tab w:val="left" w:pos="1241"/>
        </w:tabs>
        <w:spacing w:before="0" w:after="0" w:line="240" w:lineRule="auto"/>
        <w:ind w:left="1240" w:right="0" w:hanging="701"/>
        <w:jc w:val="left"/>
        <w:outlineLvl w:val="2"/>
      </w:pPr>
      <w:bookmarkStart w:id="216" w:name="4.1.1 地理位置"/>
      <w:bookmarkEnd w:id="216"/>
      <w:bookmarkStart w:id="217" w:name="4.1.1 地理位置"/>
      <w:bookmarkEnd w:id="217"/>
      <w:bookmarkStart w:id="218" w:name="_Toc15166"/>
      <w:r>
        <w:t>地理位置</w:t>
      </w:r>
      <w:bookmarkEnd w:id="218"/>
    </w:p>
    <w:p>
      <w:pPr>
        <w:pStyle w:val="7"/>
        <w:spacing w:line="364" w:lineRule="auto"/>
        <w:ind w:right="569" w:firstLine="480"/>
        <w:jc w:val="both"/>
        <w:rPr>
          <w:rFonts w:hint="eastAsia" w:ascii="Times New Roman" w:hAnsi="Times New Roman" w:eastAsia="宋体" w:cs="Times New Roman"/>
          <w:b w:val="0"/>
          <w:bCs w:val="0"/>
          <w:color w:val="0000FF"/>
          <w:sz w:val="24"/>
          <w:szCs w:val="24"/>
          <w:lang w:val="en-US" w:eastAsia="zh-CN"/>
        </w:rPr>
      </w:pPr>
      <w:r>
        <w:rPr>
          <w:rFonts w:hint="eastAsia" w:ascii="Times New Roman" w:hAnsi="Times New Roman" w:eastAsia="宋体" w:cs="Times New Roman"/>
          <w:b w:val="0"/>
          <w:bCs w:val="0"/>
          <w:color w:val="0000FF"/>
          <w:sz w:val="24"/>
          <w:szCs w:val="24"/>
          <w:lang w:val="en-US" w:eastAsia="zh-CN"/>
        </w:rPr>
        <w:t>本项目建设地点位于莎车县孜热甫夏提乡。莎车县位于新疆维吾尔自治区西南部，地处昆仑山北麓、帕米尔高原南侧、塔克拉玛干沙漠和塔里木盆地西南缘、叶尔羌河冲积扇平原中上游，地理坐标：东经76°1′57′′-77°46′30′′，北纬37°27′30′′-39°0′15′′。县境东北与麦盖提县为邻，东南与泽普县、叶城县相望，西与英吉沙县、阿克陶县毗邻，北靠岳普湖县、疏勒县和巴楚县，西南与塔什库尔干县相接，南北最长190km，东西最宽56km，行政区总面积8956.69km</w:t>
      </w:r>
      <w:r>
        <w:rPr>
          <w:rFonts w:hint="eastAsia" w:ascii="Times New Roman" w:hAnsi="Times New Roman" w:eastAsia="宋体" w:cs="Times New Roman"/>
          <w:b w:val="0"/>
          <w:bCs w:val="0"/>
          <w:color w:val="0000FF"/>
          <w:sz w:val="24"/>
          <w:szCs w:val="24"/>
          <w:vertAlign w:val="superscript"/>
          <w:lang w:val="en-US" w:eastAsia="zh-CN"/>
        </w:rPr>
        <w:t>2</w:t>
      </w:r>
      <w:r>
        <w:rPr>
          <w:rFonts w:hint="eastAsia" w:ascii="Times New Roman" w:hAnsi="Times New Roman" w:eastAsia="宋体" w:cs="Times New Roman"/>
          <w:b w:val="0"/>
          <w:bCs w:val="0"/>
          <w:color w:val="0000FF"/>
          <w:sz w:val="24"/>
          <w:szCs w:val="24"/>
          <w:lang w:val="en-US" w:eastAsia="zh-CN"/>
        </w:rPr>
        <w:t>。县城东北距乌鲁木齐市1050km，西北距喀什市165km。</w:t>
      </w:r>
    </w:p>
    <w:p>
      <w:pPr>
        <w:pStyle w:val="7"/>
        <w:spacing w:line="364" w:lineRule="auto"/>
        <w:ind w:right="569" w:firstLine="480"/>
        <w:jc w:val="both"/>
      </w:pPr>
      <w:r>
        <w:rPr>
          <w:color w:val="0000FF"/>
          <w:sz w:val="24"/>
        </w:rPr>
        <w:t>本项目位于新疆</w:t>
      </w:r>
      <w:r>
        <w:rPr>
          <w:rFonts w:hint="eastAsia"/>
          <w:color w:val="0000FF"/>
          <w:sz w:val="24"/>
          <w:lang w:val="en-US" w:eastAsia="zh-CN"/>
        </w:rPr>
        <w:t>喀什地区莎车县孜热普夏提村3村</w:t>
      </w:r>
      <w:r>
        <w:rPr>
          <w:color w:val="0000FF"/>
          <w:sz w:val="24"/>
        </w:rPr>
        <w:t>，中心点经纬度坐标：</w:t>
      </w:r>
      <w:r>
        <w:rPr>
          <w:rFonts w:ascii="Times New Roman" w:hAnsi="Times New Roman" w:eastAsia="Times New Roman"/>
          <w:color w:val="0000FF"/>
          <w:sz w:val="24"/>
        </w:rPr>
        <w:t>E</w:t>
      </w:r>
      <w:r>
        <w:rPr>
          <w:rFonts w:hint="eastAsia" w:ascii="Times New Roman" w:hAnsi="Times New Roman" w:eastAsia="宋体"/>
          <w:color w:val="0000FF"/>
          <w:sz w:val="24"/>
          <w:lang w:val="en-US" w:eastAsia="zh-CN"/>
        </w:rPr>
        <w:t>77</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2</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59</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32</w:t>
      </w:r>
      <w:r>
        <w:rPr>
          <w:rFonts w:ascii="Times New Roman" w:hAnsi="Times New Roman" w:eastAsia="Times New Roman"/>
          <w:color w:val="0000FF"/>
          <w:sz w:val="24"/>
        </w:rPr>
        <w:t>"</w:t>
      </w:r>
      <w:r>
        <w:rPr>
          <w:color w:val="0000FF"/>
          <w:sz w:val="24"/>
        </w:rPr>
        <w:t>，</w:t>
      </w:r>
      <w:r>
        <w:rPr>
          <w:rFonts w:ascii="Times New Roman" w:hAnsi="Times New Roman" w:eastAsia="Times New Roman"/>
          <w:color w:val="0000FF"/>
          <w:sz w:val="24"/>
        </w:rPr>
        <w:t>N3</w:t>
      </w:r>
      <w:r>
        <w:rPr>
          <w:rFonts w:hint="eastAsia" w:ascii="Times New Roman" w:hAnsi="Times New Roman" w:eastAsia="宋体"/>
          <w:color w:val="0000FF"/>
          <w:sz w:val="24"/>
          <w:lang w:val="en-US" w:eastAsia="zh-CN"/>
        </w:rPr>
        <w:t>8</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12</w:t>
      </w:r>
      <w:r>
        <w:rPr>
          <w:rFonts w:ascii="Times New Roman" w:hAnsi="Times New Roman" w:eastAsia="Times New Roman"/>
          <w:color w:val="0000FF"/>
          <w:sz w:val="24"/>
        </w:rPr>
        <w:t>'5</w:t>
      </w:r>
      <w:r>
        <w:rPr>
          <w:rFonts w:hint="eastAsia" w:ascii="Times New Roman" w:hAnsi="Times New Roman" w:eastAsia="宋体"/>
          <w:color w:val="0000FF"/>
          <w:sz w:val="24"/>
          <w:lang w:val="en-US" w:eastAsia="zh-CN"/>
        </w:rPr>
        <w:t>5</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5</w:t>
      </w:r>
      <w:r>
        <w:rPr>
          <w:rFonts w:ascii="Times New Roman" w:hAnsi="Times New Roman" w:eastAsia="Times New Roman"/>
          <w:color w:val="0000FF"/>
          <w:sz w:val="24"/>
        </w:rPr>
        <w:t>"</w:t>
      </w:r>
      <w:r>
        <w:rPr>
          <w:color w:val="0000FF"/>
          <w:spacing w:val="-1"/>
          <w:sz w:val="24"/>
        </w:rPr>
        <w:t>，四周均为</w:t>
      </w:r>
      <w:r>
        <w:rPr>
          <w:rFonts w:hint="eastAsia"/>
          <w:color w:val="0000FF"/>
          <w:spacing w:val="-1"/>
          <w:sz w:val="24"/>
          <w:lang w:val="en-US" w:eastAsia="zh-CN"/>
        </w:rPr>
        <w:t>荒地</w:t>
      </w:r>
      <w:r>
        <w:rPr>
          <w:color w:val="0000FF"/>
          <w:spacing w:val="-1"/>
          <w:sz w:val="24"/>
        </w:rPr>
        <w:t>，</w:t>
      </w:r>
      <w:r>
        <w:rPr>
          <w:rFonts w:hint="eastAsia"/>
          <w:color w:val="0000FF"/>
          <w:spacing w:val="-1"/>
          <w:sz w:val="24"/>
          <w:lang w:val="en-US" w:eastAsia="zh-CN"/>
        </w:rPr>
        <w:t>北</w:t>
      </w:r>
      <w:r>
        <w:rPr>
          <w:color w:val="0000FF"/>
          <w:spacing w:val="-1"/>
          <w:sz w:val="24"/>
        </w:rPr>
        <w:t>侧为道路，隔路为农田，</w:t>
      </w:r>
      <w:r>
        <w:rPr>
          <w:color w:val="0000FF"/>
          <w:spacing w:val="-15"/>
          <w:sz w:val="24"/>
        </w:rPr>
        <w:t>西侧约</w:t>
      </w:r>
      <w:r>
        <w:rPr>
          <w:rFonts w:hint="eastAsia" w:ascii="Times New Roman" w:hAnsi="Times New Roman" w:eastAsia="宋体"/>
          <w:color w:val="0000FF"/>
          <w:sz w:val="24"/>
          <w:lang w:val="en-US" w:eastAsia="zh-CN"/>
        </w:rPr>
        <w:t>1.6</w:t>
      </w:r>
      <w:r>
        <w:rPr>
          <w:rFonts w:ascii="Times New Roman" w:hAnsi="Times New Roman" w:eastAsia="Times New Roman"/>
          <w:color w:val="0000FF"/>
          <w:sz w:val="24"/>
        </w:rPr>
        <w:t>km</w:t>
      </w:r>
      <w:r>
        <w:rPr>
          <w:color w:val="0000FF"/>
          <w:spacing w:val="-7"/>
          <w:sz w:val="24"/>
        </w:rPr>
        <w:t>处为</w:t>
      </w:r>
      <w:r>
        <w:rPr>
          <w:rFonts w:hint="eastAsia"/>
          <w:color w:val="0000FF"/>
          <w:spacing w:val="-4"/>
          <w:sz w:val="24"/>
          <w:szCs w:val="24"/>
          <w:lang w:val="en-US" w:eastAsia="zh-CN"/>
        </w:rPr>
        <w:t>萨依吾斯塘村</w:t>
      </w:r>
      <w:r>
        <w:rPr>
          <w:color w:val="0000FF"/>
          <w:spacing w:val="-7"/>
          <w:sz w:val="24"/>
          <w:szCs w:val="24"/>
        </w:rPr>
        <w:t>；</w:t>
      </w:r>
      <w:r>
        <w:rPr>
          <w:color w:val="0000FF"/>
          <w:spacing w:val="-7"/>
          <w:sz w:val="24"/>
        </w:rPr>
        <w:t>养殖区</w:t>
      </w:r>
      <w:r>
        <w:rPr>
          <w:rFonts w:hint="eastAsia"/>
          <w:color w:val="0000FF"/>
          <w:spacing w:val="-7"/>
          <w:sz w:val="24"/>
          <w:lang w:val="en-US" w:eastAsia="zh-CN"/>
        </w:rPr>
        <w:t>北</w:t>
      </w:r>
      <w:r>
        <w:rPr>
          <w:color w:val="0000FF"/>
          <w:spacing w:val="-7"/>
          <w:sz w:val="24"/>
        </w:rPr>
        <w:t>侧距约</w:t>
      </w:r>
      <w:r>
        <w:rPr>
          <w:rFonts w:ascii="Times New Roman" w:hAnsi="Times New Roman" w:eastAsia="Times New Roman"/>
          <w:color w:val="0000FF"/>
          <w:sz w:val="24"/>
        </w:rPr>
        <w:t>5</w:t>
      </w:r>
      <w:r>
        <w:rPr>
          <w:rFonts w:hint="eastAsia" w:ascii="Times New Roman" w:hAnsi="Times New Roman" w:eastAsia="宋体"/>
          <w:color w:val="0000FF"/>
          <w:sz w:val="24"/>
          <w:lang w:val="en-US" w:eastAsia="zh-CN"/>
        </w:rPr>
        <w:t>50</w:t>
      </w:r>
      <w:r>
        <w:rPr>
          <w:rFonts w:ascii="Times New Roman" w:hAnsi="Times New Roman" w:eastAsia="Times New Roman"/>
          <w:color w:val="0000FF"/>
          <w:sz w:val="24"/>
        </w:rPr>
        <w:t>m</w:t>
      </w:r>
      <w:r>
        <w:rPr>
          <w:color w:val="0000FF"/>
          <w:spacing w:val="-20"/>
          <w:sz w:val="24"/>
        </w:rPr>
        <w:t>处为</w:t>
      </w:r>
      <w:r>
        <w:rPr>
          <w:rFonts w:hint="eastAsia" w:ascii="Times New Roman" w:hAnsi="Times New Roman" w:eastAsia="宋体"/>
          <w:color w:val="0000FF"/>
          <w:sz w:val="24"/>
          <w:lang w:val="en-US" w:eastAsia="zh-CN"/>
        </w:rPr>
        <w:t>508县</w:t>
      </w:r>
      <w:r>
        <w:rPr>
          <w:color w:val="0000FF"/>
          <w:spacing w:val="-6"/>
          <w:sz w:val="24"/>
        </w:rPr>
        <w:t>道</w:t>
      </w:r>
      <w:r>
        <w:t>。</w:t>
      </w:r>
    </w:p>
    <w:p>
      <w:pPr>
        <w:pStyle w:val="5"/>
        <w:numPr>
          <w:ilvl w:val="2"/>
          <w:numId w:val="40"/>
        </w:numPr>
        <w:tabs>
          <w:tab w:val="left" w:pos="1241"/>
        </w:tabs>
        <w:spacing w:before="188" w:after="0" w:line="240" w:lineRule="auto"/>
        <w:ind w:left="1240" w:right="0" w:hanging="701"/>
        <w:jc w:val="left"/>
        <w:outlineLvl w:val="2"/>
      </w:pPr>
      <w:bookmarkStart w:id="219" w:name="4.1.2 地形地貌"/>
      <w:bookmarkEnd w:id="219"/>
      <w:bookmarkStart w:id="220" w:name="4.1.2 地形地貌"/>
      <w:bookmarkEnd w:id="220"/>
      <w:bookmarkStart w:id="221" w:name="_Toc6480"/>
      <w:r>
        <w:t>地形地貌</w:t>
      </w:r>
      <w:bookmarkEnd w:id="221"/>
    </w:p>
    <w:p>
      <w:pPr>
        <w:keepNext w:val="0"/>
        <w:keepLines w:val="0"/>
        <w:pageBreakBefore w:val="0"/>
        <w:widowControl w:val="0"/>
        <w:kinsoku/>
        <w:wordWrap/>
        <w:overflowPunct/>
        <w:topLinePunct w:val="0"/>
        <w:autoSpaceDE w:val="0"/>
        <w:autoSpaceDN w:val="0"/>
        <w:bidi w:val="0"/>
        <w:adjustRightInd/>
        <w:snapToGrid/>
        <w:spacing w:line="360" w:lineRule="auto"/>
        <w:ind w:left="220" w:leftChars="100" w:right="220" w:rightChars="100" w:firstLine="480" w:firstLineChars="200"/>
        <w:jc w:val="both"/>
        <w:textAlignment w:val="auto"/>
        <w:rPr>
          <w:rFonts w:hint="eastAsia" w:ascii="宋体" w:hAnsi="宋体" w:eastAsia="宋体" w:cs="宋体"/>
          <w:b w:val="0"/>
          <w:bCs w:val="0"/>
          <w:color w:val="0000FF"/>
          <w:kern w:val="0"/>
          <w:sz w:val="24"/>
          <w:szCs w:val="24"/>
          <w:highlight w:val="none"/>
          <w:lang w:eastAsia="zh-CN"/>
        </w:rPr>
      </w:pPr>
      <w:r>
        <w:rPr>
          <w:rFonts w:hint="eastAsia" w:ascii="宋体" w:hAnsi="宋体" w:eastAsia="宋体" w:cs="宋体"/>
          <w:b w:val="0"/>
          <w:bCs w:val="0"/>
          <w:color w:val="0000FF"/>
          <w:kern w:val="0"/>
          <w:sz w:val="24"/>
          <w:szCs w:val="24"/>
          <w:highlight w:val="none"/>
        </w:rPr>
        <w:t>莎车县地势总体由西向东倾斜，平均海拔1231.2m，其南部山区海拔1800-4550m，地貌类型有山地、平原、戈壁、沙漠等，其中山地3227.4</w:t>
      </w:r>
      <w:r>
        <w:rPr>
          <w:rFonts w:hint="eastAsia" w:ascii="宋体" w:hAnsi="宋体" w:eastAsia="宋体" w:cs="宋体"/>
          <w:b w:val="0"/>
          <w:bCs w:val="0"/>
          <w:color w:val="0000FF"/>
          <w:sz w:val="24"/>
          <w:szCs w:val="24"/>
          <w:highlight w:val="none"/>
        </w:rPr>
        <w:t>km</w:t>
      </w:r>
      <w:r>
        <w:rPr>
          <w:rFonts w:hint="eastAsia" w:ascii="宋体" w:hAnsi="宋体" w:eastAsia="宋体" w:cs="宋体"/>
          <w:b w:val="0"/>
          <w:bCs w:val="0"/>
          <w:color w:val="0000FF"/>
          <w:sz w:val="24"/>
          <w:szCs w:val="24"/>
          <w:highlight w:val="none"/>
          <w:vertAlign w:val="superscript"/>
        </w:rPr>
        <w:t>2</w:t>
      </w:r>
      <w:r>
        <w:rPr>
          <w:rFonts w:hint="eastAsia" w:ascii="宋体" w:hAnsi="宋体" w:eastAsia="宋体" w:cs="宋体"/>
          <w:b w:val="0"/>
          <w:bCs w:val="0"/>
          <w:color w:val="0000FF"/>
          <w:kern w:val="0"/>
          <w:sz w:val="24"/>
          <w:szCs w:val="24"/>
          <w:highlight w:val="none"/>
        </w:rPr>
        <w:t>，占总面积的39.4％，戈壁161.5</w:t>
      </w:r>
      <w:r>
        <w:rPr>
          <w:rFonts w:hint="eastAsia" w:ascii="宋体" w:hAnsi="宋体" w:eastAsia="宋体" w:cs="宋体"/>
          <w:b w:val="0"/>
          <w:bCs w:val="0"/>
          <w:color w:val="0000FF"/>
          <w:sz w:val="24"/>
          <w:szCs w:val="24"/>
          <w:highlight w:val="none"/>
        </w:rPr>
        <w:t>km</w:t>
      </w:r>
      <w:r>
        <w:rPr>
          <w:rFonts w:hint="eastAsia" w:ascii="宋体" w:hAnsi="宋体" w:eastAsia="宋体" w:cs="宋体"/>
          <w:b w:val="0"/>
          <w:bCs w:val="0"/>
          <w:color w:val="0000FF"/>
          <w:sz w:val="24"/>
          <w:szCs w:val="24"/>
          <w:highlight w:val="none"/>
          <w:vertAlign w:val="superscript"/>
        </w:rPr>
        <w:t>2</w:t>
      </w:r>
      <w:r>
        <w:rPr>
          <w:rFonts w:hint="eastAsia" w:ascii="宋体" w:hAnsi="宋体" w:eastAsia="宋体" w:cs="宋体"/>
          <w:b w:val="0"/>
          <w:bCs w:val="0"/>
          <w:color w:val="0000FF"/>
          <w:kern w:val="0"/>
          <w:sz w:val="24"/>
          <w:szCs w:val="24"/>
          <w:highlight w:val="none"/>
        </w:rPr>
        <w:t>，占总面积的26.2％。县境东北部为叶尔羌河冲积扇平原和塔克拉玛干沙漠，西部为布古里沙漠，西南部为昆仑山</w:t>
      </w:r>
      <w:r>
        <w:rPr>
          <w:rFonts w:hint="eastAsia" w:ascii="宋体" w:hAnsi="宋体" w:eastAsia="宋体" w:cs="宋体"/>
          <w:b w:val="0"/>
          <w:bCs w:val="0"/>
          <w:color w:val="0000FF"/>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莎车县处于叶尔羌河冲积扇平原中上游地带,地势由西向东微微倾斜，呈冲积扇形，地面标高大多介于1100- -3000m 之间，地形地势自南西向北东倾斜，西南部为山岖、东北部为平原区。自山岖向平原按成因可分为五个不同的地貌单元，即:中山区、低山丘陵区、山前洪积砾质倾斜平原区、冲积细土平原区和沙漠区。</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lang w:eastAsia="zh-CN"/>
        </w:rPr>
        <w:t>（</w:t>
      </w:r>
      <w:r>
        <w:rPr>
          <w:rFonts w:hint="eastAsia" w:ascii="宋体" w:hAnsi="宋体" w:eastAsia="宋体" w:cs="宋体"/>
          <w:color w:val="0000FF"/>
          <w:sz w:val="24"/>
          <w:szCs w:val="24"/>
        </w:rPr>
        <w:t>1)侵蚀剥蚀中山</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分布在西南部山区达木斯乡的坎迪里克一科依拉克一提根一带西部，海拔高度3000-4000m，区内山体基岩裸露、高陡,沟谷交错</w:t>
      </w:r>
      <w:r>
        <w:rPr>
          <w:rFonts w:hint="eastAsia" w:cs="宋体"/>
          <w:color w:val="0000FF"/>
          <w:sz w:val="24"/>
          <w:szCs w:val="24"/>
          <w:lang w:eastAsia="zh-CN"/>
        </w:rPr>
        <w:t>。</w:t>
      </w:r>
      <w:r>
        <w:rPr>
          <w:rFonts w:hint="eastAsia" w:ascii="宋体" w:hAnsi="宋体" w:eastAsia="宋体" w:cs="宋体"/>
          <w:color w:val="0000FF"/>
          <w:sz w:val="24"/>
          <w:szCs w:val="24"/>
        </w:rPr>
        <w:t>植被稀少，相对高差400- -500m，只有局部山谷有原始林带分布，有少数牧民活动。</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(2)剥蚀低山丘陵</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分布在恰热克镇一亚喀艾日克乡 一喀群乡以西和达木斯乡北部、东部一带，海拔高度1700- 3000m，相对高差150- -300m，山体大多平缓浑圆。受叶尔羌河、棋盘河及其支流冲刷切割，沟谷发育，切割深度约100 -200米，主河道两侧分布有1-5级阶地。山体裸露，植被稀少。部分狭长的河沟两岸有牧民居住，为山区牧民主要活动区。</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lang w:eastAsia="zh-CN"/>
        </w:rPr>
        <w:t>（</w:t>
      </w:r>
      <w:r>
        <w:rPr>
          <w:rFonts w:hint="eastAsia" w:ascii="宋体" w:hAnsi="宋体" w:eastAsia="宋体" w:cs="宋体"/>
          <w:color w:val="0000FF"/>
          <w:sz w:val="24"/>
          <w:szCs w:val="24"/>
        </w:rPr>
        <w:t>3)冲洪积砾质平原</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分布在县境西南部，沿低山丘陵区边缘的山前呈环带状展布，海拔高度.1300一1700m,地形平坦开阔，地面坡降5%一15%。地层以砂砾石为主，植被稀少，地下水位埋深大，呈现大片荒漠戈壁景观。区域内人口少，采砂石、修引水渠等工程建设活动较强烈。</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4)风积沙漠</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textAlignment w:val="auto"/>
        <w:rPr>
          <w:rFonts w:hint="eastAsia" w:ascii="宋体" w:hAnsi="宋体" w:eastAsia="宋体" w:cs="宋体"/>
          <w:color w:val="0000FF"/>
          <w:sz w:val="24"/>
          <w:szCs w:val="24"/>
          <w:lang w:eastAsia="zh-CN"/>
        </w:rPr>
      </w:pPr>
      <w:r>
        <w:rPr>
          <w:rFonts w:hint="eastAsia" w:ascii="宋体" w:hAnsi="宋体" w:eastAsia="宋体" w:cs="宋体"/>
          <w:color w:val="0000FF"/>
          <w:sz w:val="24"/>
          <w:szCs w:val="24"/>
        </w:rPr>
        <w:t>分布于调查区西北部、东部的绿洲边缘,海拔高度1100-1200m,由风力吹扬搬运而形成的最新堆积物，是布古里沙漠、塔克拉玛干沙漠的一部分。地表多为波状、垄状、新月形固定、半固定沙丘，其间分布有风蚀洼地，横向沙丘垂直风向排列，宽数十米，比高3 -20m左右。丘间多生长有骆驼刺、红柳、芦苇等植物</w:t>
      </w:r>
      <w:r>
        <w:rPr>
          <w:rFonts w:hint="eastAsia" w:ascii="宋体" w:hAnsi="宋体" w:eastAsia="宋体" w:cs="宋体"/>
          <w:color w:val="0000FF"/>
          <w:sz w:val="24"/>
          <w:szCs w:val="24"/>
          <w:lang w:eastAsia="zh-CN"/>
        </w:rPr>
        <w:t>。</w:t>
      </w:r>
    </w:p>
    <w:p>
      <w:pPr>
        <w:pStyle w:val="5"/>
        <w:numPr>
          <w:ilvl w:val="2"/>
          <w:numId w:val="40"/>
        </w:numPr>
        <w:tabs>
          <w:tab w:val="left" w:pos="1241"/>
        </w:tabs>
        <w:spacing w:before="115" w:after="0" w:line="240" w:lineRule="auto"/>
        <w:ind w:left="1240" w:right="0" w:hanging="701"/>
        <w:jc w:val="left"/>
        <w:outlineLvl w:val="2"/>
      </w:pPr>
      <w:bookmarkStart w:id="222" w:name="4.1.3 气候气象"/>
      <w:bookmarkEnd w:id="222"/>
      <w:bookmarkStart w:id="223" w:name="4.1.3 气候气象"/>
      <w:bookmarkEnd w:id="223"/>
      <w:bookmarkStart w:id="224" w:name="_Toc13267"/>
      <w:r>
        <w:t>气候气象</w:t>
      </w:r>
      <w:bookmarkEnd w:id="224"/>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莎车县属暖温带大陆性气候，四季分明，气候干燥，日照长，昼夜温差大，可满足农作物1年2-3熟的热量要求。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主要气象要素特征值如下：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年平均气温：     11.7℃</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极端最高气温：   41.5℃</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极端最低气温：   -24.1℃</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年平均降水量：   56.6mm</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年平均蒸发量：   2657mm</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年平均相对湿度： 52%</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年平均风速：     2m/s</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年主导风向：     西北</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夏季平均风速：   3m/s</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冬季平均风速：   1.2m/s</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年日照时数：     2965h</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年无霜期天数：   220d</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年浮尘天数：     195d</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最大冻土深度：   0.98m</w:t>
      </w:r>
    </w:p>
    <w:p>
      <w:pPr>
        <w:pStyle w:val="7"/>
        <w:spacing w:before="8"/>
        <w:ind w:left="0"/>
        <w:rPr>
          <w:sz w:val="9"/>
        </w:rPr>
      </w:pPr>
    </w:p>
    <w:p>
      <w:pPr>
        <w:pStyle w:val="5"/>
        <w:numPr>
          <w:ilvl w:val="2"/>
          <w:numId w:val="40"/>
        </w:numPr>
        <w:tabs>
          <w:tab w:val="left" w:pos="1241"/>
        </w:tabs>
        <w:spacing w:before="73" w:after="0" w:line="240" w:lineRule="auto"/>
        <w:ind w:left="1240" w:right="0" w:hanging="701"/>
        <w:jc w:val="left"/>
        <w:outlineLvl w:val="2"/>
      </w:pPr>
      <w:bookmarkStart w:id="225" w:name="4.1.4 水文地质"/>
      <w:bookmarkEnd w:id="225"/>
      <w:bookmarkStart w:id="226" w:name="4.1.4 水文地质"/>
      <w:bookmarkEnd w:id="226"/>
      <w:bookmarkStart w:id="227" w:name="_Toc10449"/>
      <w:r>
        <w:t>水文地质</w:t>
      </w:r>
      <w:bookmarkEnd w:id="227"/>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莎车县内主要分布有叶尔羌河和提孜那甫河，均属叶尔羌河水系。区内河流均发源于西昆仑山北翼，接受冰雪融水、大气降水和泉水的补给。气候对河水径流量影响极大，径流量在时空分布上极不平衡，洪枯流量悬殊。丰水期为5-9月，占全年径流总量的60-70%, 枯水期为12 月至翌年4月。</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(1)规模最大的河流为叶尔羌河。叶尔羌河发源于昆仑山北坡,卡群以上集水面积48100km</w:t>
      </w:r>
      <w:r>
        <w:rPr>
          <w:rFonts w:hint="eastAsia" w:cs="宋体"/>
          <w:color w:val="0000FF"/>
          <w:sz w:val="24"/>
          <w:szCs w:val="24"/>
          <w:vertAlign w:val="superscript"/>
          <w:lang w:val="en-US" w:eastAsia="zh-CN"/>
        </w:rPr>
        <w:t>2</w:t>
      </w:r>
      <w:r>
        <w:rPr>
          <w:rFonts w:hint="eastAsia" w:ascii="宋体" w:hAnsi="宋体" w:eastAsia="宋体" w:cs="宋体"/>
          <w:color w:val="0000FF"/>
          <w:sz w:val="24"/>
          <w:szCs w:val="24"/>
        </w:rPr>
        <w:t>, 全长1079km, 据卡群水文站资料，多年平均径流量64.57×10</w:t>
      </w:r>
      <w:r>
        <w:rPr>
          <w:rFonts w:hint="eastAsia" w:cs="宋体"/>
          <w:color w:val="0000FF"/>
          <w:sz w:val="24"/>
          <w:szCs w:val="24"/>
          <w:vertAlign w:val="superscript"/>
          <w:lang w:val="en-US" w:eastAsia="zh-CN"/>
        </w:rPr>
        <w:t>2</w:t>
      </w:r>
      <w:r>
        <w:rPr>
          <w:rFonts w:hint="eastAsia" w:ascii="宋体" w:hAnsi="宋体" w:eastAsia="宋体" w:cs="宋体"/>
          <w:color w:val="0000FF"/>
          <w:sz w:val="24"/>
          <w:szCs w:val="24"/>
        </w:rPr>
        <w:t>m/a,最大径流量95.6X10</w:t>
      </w:r>
      <w:r>
        <w:rPr>
          <w:rFonts w:hint="eastAsia" w:cs="宋体"/>
          <w:color w:val="0000FF"/>
          <w:sz w:val="24"/>
          <w:szCs w:val="24"/>
          <w:vertAlign w:val="superscript"/>
          <w:lang w:val="en-US" w:eastAsia="zh-CN"/>
        </w:rPr>
        <w:t>2</w:t>
      </w:r>
      <w:r>
        <w:rPr>
          <w:rFonts w:hint="eastAsia" w:ascii="宋体" w:hAnsi="宋体" w:eastAsia="宋体" w:cs="宋体"/>
          <w:color w:val="0000FF"/>
          <w:sz w:val="24"/>
          <w:szCs w:val="24"/>
        </w:rPr>
        <w:t>m/a,最小径流量44.67×10m</w:t>
      </w:r>
      <w:r>
        <w:rPr>
          <w:rFonts w:hint="eastAsia" w:ascii="宋体" w:hAnsi="宋体" w:eastAsia="宋体" w:cs="宋体"/>
          <w:color w:val="0000FF"/>
          <w:sz w:val="24"/>
          <w:szCs w:val="24"/>
          <w:vertAlign w:val="superscript"/>
        </w:rPr>
        <w:t>2</w:t>
      </w:r>
      <w:r>
        <w:rPr>
          <w:rFonts w:hint="eastAsia" w:ascii="宋体" w:hAnsi="宋体" w:eastAsia="宋体" w:cs="宋体"/>
          <w:color w:val="0000FF"/>
          <w:sz w:val="24"/>
          <w:szCs w:val="24"/>
        </w:rPr>
        <w:t>/a，最大洪峰流量627m/s，多年平均输沙量2740万吨。</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0000FF"/>
          <w:sz w:val="24"/>
          <w:szCs w:val="24"/>
        </w:rPr>
        <w:t>(2)其次为提孜那甫河。该河山区集水面积5370km</w:t>
      </w:r>
      <w:r>
        <w:rPr>
          <w:rFonts w:hint="eastAsia" w:cs="宋体"/>
          <w:color w:val="0000FF"/>
          <w:sz w:val="24"/>
          <w:szCs w:val="24"/>
          <w:vertAlign w:val="superscript"/>
          <w:lang w:val="en-US" w:eastAsia="zh-CN"/>
        </w:rPr>
        <w:t>2</w:t>
      </w:r>
      <w:r>
        <w:rPr>
          <w:rFonts w:hint="eastAsia" w:ascii="宋体" w:hAnsi="宋体" w:eastAsia="宋体" w:cs="宋体"/>
          <w:color w:val="0000FF"/>
          <w:sz w:val="24"/>
          <w:szCs w:val="24"/>
        </w:rPr>
        <w:t>，河流总长335km，出山口后伴随叶河平行流淌，据江卡水文站资料，多年平均径流量8.14×10</w:t>
      </w:r>
      <w:r>
        <w:rPr>
          <w:rFonts w:hint="eastAsia" w:cs="宋体"/>
          <w:color w:val="0000FF"/>
          <w:sz w:val="24"/>
          <w:szCs w:val="24"/>
          <w:vertAlign w:val="superscript"/>
          <w:lang w:val="en-US" w:eastAsia="zh-CN"/>
        </w:rPr>
        <w:t>2</w:t>
      </w:r>
      <w:r>
        <w:rPr>
          <w:rFonts w:hint="eastAsia" w:ascii="宋体" w:hAnsi="宋体" w:eastAsia="宋体" w:cs="宋体"/>
          <w:color w:val="0000FF"/>
          <w:sz w:val="24"/>
          <w:szCs w:val="24"/>
        </w:rPr>
        <w:t>m</w:t>
      </w:r>
      <w:r>
        <w:rPr>
          <w:rFonts w:hint="eastAsia" w:ascii="宋体" w:hAnsi="宋体" w:eastAsia="宋体" w:cs="宋体"/>
          <w:color w:val="0000FF"/>
          <w:sz w:val="24"/>
          <w:szCs w:val="24"/>
          <w:vertAlign w:val="superscript"/>
        </w:rPr>
        <w:t>2</w:t>
      </w:r>
      <w:r>
        <w:rPr>
          <w:rFonts w:hint="eastAsia" w:ascii="宋体" w:hAnsi="宋体" w:eastAsia="宋体" w:cs="宋体"/>
          <w:color w:val="0000FF"/>
          <w:sz w:val="24"/>
          <w:szCs w:val="24"/>
        </w:rPr>
        <w:t>/a,最大径流量11. 9×10m/a,最小径流量5.852×10m/a,最大洪峰流量为519m</w:t>
      </w:r>
      <w:r>
        <w:rPr>
          <w:rFonts w:hint="eastAsia" w:ascii="宋体" w:hAnsi="宋体" w:eastAsia="宋体" w:cs="宋体"/>
          <w:color w:val="0000FF"/>
          <w:sz w:val="24"/>
          <w:szCs w:val="24"/>
          <w:vertAlign w:val="superscript"/>
        </w:rPr>
        <w:t>2</w:t>
      </w:r>
      <w:r>
        <w:rPr>
          <w:rFonts w:hint="eastAsia" w:ascii="宋体" w:hAnsi="宋体" w:eastAsia="宋体" w:cs="宋体"/>
          <w:color w:val="0000FF"/>
          <w:sz w:val="24"/>
          <w:szCs w:val="24"/>
        </w:rPr>
        <w:t>/s, 最终为渠系引水而消失于麦盖提县境内图木舒克市大部分地段地下水属富水区,有一定的地下水开采量，无明显的丰枯水期地下水位的动态变化。地下水位年变幅属小变幅区(小于0.5m)，潜水位埋深受地形及水力坡度控制一般在2.0-5.0m。由于含水层岩性以粉细砂为主</w:t>
      </w:r>
      <w:r>
        <w:rPr>
          <w:rFonts w:hint="eastAsia" w:cs="宋体"/>
          <w:color w:val="0000FF"/>
          <w:sz w:val="24"/>
          <w:szCs w:val="24"/>
          <w:lang w:eastAsia="zh-CN"/>
        </w:rPr>
        <w:t>，</w:t>
      </w:r>
      <w:r>
        <w:rPr>
          <w:rFonts w:hint="eastAsia" w:ascii="宋体" w:hAnsi="宋体" w:eastAsia="宋体" w:cs="宋体"/>
          <w:color w:val="0000FF"/>
          <w:sz w:val="24"/>
          <w:szCs w:val="24"/>
        </w:rPr>
        <w:t>水力坡度较大为1.36%,单井涌水量2000-3000m/d,渗透系数8.29m/d,影响半径280.94m。</w:t>
      </w:r>
    </w:p>
    <w:p>
      <w:pPr>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jc w:val="both"/>
        <w:textAlignment w:val="auto"/>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rPr>
        <w:t>水质大部分地段较差，矿化度普遍为1.5- 2g/</w:t>
      </w:r>
      <w:r>
        <w:rPr>
          <w:rFonts w:hint="eastAsia" w:cs="宋体"/>
          <w:color w:val="0000FF"/>
          <w:sz w:val="24"/>
          <w:szCs w:val="24"/>
          <w:lang w:val="en-US" w:eastAsia="zh-CN"/>
        </w:rPr>
        <w:t>L</w:t>
      </w:r>
      <w:r>
        <w:rPr>
          <w:rFonts w:hint="eastAsia" w:ascii="宋体" w:hAnsi="宋体" w:eastAsia="宋体" w:cs="宋体"/>
          <w:color w:val="0000FF"/>
          <w:sz w:val="24"/>
          <w:szCs w:val="24"/>
        </w:rPr>
        <w:t>，不适宜作为生活饮用水。深层承压水埋深超过80m, 矿化度较高，不适宜作为生活饮用水。</w:t>
      </w:r>
    </w:p>
    <w:p/>
    <w:p>
      <w:pPr>
        <w:pStyle w:val="5"/>
        <w:numPr>
          <w:ilvl w:val="2"/>
          <w:numId w:val="40"/>
        </w:numPr>
        <w:tabs>
          <w:tab w:val="left" w:pos="1241"/>
        </w:tabs>
        <w:spacing w:before="118" w:after="0" w:line="240" w:lineRule="auto"/>
        <w:ind w:left="1240" w:right="0" w:hanging="701"/>
        <w:jc w:val="left"/>
        <w:outlineLvl w:val="2"/>
      </w:pPr>
      <w:bookmarkStart w:id="228" w:name="4.1.5 工程地质"/>
      <w:bookmarkEnd w:id="228"/>
      <w:bookmarkStart w:id="229" w:name="4.1.5 工程地质"/>
      <w:bookmarkEnd w:id="229"/>
      <w:bookmarkStart w:id="230" w:name="_Toc5176"/>
      <w:r>
        <w:t>工程地质</w:t>
      </w:r>
      <w:bookmarkEnd w:id="230"/>
    </w:p>
    <w:p>
      <w:pPr>
        <w:pStyle w:val="20"/>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jc w:val="both"/>
        <w:textAlignment w:val="auto"/>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本区位于塔里木盆地西南部，昆仑山北麓。在大地构造位置上属.于昆仑山东西向构造带的北翼，由走向北西西-南东东向的复式剧烈挤压褶皱带和逆掩断裂带组合。本区由南向北排列着一级构造单元:西昆仑山褶皱断裂带(米亚大断裂、科干深断裂及其次- -级断裂 卡拉塔克断裂、阿尔塔什断裂、通库兹阿塔阿格兹断裂)、铁克里克断隆、塔西南坳陷区。</w:t>
      </w:r>
    </w:p>
    <w:p>
      <w:pPr>
        <w:pStyle w:val="20"/>
        <w:keepNext w:val="0"/>
        <w:keepLines w:val="0"/>
        <w:pageBreakBefore w:val="0"/>
        <w:widowControl w:val="0"/>
        <w:kinsoku/>
        <w:wordWrap/>
        <w:overflowPunct/>
        <w:topLinePunct w:val="0"/>
        <w:autoSpaceDE/>
        <w:autoSpaceDN/>
        <w:bidi w:val="0"/>
        <w:adjustRightInd/>
        <w:snapToGrid/>
        <w:spacing w:line="360" w:lineRule="auto"/>
        <w:ind w:left="220" w:leftChars="100" w:firstLine="480" w:firstLineChars="200"/>
        <w:jc w:val="both"/>
        <w:textAlignment w:val="auto"/>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昆仑山褶皱带经受过多次强烈的造山运动，形成褶皱隆起及断裂。在断裂中伴随着剧烈的岩浆活动，使古老的沉积岩发生重结晶的深变质作用。强烈的地壳运动，特别是喜山运动的影响，使塔里木地台南缘上升，断裂活动有所复活，从而形成了山前褶皱带、西南坳陷区。由于这种结果，使上述单元内的次一级构造亦颇为发育。褶皱轴向与昆仑山褶皱基本-致。塔里木地台南缘-西南台坡，具有刚性的基底，历次造山旋回的影响微弱，一般呈缓慢的升降运动，因而形成断块条带状，岩层产状近似水平。下部基岩具褶皱和强烈变质，大部分被第四纪堆积物所覆盖。</w:t>
      </w:r>
    </w:p>
    <w:p>
      <w:pPr>
        <w:pStyle w:val="5"/>
        <w:keepNext w:val="0"/>
        <w:keepLines w:val="0"/>
        <w:pageBreakBefore w:val="0"/>
        <w:widowControl w:val="0"/>
        <w:numPr>
          <w:ilvl w:val="2"/>
          <w:numId w:val="40"/>
        </w:numPr>
        <w:tabs>
          <w:tab w:val="left" w:pos="1241"/>
        </w:tabs>
        <w:kinsoku/>
        <w:wordWrap/>
        <w:overflowPunct/>
        <w:topLinePunct w:val="0"/>
        <w:bidi w:val="0"/>
        <w:adjustRightInd/>
        <w:snapToGrid/>
        <w:spacing w:before="117" w:after="0" w:line="360" w:lineRule="auto"/>
        <w:ind w:left="921" w:leftChars="100" w:right="0" w:hanging="701"/>
        <w:jc w:val="left"/>
        <w:textAlignment w:val="auto"/>
        <w:outlineLvl w:val="2"/>
      </w:pPr>
      <w:bookmarkStart w:id="231" w:name="4.1.6 生态环境"/>
      <w:bookmarkEnd w:id="231"/>
      <w:bookmarkStart w:id="232" w:name="4.1.6 生态环境"/>
      <w:bookmarkEnd w:id="232"/>
      <w:bookmarkStart w:id="233" w:name="_Toc27409"/>
      <w:r>
        <w:t>生态环境</w:t>
      </w:r>
      <w:bookmarkEnd w:id="233"/>
    </w:p>
    <w:p>
      <w:pPr>
        <w:pStyle w:val="7"/>
        <w:keepNext w:val="0"/>
        <w:keepLines w:val="0"/>
        <w:pageBreakBefore w:val="0"/>
        <w:widowControl w:val="0"/>
        <w:kinsoku/>
        <w:wordWrap/>
        <w:overflowPunct/>
        <w:topLinePunct w:val="0"/>
        <w:autoSpaceDE w:val="0"/>
        <w:autoSpaceDN w:val="0"/>
        <w:bidi w:val="0"/>
        <w:adjustRightInd/>
        <w:snapToGrid/>
        <w:spacing w:before="5" w:line="360" w:lineRule="auto"/>
        <w:ind w:left="220" w:leftChars="100" w:right="220" w:rightChars="100" w:firstLine="480" w:firstLineChars="200"/>
        <w:jc w:val="both"/>
        <w:textAlignment w:val="auto"/>
      </w:pPr>
      <w:r>
        <w:rPr>
          <w:rFonts w:ascii="宋体" w:hAnsi="宋体" w:eastAsia="宋体" w:cs="宋体"/>
          <w:color w:val="0000FF"/>
          <w:sz w:val="24"/>
          <w:szCs w:val="24"/>
        </w:rPr>
        <w:t>莎车县属暖温带大陆性气候，有得天独厚的光热水土资源，能满足农作物一年两至三熟的热量要求。农副土特产丰富，种植着棉花、小麦、玉米、巴旦木、玫瑰花、甜瓜、石榴、葡萄、杏等农产品。还有药用价值较高的甘草、党参、麻黄等15种植物，有较高的开发价值。县境内野生动物品种较多，有雪鸡、狐狸、野畜禽、大头鱼、叶河鲟、黄羊、狼、云豹、野兔等。同时，在拍克其乡境内有近万亩的红柳。</w:t>
      </w:r>
    </w:p>
    <w:p>
      <w:pPr>
        <w:pStyle w:val="4"/>
        <w:numPr>
          <w:ilvl w:val="1"/>
          <w:numId w:val="40"/>
        </w:numPr>
        <w:tabs>
          <w:tab w:val="left" w:pos="1100"/>
        </w:tabs>
        <w:spacing w:before="1" w:after="0" w:line="240" w:lineRule="auto"/>
        <w:ind w:left="1099" w:right="0" w:hanging="560"/>
        <w:jc w:val="both"/>
        <w:outlineLvl w:val="1"/>
      </w:pPr>
      <w:bookmarkStart w:id="234" w:name="_bookmark23"/>
      <w:bookmarkEnd w:id="234"/>
      <w:bookmarkStart w:id="235" w:name="4.2 环境质量现状调查与评价"/>
      <w:bookmarkEnd w:id="235"/>
      <w:bookmarkStart w:id="236" w:name="_Toc29385"/>
      <w:r>
        <w:t>环境质量现状调查与评价</w:t>
      </w:r>
      <w:bookmarkEnd w:id="236"/>
    </w:p>
    <w:p>
      <w:pPr>
        <w:pStyle w:val="7"/>
        <w:spacing w:before="5"/>
        <w:ind w:left="0"/>
        <w:rPr>
          <w:b/>
          <w:sz w:val="28"/>
        </w:rPr>
      </w:pPr>
    </w:p>
    <w:p>
      <w:pPr>
        <w:pStyle w:val="5"/>
        <w:numPr>
          <w:ilvl w:val="2"/>
          <w:numId w:val="40"/>
        </w:numPr>
        <w:tabs>
          <w:tab w:val="left" w:pos="1241"/>
        </w:tabs>
        <w:spacing w:before="0" w:after="0" w:line="240" w:lineRule="auto"/>
        <w:ind w:left="1240" w:right="0" w:hanging="701"/>
        <w:jc w:val="left"/>
        <w:outlineLvl w:val="2"/>
      </w:pPr>
      <w:bookmarkStart w:id="237" w:name="4.2.1 环境空气质量现状监测与评价"/>
      <w:bookmarkEnd w:id="237"/>
      <w:bookmarkStart w:id="238" w:name="4.2.1 环境空气质量现状监测与评价"/>
      <w:bookmarkEnd w:id="238"/>
      <w:bookmarkStart w:id="239" w:name="_Toc28809"/>
      <w:r>
        <w:t>环境空气质量现状监测与评价</w:t>
      </w:r>
      <w:bookmarkEnd w:id="239"/>
    </w:p>
    <w:p>
      <w:pPr>
        <w:pStyle w:val="7"/>
        <w:spacing w:before="5"/>
        <w:ind w:left="0"/>
        <w:rPr>
          <w:b/>
          <w:sz w:val="21"/>
        </w:rPr>
      </w:pPr>
    </w:p>
    <w:p>
      <w:pPr>
        <w:pStyle w:val="7"/>
        <w:spacing w:line="364" w:lineRule="auto"/>
        <w:ind w:right="572" w:firstLine="480"/>
        <w:jc w:val="both"/>
      </w:pPr>
      <w:r>
        <w:rPr>
          <w:spacing w:val="-5"/>
        </w:rPr>
        <w:t>根据《环境影响评价技术导则</w:t>
      </w:r>
      <w:r>
        <w:rPr>
          <w:rFonts w:ascii="Times New Roman" w:hAnsi="Times New Roman" w:eastAsia="Times New Roman"/>
        </w:rPr>
        <w:t>·</w:t>
      </w:r>
      <w:r>
        <w:rPr>
          <w:spacing w:val="-11"/>
        </w:rPr>
        <w:t>大气环境》</w:t>
      </w:r>
      <w:r>
        <w:rPr>
          <w:spacing w:val="-3"/>
        </w:rPr>
        <w:t>（</w:t>
      </w:r>
      <w:r>
        <w:rPr>
          <w:rFonts w:ascii="Times New Roman" w:hAnsi="Times New Roman" w:eastAsia="Times New Roman"/>
          <w:spacing w:val="-3"/>
        </w:rPr>
        <w:t>HJ2.2-2018</w:t>
      </w:r>
      <w:r>
        <w:rPr>
          <w:spacing w:val="-3"/>
        </w:rPr>
        <w:t>）</w:t>
      </w:r>
      <w:r>
        <w:rPr>
          <w:spacing w:val="-2"/>
        </w:rPr>
        <w:t>中关于环境空气质</w:t>
      </w:r>
      <w:r>
        <w:rPr>
          <w:spacing w:val="-9"/>
        </w:rPr>
        <w:t>量现状调查与评价的要求，本次应调查项目所在区域环境质量达标情况以及评价</w:t>
      </w:r>
      <w:r>
        <w:t>范围内有环境质量标准的评价因子的环境质量监测数据。</w:t>
      </w:r>
    </w:p>
    <w:p>
      <w:pPr>
        <w:pStyle w:val="18"/>
        <w:numPr>
          <w:ilvl w:val="3"/>
          <w:numId w:val="41"/>
        </w:numPr>
        <w:tabs>
          <w:tab w:val="left" w:pos="1320"/>
        </w:tabs>
        <w:spacing w:before="12" w:after="0" w:line="240" w:lineRule="auto"/>
        <w:ind w:left="1320" w:right="0" w:hanging="780"/>
        <w:jc w:val="both"/>
        <w:rPr>
          <w:sz w:val="24"/>
        </w:rPr>
      </w:pPr>
      <w:bookmarkStart w:id="240" w:name="4.2.1.1 区域空气质量达标判定"/>
      <w:bookmarkEnd w:id="240"/>
      <w:bookmarkStart w:id="241" w:name="4.2.1.1 区域空气质量达标判定"/>
      <w:bookmarkEnd w:id="241"/>
      <w:r>
        <w:rPr>
          <w:sz w:val="24"/>
        </w:rPr>
        <w:t>区域空气质量达标判定</w:t>
      </w:r>
    </w:p>
    <w:p>
      <w:pPr>
        <w:pStyle w:val="7"/>
        <w:spacing w:before="167" w:line="364" w:lineRule="auto"/>
        <w:ind w:right="577" w:firstLine="480"/>
        <w:jc w:val="both"/>
      </w:pPr>
      <w:r>
        <w:rPr>
          <w:spacing w:val="-1"/>
        </w:rPr>
        <w:t>《环境影响评价技术导则大气环境》</w:t>
      </w:r>
      <w:r>
        <w:t>（</w:t>
      </w:r>
      <w:r>
        <w:rPr>
          <w:rFonts w:ascii="Times New Roman" w:hAnsi="Times New Roman" w:eastAsia="Times New Roman"/>
        </w:rPr>
        <w:t>HJ2.2-2018</w:t>
      </w:r>
      <w:r>
        <w:t>）</w:t>
      </w:r>
      <w:r>
        <w:rPr>
          <w:spacing w:val="-5"/>
        </w:rPr>
        <w:t>规定：“城市环境空气</w:t>
      </w:r>
      <w:r>
        <w:rPr>
          <w:spacing w:val="-5"/>
          <w:position w:val="2"/>
        </w:rPr>
        <w:t>质量达标情况评价指标为</w:t>
      </w:r>
      <w:r>
        <w:rPr>
          <w:rFonts w:ascii="Times New Roman" w:hAnsi="Times New Roman" w:eastAsia="Times New Roman"/>
          <w:position w:val="2"/>
        </w:rPr>
        <w:t>SO</w:t>
      </w:r>
      <w:r>
        <w:rPr>
          <w:rFonts w:ascii="Times New Roman" w:hAnsi="Times New Roman" w:eastAsia="Times New Roman"/>
          <w:position w:val="2"/>
          <w:vertAlign w:val="subscript"/>
        </w:rPr>
        <w:t>2</w:t>
      </w:r>
      <w:r>
        <w:rPr>
          <w:spacing w:val="-15"/>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spacing w:val="-15"/>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spacing w:val="-15"/>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2.5</w:t>
      </w:r>
      <w:r>
        <w:rPr>
          <w:spacing w:val="-15"/>
          <w:position w:val="2"/>
          <w:vertAlign w:val="baseline"/>
        </w:rPr>
        <w:t>、</w:t>
      </w:r>
      <w:r>
        <w:rPr>
          <w:rFonts w:ascii="Times New Roman" w:hAnsi="Times New Roman" w:eastAsia="Times New Roman"/>
          <w:position w:val="2"/>
          <w:vertAlign w:val="baseline"/>
        </w:rPr>
        <w:t>CO</w:t>
      </w:r>
      <w:r>
        <w:rPr>
          <w:spacing w:val="-28"/>
          <w:position w:val="2"/>
          <w:vertAlign w:val="baseline"/>
        </w:rPr>
        <w:t>和</w:t>
      </w:r>
      <w:r>
        <w:rPr>
          <w:rFonts w:ascii="Times New Roman" w:hAnsi="Times New Roman" w:eastAsia="Times New Roman"/>
          <w:spacing w:val="-5"/>
          <w:position w:val="2"/>
          <w:vertAlign w:val="baseline"/>
        </w:rPr>
        <w:t>O</w:t>
      </w:r>
      <w:r>
        <w:rPr>
          <w:rFonts w:ascii="Times New Roman" w:hAnsi="Times New Roman" w:eastAsia="Times New Roman"/>
          <w:spacing w:val="-5"/>
          <w:position w:val="2"/>
          <w:vertAlign w:val="subscript"/>
        </w:rPr>
        <w:t>3</w:t>
      </w:r>
      <w:r>
        <w:rPr>
          <w:spacing w:val="-6"/>
          <w:position w:val="2"/>
          <w:vertAlign w:val="baseline"/>
        </w:rPr>
        <w:t>，六项污染物全部</w:t>
      </w:r>
      <w:r>
        <w:rPr>
          <w:spacing w:val="-8"/>
          <w:vertAlign w:val="baseline"/>
        </w:rPr>
        <w:t>达标即为城市环境空气质量达标”，本环评选取</w:t>
      </w:r>
      <w:r>
        <w:rPr>
          <w:rFonts w:hint="default" w:ascii="Times New Roman" w:hAnsi="Times New Roman" w:cs="Times New Roman"/>
          <w:color w:val="0000FF"/>
          <w:sz w:val="24"/>
          <w:highlight w:val="none"/>
          <w:lang w:eastAsia="zh-CN"/>
        </w:rPr>
        <w:t>喀什</w:t>
      </w:r>
      <w:r>
        <w:rPr>
          <w:rFonts w:hint="default" w:ascii="Times New Roman" w:hAnsi="Times New Roman" w:cs="Times New Roman"/>
          <w:color w:val="0000FF"/>
          <w:sz w:val="24"/>
          <w:highlight w:val="none"/>
        </w:rPr>
        <w:t>地区空气质量指数月统计历史数据</w:t>
      </w:r>
      <w:r>
        <w:rPr>
          <w:vertAlign w:val="baseline"/>
        </w:rPr>
        <w:t>进行项目区环境空气质量达标分析。</w:t>
      </w:r>
    </w:p>
    <w:p>
      <w:pPr>
        <w:tabs>
          <w:tab w:val="left" w:pos="4132"/>
        </w:tabs>
        <w:spacing w:before="0" w:line="424" w:lineRule="auto"/>
        <w:ind w:left="2613" w:right="2324" w:hanging="1594"/>
        <w:jc w:val="both"/>
        <w:rPr>
          <w:b/>
          <w:sz w:val="24"/>
        </w:rPr>
      </w:pPr>
      <w:r>
        <w:rPr>
          <w:sz w:val="24"/>
        </w:rPr>
        <w:t>环境空气质量模型技术支持服子系统筛选结果见表</w:t>
      </w:r>
      <w:r>
        <w:rPr>
          <w:rFonts w:ascii="Times New Roman" w:eastAsia="Times New Roman"/>
          <w:sz w:val="24"/>
        </w:rPr>
        <w:t>4.2-1</w:t>
      </w:r>
      <w:r>
        <w:rPr>
          <w:spacing w:val="-16"/>
          <w:sz w:val="24"/>
        </w:rPr>
        <w:t>。</w:t>
      </w:r>
      <w:r>
        <w:rPr>
          <w:b/>
          <w:sz w:val="24"/>
        </w:rPr>
        <w:t>表</w:t>
      </w:r>
      <w:r>
        <w:rPr>
          <w:rFonts w:ascii="Times New Roman" w:eastAsia="Times New Roman"/>
          <w:b/>
          <w:sz w:val="24"/>
        </w:rPr>
        <w:t>4.2-1</w:t>
      </w:r>
      <w:r>
        <w:rPr>
          <w:rFonts w:ascii="Times New Roman" w:eastAsia="Times New Roman"/>
          <w:b/>
          <w:sz w:val="24"/>
        </w:rPr>
        <w:tab/>
      </w:r>
      <w:r>
        <w:rPr>
          <w:b/>
          <w:sz w:val="24"/>
        </w:rPr>
        <w:t>基本污染物环境质量现状</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614"/>
        <w:gridCol w:w="960"/>
        <w:gridCol w:w="1104"/>
        <w:gridCol w:w="737"/>
        <w:gridCol w:w="681"/>
        <w:gridCol w:w="655"/>
        <w:gridCol w:w="840"/>
        <w:gridCol w:w="719"/>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月份</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AQI</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范围</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质量等级</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PM</w:t>
            </w:r>
            <w:r>
              <w:rPr>
                <w:rFonts w:hint="default" w:ascii="Times New Roman" w:hAnsi="Times New Roman" w:cs="Times New Roman"/>
                <w:color w:val="0000FF"/>
                <w:sz w:val="21"/>
                <w:szCs w:val="21"/>
                <w:highlight w:val="none"/>
                <w:vertAlign w:val="subscript"/>
              </w:rPr>
              <w:t>2.5</w:t>
            </w:r>
          </w:p>
        </w:tc>
        <w:tc>
          <w:tcPr>
            <w:tcW w:w="68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PM</w:t>
            </w:r>
            <w:r>
              <w:rPr>
                <w:rFonts w:hint="default" w:ascii="Times New Roman" w:hAnsi="Times New Roman" w:cs="Times New Roman"/>
                <w:color w:val="0000FF"/>
                <w:sz w:val="21"/>
                <w:szCs w:val="21"/>
                <w:highlight w:val="none"/>
                <w:vertAlign w:val="subscript"/>
              </w:rPr>
              <w:t>10</w:t>
            </w:r>
          </w:p>
        </w:tc>
        <w:tc>
          <w:tcPr>
            <w:tcW w:w="65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SO</w:t>
            </w:r>
            <w:r>
              <w:rPr>
                <w:rFonts w:hint="default" w:ascii="Times New Roman" w:hAnsi="Times New Roman" w:cs="Times New Roman"/>
                <w:color w:val="0000FF"/>
                <w:sz w:val="21"/>
                <w:szCs w:val="21"/>
                <w:highlight w:val="none"/>
                <w:vertAlign w:val="subscript"/>
              </w:rPr>
              <w:t>2</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cs="Times New Roman"/>
                <w:b/>
                <w:color w:val="0000FF"/>
                <w:sz w:val="21"/>
                <w:szCs w:val="21"/>
                <w:highlight w:val="none"/>
              </w:rPr>
            </w:pPr>
            <w:r>
              <w:rPr>
                <w:rFonts w:hint="default" w:ascii="Times New Roman" w:hAnsi="Times New Roman" w:cs="Times New Roman"/>
                <w:color w:val="0000FF"/>
                <w:sz w:val="21"/>
                <w:szCs w:val="21"/>
                <w:highlight w:val="none"/>
              </w:rPr>
              <w:t>CO</w:t>
            </w:r>
          </w:p>
        </w:tc>
        <w:tc>
          <w:tcPr>
            <w:tcW w:w="71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NO</w:t>
            </w:r>
            <w:r>
              <w:rPr>
                <w:rFonts w:hint="default" w:ascii="Times New Roman" w:hAnsi="Times New Roman" w:cs="Times New Roman"/>
                <w:color w:val="0000FF"/>
                <w:sz w:val="21"/>
                <w:szCs w:val="21"/>
                <w:highlight w:val="none"/>
                <w:vertAlign w:val="subscript"/>
              </w:rPr>
              <w:t>2</w:t>
            </w:r>
          </w:p>
        </w:tc>
        <w:tc>
          <w:tcPr>
            <w:tcW w:w="65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O</w:t>
            </w:r>
            <w:r>
              <w:rPr>
                <w:rFonts w:hint="default" w:ascii="Times New Roman" w:hAnsi="Times New Roman" w:cs="Times New Roman"/>
                <w:color w:val="0000FF"/>
                <w:sz w:val="21"/>
                <w:szCs w:val="21"/>
                <w:highlight w:val="non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2018年1月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205</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0~430</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重度污染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122</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314</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11</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2571</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40</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2018年2月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124</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0~246</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val="en-US"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78</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203</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10</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2029</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27</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2018年3月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43</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0~155</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eastAsia="zh-CN"/>
              </w:rPr>
              <w:t>优</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20</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67</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8</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1232</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23</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2018年4月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32</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0~149</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优</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13</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43</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8</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710</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23</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2018年5月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51</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0~218</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良</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13</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45</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7</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558</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19</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2018年6月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156</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80~500</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中度污染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18</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65</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8</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533</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22</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2018年7月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135</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85~500</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18</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54</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10</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555</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24</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2018年8月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102</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61~154</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33</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106</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10</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587</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24</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2018年9月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111</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59~334</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lang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44</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125</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593</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28</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2018年10月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122</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97~194</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lang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68</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194</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8</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916</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46</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2018年11月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126</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54~315</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lang w:eastAsia="zh-CN"/>
              </w:rPr>
              <w:t>轻度污染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78</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193</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8</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1633</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42</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2018年12月</w:t>
            </w:r>
          </w:p>
        </w:tc>
        <w:tc>
          <w:tcPr>
            <w:tcW w:w="6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233</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120~500</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lang w:eastAsia="zh-CN"/>
              </w:rPr>
              <w:t>重度污染</w:t>
            </w:r>
          </w:p>
        </w:tc>
        <w:tc>
          <w:tcPr>
            <w:tcW w:w="7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114</w:t>
            </w:r>
          </w:p>
        </w:tc>
        <w:tc>
          <w:tcPr>
            <w:tcW w:w="6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340</w:t>
            </w:r>
          </w:p>
        </w:tc>
        <w:tc>
          <w:tcPr>
            <w:tcW w:w="6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11</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2194</w:t>
            </w:r>
          </w:p>
        </w:tc>
        <w:tc>
          <w:tcPr>
            <w:tcW w:w="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46</w:t>
            </w:r>
          </w:p>
        </w:tc>
        <w:tc>
          <w:tcPr>
            <w:tcW w:w="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highlight w:val="none"/>
                <w:lang w:val="en-US" w:eastAsia="zh-CN" w:bidi="ar"/>
              </w:rPr>
            </w:pPr>
            <w:r>
              <w:rPr>
                <w:rFonts w:hint="default" w:ascii="Times New Roman" w:hAnsi="Times New Roman" w:eastAsia="宋体" w:cs="Times New Roman"/>
                <w:color w:val="0000FF"/>
                <w:sz w:val="21"/>
                <w:szCs w:val="21"/>
                <w:highlight w:val="none"/>
                <w:lang w:val="en-US" w:eastAsia="zh-CN" w:bidi="ar"/>
              </w:rPr>
              <w:t>67</w:t>
            </w:r>
          </w:p>
        </w:tc>
      </w:tr>
    </w:tbl>
    <w:p>
      <w:pPr>
        <w:pStyle w:val="7"/>
        <w:ind w:left="0"/>
        <w:rPr>
          <w:b/>
          <w:sz w:val="26"/>
        </w:rPr>
      </w:pPr>
    </w:p>
    <w:p>
      <w:pPr>
        <w:spacing w:line="360" w:lineRule="auto"/>
        <w:ind w:firstLine="480" w:firstLineChars="200"/>
        <w:rPr>
          <w:rFonts w:hint="default" w:ascii="Times New Roman" w:hAnsi="Times New Roman" w:cs="Times New Roman"/>
          <w:b/>
          <w:bCs/>
          <w:color w:val="0000FF"/>
          <w:sz w:val="24"/>
          <w:highlight w:val="none"/>
        </w:rPr>
      </w:pPr>
      <w:r>
        <w:rPr>
          <w:rFonts w:hint="default" w:ascii="Times New Roman" w:hAnsi="Times New Roman" w:cs="Times New Roman"/>
          <w:color w:val="0000FF"/>
          <w:sz w:val="24"/>
          <w:highlight w:val="none"/>
        </w:rPr>
        <w:t>本项目评价标准执行《环境空气质量标准》（GB3095-2012）中二级标准，具体见表</w:t>
      </w:r>
      <w:r>
        <w:rPr>
          <w:rFonts w:hint="eastAsia" w:ascii="Times New Roman" w:hAnsi="Times New Roman" w:cs="Times New Roman"/>
          <w:color w:val="0000FF"/>
          <w:sz w:val="24"/>
          <w:highlight w:val="none"/>
          <w:lang w:val="en-US" w:eastAsia="zh-CN"/>
        </w:rPr>
        <w:t>4.2.1.2</w:t>
      </w:r>
      <w:r>
        <w:rPr>
          <w:rFonts w:hint="default" w:ascii="Times New Roman" w:hAnsi="Times New Roman" w:cs="Times New Roman"/>
          <w:b/>
          <w:bCs/>
          <w:color w:val="0000FF"/>
          <w:sz w:val="24"/>
          <w:highlight w:val="none"/>
        </w:rPr>
        <w:t>。</w:t>
      </w:r>
    </w:p>
    <w:p>
      <w:pPr>
        <w:pStyle w:val="21"/>
        <w:adjustRightInd w:val="0"/>
        <w:snapToGrid w:val="0"/>
        <w:rPr>
          <w:rFonts w:hint="default" w:ascii="Times New Roman" w:hAnsi="Times New Roman" w:cs="Times New Roman"/>
          <w:b/>
          <w:color w:val="0000FF"/>
          <w:sz w:val="21"/>
          <w:szCs w:val="21"/>
          <w:highlight w:val="none"/>
          <w:lang w:val="en-US" w:eastAsia="zh-CN"/>
        </w:rPr>
      </w:pPr>
      <w:r>
        <w:rPr>
          <w:rFonts w:hint="default" w:ascii="Times New Roman" w:hAnsi="Times New Roman" w:cs="Times New Roman"/>
          <w:b/>
          <w:color w:val="0000FF"/>
          <w:sz w:val="21"/>
          <w:szCs w:val="21"/>
          <w:highlight w:val="none"/>
          <w:lang w:val="en-US" w:eastAsia="zh-CN"/>
        </w:rPr>
        <w:t>表</w:t>
      </w:r>
      <w:r>
        <w:rPr>
          <w:rFonts w:hint="eastAsia" w:ascii="Times New Roman" w:hAnsi="Times New Roman" w:cs="Times New Roman"/>
          <w:b/>
          <w:color w:val="0000FF"/>
          <w:sz w:val="21"/>
          <w:szCs w:val="21"/>
          <w:highlight w:val="none"/>
          <w:lang w:val="en-US" w:eastAsia="zh-CN"/>
        </w:rPr>
        <w:t>4.2.1.2</w:t>
      </w:r>
      <w:r>
        <w:rPr>
          <w:rFonts w:hint="default" w:ascii="Times New Roman" w:hAnsi="Times New Roman" w:cs="Times New Roman"/>
          <w:b/>
          <w:color w:val="0000FF"/>
          <w:sz w:val="21"/>
          <w:szCs w:val="21"/>
          <w:highlight w:val="none"/>
          <w:lang w:val="en-US" w:eastAsia="zh-CN"/>
        </w:rPr>
        <w:t xml:space="preserve">  评价标准  μg/m</w:t>
      </w:r>
      <w:r>
        <w:rPr>
          <w:rFonts w:hint="default" w:ascii="Times New Roman" w:hAnsi="Times New Roman" w:cs="Times New Roman"/>
          <w:b/>
          <w:color w:val="0000FF"/>
          <w:sz w:val="21"/>
          <w:szCs w:val="21"/>
          <w:highlight w:val="none"/>
          <w:vertAlign w:val="superscript"/>
          <w:lang w:val="en-US" w:eastAsia="zh-CN"/>
        </w:rPr>
        <w:t>3</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033"/>
        <w:gridCol w:w="1033"/>
        <w:gridCol w:w="1033"/>
        <w:gridCol w:w="1033"/>
        <w:gridCol w:w="1033"/>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评价因子</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PM</w:t>
            </w:r>
            <w:r>
              <w:rPr>
                <w:rFonts w:hint="default" w:ascii="Times New Roman" w:hAnsi="Times New Roman" w:cs="Times New Roman"/>
                <w:b/>
                <w:bCs/>
                <w:color w:val="0000FF"/>
                <w:sz w:val="21"/>
                <w:szCs w:val="21"/>
                <w:highlight w:val="none"/>
                <w:vertAlign w:val="subscript"/>
              </w:rPr>
              <w:t>2.5</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PM</w:t>
            </w:r>
            <w:r>
              <w:rPr>
                <w:rFonts w:hint="default" w:ascii="Times New Roman" w:hAnsi="Times New Roman" w:cs="Times New Roman"/>
                <w:b/>
                <w:bCs/>
                <w:color w:val="0000FF"/>
                <w:sz w:val="21"/>
                <w:szCs w:val="21"/>
                <w:highlight w:val="none"/>
                <w:vertAlign w:val="subscript"/>
              </w:rPr>
              <w:t>10</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SO</w:t>
            </w:r>
            <w:r>
              <w:rPr>
                <w:rFonts w:hint="default" w:ascii="Times New Roman" w:hAnsi="Times New Roman" w:cs="Times New Roman"/>
                <w:b/>
                <w:bCs/>
                <w:color w:val="0000FF"/>
                <w:sz w:val="21"/>
                <w:szCs w:val="21"/>
                <w:highlight w:val="none"/>
                <w:vertAlign w:val="subscript"/>
              </w:rPr>
              <w:t>2</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CO</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NO</w:t>
            </w:r>
            <w:r>
              <w:rPr>
                <w:rFonts w:hint="default" w:ascii="Times New Roman" w:hAnsi="Times New Roman" w:cs="Times New Roman"/>
                <w:b/>
                <w:bCs/>
                <w:color w:val="0000FF"/>
                <w:sz w:val="21"/>
                <w:szCs w:val="21"/>
                <w:highlight w:val="none"/>
                <w:vertAlign w:val="subscript"/>
              </w:rPr>
              <w:t>2</w:t>
            </w:r>
          </w:p>
        </w:tc>
        <w:tc>
          <w:tcPr>
            <w:tcW w:w="1776"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O</w:t>
            </w:r>
            <w:r>
              <w:rPr>
                <w:rFonts w:hint="default" w:ascii="Times New Roman" w:hAnsi="Times New Roman" w:cs="Times New Roman"/>
                <w:b/>
                <w:bCs/>
                <w:color w:val="0000FF"/>
                <w:sz w:val="21"/>
                <w:szCs w:val="21"/>
                <w:highlight w:val="none"/>
                <w:vertAlign w:val="subscript"/>
              </w:rPr>
              <w:t>3</w:t>
            </w:r>
            <w:r>
              <w:rPr>
                <w:rFonts w:hint="default" w:ascii="Times New Roman" w:hAnsi="Times New Roman" w:cs="Times New Roman"/>
                <w:b/>
                <w:bCs/>
                <w:color w:val="0000FF"/>
                <w:sz w:val="21"/>
                <w:szCs w:val="21"/>
                <w:highlight w:val="none"/>
              </w:rPr>
              <w:t>（8小时均值）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tcBorders>
              <w:tl2br w:val="nil"/>
              <w:tr2bl w:val="nil"/>
            </w:tcBorders>
            <w:noWrap w:val="0"/>
            <w:vAlign w:val="center"/>
          </w:tcPr>
          <w:p>
            <w:pPr>
              <w:spacing w:line="400" w:lineRule="exact"/>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标准值</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35</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70</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60</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4000</w:t>
            </w:r>
          </w:p>
        </w:tc>
        <w:tc>
          <w:tcPr>
            <w:tcW w:w="1033"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40</w:t>
            </w:r>
          </w:p>
        </w:tc>
        <w:tc>
          <w:tcPr>
            <w:tcW w:w="1776"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160</w:t>
            </w:r>
          </w:p>
        </w:tc>
      </w:tr>
    </w:tbl>
    <w:p>
      <w:pPr>
        <w:spacing w:line="360" w:lineRule="auto"/>
        <w:ind w:firstLine="480" w:firstLineChars="2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根据历史数据，PM</w:t>
      </w:r>
      <w:r>
        <w:rPr>
          <w:rFonts w:hint="default" w:ascii="Times New Roman" w:hAnsi="Times New Roman" w:cs="Times New Roman"/>
          <w:color w:val="0000FF"/>
          <w:sz w:val="24"/>
          <w:highlight w:val="none"/>
          <w:vertAlign w:val="subscript"/>
        </w:rPr>
        <w:t>2.5</w:t>
      </w:r>
      <w:r>
        <w:rPr>
          <w:rFonts w:hint="default" w:ascii="Times New Roman" w:hAnsi="Times New Roman" w:cs="Times New Roman"/>
          <w:color w:val="0000FF"/>
          <w:sz w:val="24"/>
          <w:highlight w:val="none"/>
        </w:rPr>
        <w:t>、PM</w:t>
      </w:r>
      <w:r>
        <w:rPr>
          <w:rFonts w:hint="default" w:ascii="Times New Roman" w:hAnsi="Times New Roman" w:cs="Times New Roman"/>
          <w:color w:val="0000FF"/>
          <w:sz w:val="24"/>
          <w:highlight w:val="none"/>
          <w:vertAlign w:val="subscript"/>
        </w:rPr>
        <w:t>10</w:t>
      </w:r>
      <w:r>
        <w:rPr>
          <w:rFonts w:hint="default" w:ascii="Times New Roman" w:hAnsi="Times New Roman" w:cs="Times New Roman"/>
          <w:color w:val="0000FF"/>
          <w:sz w:val="24"/>
          <w:highlight w:val="none"/>
        </w:rPr>
        <w:t>、NO</w:t>
      </w:r>
      <w:r>
        <w:rPr>
          <w:rFonts w:hint="default" w:ascii="Times New Roman" w:hAnsi="Times New Roman" w:cs="Times New Roman"/>
          <w:color w:val="0000FF"/>
          <w:sz w:val="24"/>
          <w:highlight w:val="none"/>
          <w:vertAlign w:val="subscript"/>
        </w:rPr>
        <w:t>2</w:t>
      </w:r>
      <w:r>
        <w:rPr>
          <w:rFonts w:hint="default" w:ascii="Times New Roman" w:hAnsi="Times New Roman" w:cs="Times New Roman"/>
          <w:color w:val="0000FF"/>
          <w:sz w:val="24"/>
          <w:highlight w:val="none"/>
        </w:rPr>
        <w:t>存在超标，SO</w:t>
      </w:r>
      <w:r>
        <w:rPr>
          <w:rFonts w:hint="default" w:ascii="Times New Roman" w:hAnsi="Times New Roman" w:cs="Times New Roman"/>
          <w:color w:val="0000FF"/>
          <w:sz w:val="24"/>
          <w:highlight w:val="none"/>
          <w:vertAlign w:val="subscript"/>
        </w:rPr>
        <w:t>2</w:t>
      </w:r>
      <w:r>
        <w:rPr>
          <w:rFonts w:hint="default" w:ascii="Times New Roman" w:hAnsi="Times New Roman" w:cs="Times New Roman"/>
          <w:color w:val="0000FF"/>
          <w:sz w:val="24"/>
          <w:highlight w:val="none"/>
        </w:rPr>
        <w:t>、CO、O</w:t>
      </w:r>
      <w:r>
        <w:rPr>
          <w:rFonts w:hint="default" w:ascii="Times New Roman" w:hAnsi="Times New Roman" w:cs="Times New Roman"/>
          <w:color w:val="0000FF"/>
          <w:sz w:val="24"/>
          <w:highlight w:val="none"/>
          <w:vertAlign w:val="subscript"/>
        </w:rPr>
        <w:t>3</w:t>
      </w:r>
      <w:r>
        <w:rPr>
          <w:rFonts w:hint="default" w:ascii="Times New Roman" w:hAnsi="Times New Roman" w:cs="Times New Roman"/>
          <w:color w:val="0000FF"/>
          <w:sz w:val="24"/>
          <w:highlight w:val="none"/>
        </w:rPr>
        <w:t>未超标。</w:t>
      </w:r>
    </w:p>
    <w:p>
      <w:pPr>
        <w:spacing w:line="360" w:lineRule="auto"/>
        <w:ind w:firstLine="480" w:firstLineChars="2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PM</w:t>
      </w:r>
      <w:r>
        <w:rPr>
          <w:rFonts w:hint="default" w:ascii="Times New Roman" w:hAnsi="Times New Roman" w:cs="Times New Roman"/>
          <w:color w:val="0000FF"/>
          <w:sz w:val="24"/>
          <w:highlight w:val="none"/>
          <w:vertAlign w:val="subscript"/>
        </w:rPr>
        <w:t>2.5</w:t>
      </w:r>
      <w:r>
        <w:rPr>
          <w:rFonts w:hint="default" w:ascii="Times New Roman" w:hAnsi="Times New Roman" w:cs="Times New Roman"/>
          <w:color w:val="0000FF"/>
          <w:sz w:val="24"/>
          <w:highlight w:val="none"/>
        </w:rPr>
        <w:t>浓度范围</w:t>
      </w:r>
      <w:r>
        <w:rPr>
          <w:rFonts w:hint="default" w:ascii="Times New Roman" w:hAnsi="Times New Roman" w:cs="Times New Roman"/>
          <w:color w:val="0000FF"/>
          <w:sz w:val="24"/>
          <w:highlight w:val="none"/>
          <w:lang w:val="en-US" w:eastAsia="zh-CN"/>
        </w:rPr>
        <w:t>13~122</w:t>
      </w:r>
      <w:r>
        <w:rPr>
          <w:rFonts w:hint="default" w:ascii="Times New Roman" w:hAnsi="Times New Roman" w:cs="Times New Roman"/>
          <w:color w:val="0000FF"/>
          <w:sz w:val="24"/>
          <w:highlight w:val="none"/>
        </w:rPr>
        <w:t>μg/m</w:t>
      </w:r>
      <w:r>
        <w:rPr>
          <w:rFonts w:hint="default" w:ascii="Times New Roman" w:hAnsi="Times New Roman" w:cs="Times New Roman"/>
          <w:color w:val="0000FF"/>
          <w:sz w:val="24"/>
          <w:highlight w:val="none"/>
          <w:vertAlign w:val="superscript"/>
        </w:rPr>
        <w:t>3</w:t>
      </w:r>
      <w:r>
        <w:rPr>
          <w:rFonts w:hint="default" w:ascii="Times New Roman" w:hAnsi="Times New Roman" w:cs="Times New Roman"/>
          <w:color w:val="0000FF"/>
          <w:sz w:val="24"/>
          <w:highlight w:val="none"/>
        </w:rPr>
        <w:t>，在1月~2月、</w:t>
      </w:r>
      <w:r>
        <w:rPr>
          <w:rFonts w:hint="default" w:ascii="Times New Roman" w:hAnsi="Times New Roman" w:cs="Times New Roman"/>
          <w:color w:val="0000FF"/>
          <w:sz w:val="24"/>
          <w:highlight w:val="none"/>
          <w:lang w:val="en-US" w:eastAsia="zh-CN"/>
        </w:rPr>
        <w:t>9</w:t>
      </w:r>
      <w:r>
        <w:rPr>
          <w:rFonts w:hint="default" w:ascii="Times New Roman" w:hAnsi="Times New Roman" w:cs="Times New Roman"/>
          <w:color w:val="0000FF"/>
          <w:sz w:val="24"/>
          <w:highlight w:val="none"/>
        </w:rPr>
        <w:t>月~12月超标，超标率</w:t>
      </w:r>
      <w:r>
        <w:rPr>
          <w:rFonts w:hint="default" w:ascii="Times New Roman" w:hAnsi="Times New Roman" w:cs="Times New Roman"/>
          <w:color w:val="0000FF"/>
          <w:sz w:val="24"/>
          <w:highlight w:val="none"/>
          <w:lang w:val="en-US" w:eastAsia="zh-CN"/>
        </w:rPr>
        <w:t>50</w:t>
      </w:r>
      <w:r>
        <w:rPr>
          <w:rFonts w:hint="default" w:ascii="Times New Roman" w:hAnsi="Times New Roman" w:cs="Times New Roman"/>
          <w:color w:val="0000FF"/>
          <w:sz w:val="24"/>
          <w:highlight w:val="none"/>
        </w:rPr>
        <w:t>%，最大浓度超标倍数为</w:t>
      </w:r>
      <w:r>
        <w:rPr>
          <w:rFonts w:hint="default" w:ascii="Times New Roman" w:hAnsi="Times New Roman" w:cs="Times New Roman"/>
          <w:color w:val="0000FF"/>
          <w:sz w:val="24"/>
          <w:highlight w:val="none"/>
          <w:lang w:val="en-US" w:eastAsia="zh-CN"/>
        </w:rPr>
        <w:t>2.49</w:t>
      </w:r>
      <w:r>
        <w:rPr>
          <w:rFonts w:hint="default" w:ascii="Times New Roman" w:hAnsi="Times New Roman" w:cs="Times New Roman"/>
          <w:color w:val="0000FF"/>
          <w:sz w:val="24"/>
          <w:highlight w:val="none"/>
        </w:rPr>
        <w:t>倍；PM</w:t>
      </w:r>
      <w:r>
        <w:rPr>
          <w:rFonts w:hint="default" w:ascii="Times New Roman" w:hAnsi="Times New Roman" w:cs="Times New Roman"/>
          <w:color w:val="0000FF"/>
          <w:sz w:val="24"/>
          <w:highlight w:val="none"/>
          <w:vertAlign w:val="subscript"/>
        </w:rPr>
        <w:t>10</w:t>
      </w:r>
      <w:r>
        <w:rPr>
          <w:rFonts w:hint="default" w:ascii="Times New Roman" w:hAnsi="Times New Roman" w:cs="Times New Roman"/>
          <w:color w:val="0000FF"/>
          <w:sz w:val="24"/>
          <w:highlight w:val="none"/>
        </w:rPr>
        <w:t>浓度范围</w:t>
      </w:r>
      <w:r>
        <w:rPr>
          <w:rFonts w:hint="default" w:ascii="Times New Roman" w:hAnsi="Times New Roman" w:cs="Times New Roman"/>
          <w:color w:val="0000FF"/>
          <w:sz w:val="24"/>
          <w:highlight w:val="none"/>
          <w:lang w:val="en-US" w:eastAsia="zh-CN"/>
        </w:rPr>
        <w:t>43~340</w:t>
      </w:r>
      <w:r>
        <w:rPr>
          <w:rFonts w:hint="default" w:ascii="Times New Roman" w:hAnsi="Times New Roman" w:cs="Times New Roman"/>
          <w:color w:val="0000FF"/>
          <w:sz w:val="24"/>
          <w:highlight w:val="none"/>
        </w:rPr>
        <w:t>μg/m</w:t>
      </w:r>
      <w:r>
        <w:rPr>
          <w:rFonts w:hint="default" w:ascii="Times New Roman" w:hAnsi="Times New Roman" w:cs="Times New Roman"/>
          <w:color w:val="0000FF"/>
          <w:sz w:val="24"/>
          <w:highlight w:val="none"/>
          <w:vertAlign w:val="superscript"/>
        </w:rPr>
        <w:t>3</w:t>
      </w:r>
      <w:r>
        <w:rPr>
          <w:rFonts w:hint="default" w:ascii="Times New Roman" w:hAnsi="Times New Roman" w:cs="Times New Roman"/>
          <w:color w:val="0000FF"/>
          <w:sz w:val="24"/>
          <w:highlight w:val="none"/>
        </w:rPr>
        <w:t>，在1月~2月、</w:t>
      </w:r>
      <w:r>
        <w:rPr>
          <w:rFonts w:hint="default" w:ascii="Times New Roman" w:hAnsi="Times New Roman" w:cs="Times New Roman"/>
          <w:color w:val="0000FF"/>
          <w:sz w:val="24"/>
          <w:highlight w:val="none"/>
          <w:lang w:val="en-US" w:eastAsia="zh-CN"/>
        </w:rPr>
        <w:t>8</w:t>
      </w:r>
      <w:r>
        <w:rPr>
          <w:rFonts w:hint="default" w:ascii="Times New Roman" w:hAnsi="Times New Roman" w:cs="Times New Roman"/>
          <w:color w:val="0000FF"/>
          <w:sz w:val="24"/>
          <w:highlight w:val="none"/>
        </w:rPr>
        <w:t>月~12月超标，超标率</w:t>
      </w:r>
      <w:r>
        <w:rPr>
          <w:rFonts w:hint="default" w:ascii="Times New Roman" w:hAnsi="Times New Roman" w:cs="Times New Roman"/>
          <w:color w:val="0000FF"/>
          <w:sz w:val="24"/>
          <w:highlight w:val="none"/>
          <w:lang w:val="en-US" w:eastAsia="zh-CN"/>
        </w:rPr>
        <w:t>58.33</w:t>
      </w:r>
      <w:r>
        <w:rPr>
          <w:rFonts w:hint="default" w:ascii="Times New Roman" w:hAnsi="Times New Roman" w:cs="Times New Roman"/>
          <w:color w:val="0000FF"/>
          <w:sz w:val="24"/>
          <w:highlight w:val="none"/>
        </w:rPr>
        <w:t>%，最大污染浓度超标倍数</w:t>
      </w:r>
      <w:r>
        <w:rPr>
          <w:rFonts w:hint="default" w:ascii="Times New Roman" w:hAnsi="Times New Roman" w:cs="Times New Roman"/>
          <w:color w:val="0000FF"/>
          <w:sz w:val="24"/>
          <w:highlight w:val="none"/>
          <w:lang w:val="en-US" w:eastAsia="zh-CN"/>
        </w:rPr>
        <w:t>3.86</w:t>
      </w:r>
      <w:r>
        <w:rPr>
          <w:rFonts w:hint="default" w:ascii="Times New Roman" w:hAnsi="Times New Roman" w:cs="Times New Roman"/>
          <w:color w:val="0000FF"/>
          <w:sz w:val="24"/>
          <w:highlight w:val="none"/>
        </w:rPr>
        <w:t>倍</w:t>
      </w:r>
      <w:r>
        <w:rPr>
          <w:rFonts w:hint="default" w:ascii="Times New Roman" w:hAnsi="Times New Roman" w:cs="Times New Roman"/>
          <w:color w:val="0000FF"/>
          <w:sz w:val="24"/>
          <w:highlight w:val="none"/>
          <w:lang w:eastAsia="zh-CN"/>
        </w:rPr>
        <w:t>；</w:t>
      </w:r>
      <w:r>
        <w:rPr>
          <w:rFonts w:hint="default" w:ascii="Times New Roman" w:hAnsi="Times New Roman" w:cs="Times New Roman"/>
          <w:color w:val="0000FF"/>
          <w:sz w:val="24"/>
          <w:highlight w:val="none"/>
          <w:lang w:val="en-US" w:eastAsia="zh-CN"/>
        </w:rPr>
        <w:t>NO</w:t>
      </w:r>
      <w:r>
        <w:rPr>
          <w:rFonts w:hint="default" w:ascii="Times New Roman" w:hAnsi="Times New Roman" w:cs="Times New Roman"/>
          <w:color w:val="0000FF"/>
          <w:sz w:val="24"/>
          <w:highlight w:val="none"/>
          <w:vertAlign w:val="subscript"/>
          <w:lang w:val="en-US" w:eastAsia="zh-CN"/>
        </w:rPr>
        <w:t>2</w:t>
      </w:r>
      <w:r>
        <w:rPr>
          <w:rFonts w:hint="default" w:ascii="Times New Roman" w:hAnsi="Times New Roman" w:cs="Times New Roman"/>
          <w:color w:val="0000FF"/>
          <w:sz w:val="24"/>
          <w:highlight w:val="none"/>
        </w:rPr>
        <w:t>浓度范围</w:t>
      </w:r>
      <w:r>
        <w:rPr>
          <w:rFonts w:hint="default" w:ascii="Times New Roman" w:hAnsi="Times New Roman" w:cs="Times New Roman"/>
          <w:color w:val="0000FF"/>
          <w:sz w:val="24"/>
          <w:highlight w:val="none"/>
          <w:lang w:val="en-US" w:eastAsia="zh-CN"/>
        </w:rPr>
        <w:t>19~46</w:t>
      </w:r>
      <w:r>
        <w:rPr>
          <w:rFonts w:hint="default" w:ascii="Times New Roman" w:hAnsi="Times New Roman" w:cs="Times New Roman"/>
          <w:color w:val="0000FF"/>
          <w:sz w:val="24"/>
          <w:highlight w:val="none"/>
        </w:rPr>
        <w:t>μg/m</w:t>
      </w:r>
      <w:r>
        <w:rPr>
          <w:rFonts w:hint="default" w:ascii="Times New Roman" w:hAnsi="Times New Roman" w:cs="Times New Roman"/>
          <w:color w:val="0000FF"/>
          <w:sz w:val="24"/>
          <w:highlight w:val="none"/>
          <w:vertAlign w:val="superscript"/>
        </w:rPr>
        <w:t>3</w:t>
      </w:r>
      <w:r>
        <w:rPr>
          <w:rFonts w:hint="default" w:ascii="Times New Roman" w:hAnsi="Times New Roman" w:cs="Times New Roman"/>
          <w:color w:val="0000FF"/>
          <w:sz w:val="24"/>
          <w:highlight w:val="none"/>
        </w:rPr>
        <w:t>，在</w:t>
      </w:r>
      <w:r>
        <w:rPr>
          <w:rFonts w:hint="default" w:ascii="Times New Roman" w:hAnsi="Times New Roman" w:cs="Times New Roman"/>
          <w:color w:val="0000FF"/>
          <w:sz w:val="24"/>
          <w:highlight w:val="none"/>
          <w:lang w:val="en-US" w:eastAsia="zh-CN"/>
        </w:rPr>
        <w:t>10</w:t>
      </w:r>
      <w:r>
        <w:rPr>
          <w:rFonts w:hint="default" w:ascii="Times New Roman" w:hAnsi="Times New Roman" w:cs="Times New Roman"/>
          <w:color w:val="0000FF"/>
          <w:sz w:val="24"/>
          <w:highlight w:val="none"/>
        </w:rPr>
        <w:t>月~12月超标，超标率</w:t>
      </w:r>
      <w:r>
        <w:rPr>
          <w:rFonts w:hint="default" w:ascii="Times New Roman" w:hAnsi="Times New Roman" w:cs="Times New Roman"/>
          <w:color w:val="0000FF"/>
          <w:sz w:val="24"/>
          <w:highlight w:val="none"/>
          <w:lang w:val="en-US" w:eastAsia="zh-CN"/>
        </w:rPr>
        <w:t>25</w:t>
      </w:r>
      <w:r>
        <w:rPr>
          <w:rFonts w:hint="default" w:ascii="Times New Roman" w:hAnsi="Times New Roman" w:cs="Times New Roman"/>
          <w:color w:val="0000FF"/>
          <w:sz w:val="24"/>
          <w:highlight w:val="none"/>
        </w:rPr>
        <w:t>%，最大污染浓度超标倍数</w:t>
      </w:r>
      <w:r>
        <w:rPr>
          <w:rFonts w:hint="default" w:ascii="Times New Roman" w:hAnsi="Times New Roman" w:cs="Times New Roman"/>
          <w:color w:val="0000FF"/>
          <w:sz w:val="24"/>
          <w:highlight w:val="none"/>
          <w:lang w:val="en-US" w:eastAsia="zh-CN"/>
        </w:rPr>
        <w:t>0.15</w:t>
      </w:r>
      <w:r>
        <w:rPr>
          <w:rFonts w:hint="default" w:ascii="Times New Roman" w:hAnsi="Times New Roman" w:cs="Times New Roman"/>
          <w:color w:val="0000FF"/>
          <w:sz w:val="24"/>
          <w:highlight w:val="none"/>
        </w:rPr>
        <w:t>倍。</w:t>
      </w:r>
    </w:p>
    <w:p>
      <w:pPr>
        <w:snapToGrid w:val="0"/>
        <w:spacing w:line="360" w:lineRule="auto"/>
        <w:ind w:firstLine="480" w:firstLineChars="200"/>
        <w:rPr>
          <w:rFonts w:ascii="Times New Roman" w:hAnsi="Times New Roman" w:cs="Times New Roman"/>
          <w:color w:val="0000FF"/>
          <w:sz w:val="24"/>
          <w:szCs w:val="24"/>
        </w:rPr>
      </w:pPr>
      <w:r>
        <w:rPr>
          <w:rFonts w:ascii="Times New Roman" w:hAnsi="Times New Roman" w:cs="Times New Roman"/>
          <w:color w:val="0000FF"/>
          <w:sz w:val="24"/>
          <w:szCs w:val="24"/>
        </w:rPr>
        <w:t>评价方法</w:t>
      </w:r>
    </w:p>
    <w:p>
      <w:pPr>
        <w:snapToGrid w:val="0"/>
        <w:spacing w:line="360" w:lineRule="auto"/>
        <w:ind w:firstLine="480" w:firstLineChars="200"/>
        <w:rPr>
          <w:rFonts w:ascii="Times New Roman" w:hAnsi="Times New Roman" w:cs="Times New Roman"/>
          <w:color w:val="0000FF"/>
          <w:sz w:val="24"/>
          <w:szCs w:val="24"/>
        </w:rPr>
      </w:pPr>
      <w:r>
        <w:rPr>
          <w:rFonts w:ascii="Times New Roman" w:hAnsi="Times New Roman" w:cs="Times New Roman"/>
          <w:color w:val="0000FF"/>
          <w:sz w:val="24"/>
          <w:szCs w:val="24"/>
        </w:rPr>
        <w:t>评价采用单因子占标率法，单因子占标率法的数学表达式为：</w:t>
      </w:r>
    </w:p>
    <w:p>
      <w:pPr>
        <w:snapToGrid w:val="0"/>
        <w:spacing w:line="360" w:lineRule="auto"/>
        <w:ind w:firstLine="480" w:firstLineChars="200"/>
        <w:jc w:val="center"/>
        <w:rPr>
          <w:rFonts w:ascii="Times New Roman" w:hAnsi="Times New Roman" w:cs="Times New Roman"/>
          <w:color w:val="0000FF"/>
          <w:sz w:val="24"/>
          <w:szCs w:val="24"/>
        </w:rPr>
      </w:pPr>
      <w:r>
        <w:rPr>
          <w:rFonts w:ascii="Times New Roman" w:hAnsi="Times New Roman" w:cs="Times New Roman"/>
          <w:color w:val="0000FF"/>
          <w:sz w:val="24"/>
          <w:szCs w:val="24"/>
        </w:rPr>
        <w:drawing>
          <wp:inline distT="0" distB="0" distL="114300" distR="114300">
            <wp:extent cx="1143000" cy="485775"/>
            <wp:effectExtent l="0" t="0" r="0" b="9525"/>
            <wp:docPr id="4" name="图片 2" descr="C:\Users\Administrator.USER-20170815BF\AppData\Roaming\Tencent\Users\1486276306\QQ\WinTemp\RichOle\G]4EX`W[N[)33%%F%A[%]G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USER-20170815BF\AppData\Roaming\Tencent\Users\1486276306\QQ\WinTemp\RichOle\G]4EX`W[N[)33%%F%A[%]GW.png"/>
                    <pic:cNvPicPr>
                      <a:picLocks noChangeAspect="1"/>
                    </pic:cNvPicPr>
                  </pic:nvPicPr>
                  <pic:blipFill>
                    <a:blip r:embed="rId44"/>
                    <a:stretch>
                      <a:fillRect/>
                    </a:stretch>
                  </pic:blipFill>
                  <pic:spPr>
                    <a:xfrm>
                      <a:off x="0" y="0"/>
                      <a:ext cx="1143000" cy="485775"/>
                    </a:xfrm>
                    <a:prstGeom prst="rect">
                      <a:avLst/>
                    </a:prstGeom>
                    <a:noFill/>
                    <a:ln>
                      <a:noFill/>
                    </a:ln>
                  </pic:spPr>
                </pic:pic>
              </a:graphicData>
            </a:graphic>
          </wp:inline>
        </w:drawing>
      </w:r>
    </w:p>
    <w:p>
      <w:pPr>
        <w:snapToGrid w:val="0"/>
        <w:spacing w:line="360" w:lineRule="auto"/>
        <w:ind w:firstLine="480" w:firstLineChars="200"/>
        <w:rPr>
          <w:rFonts w:ascii="Times New Roman" w:hAnsi="Times New Roman" w:cs="Times New Roman"/>
          <w:color w:val="0000FF"/>
          <w:sz w:val="24"/>
          <w:szCs w:val="24"/>
        </w:rPr>
      </w:pPr>
      <w:r>
        <w:rPr>
          <w:rFonts w:ascii="Times New Roman" w:hAnsi="Times New Roman" w:cs="Times New Roman"/>
          <w:color w:val="0000FF"/>
          <w:sz w:val="24"/>
          <w:szCs w:val="24"/>
        </w:rPr>
        <w:t>式中：P</w:t>
      </w:r>
      <w:r>
        <w:rPr>
          <w:rFonts w:ascii="Times New Roman" w:hAnsi="Times New Roman" w:cs="Times New Roman"/>
          <w:color w:val="0000FF"/>
          <w:sz w:val="24"/>
          <w:szCs w:val="24"/>
          <w:vertAlign w:val="subscript"/>
        </w:rPr>
        <w:t>i</w:t>
      </w:r>
      <w:r>
        <w:rPr>
          <w:rFonts w:ascii="Times New Roman" w:hAnsi="Times New Roman" w:cs="Times New Roman"/>
          <w:color w:val="0000FF"/>
          <w:sz w:val="24"/>
          <w:szCs w:val="24"/>
        </w:rPr>
        <w:t>——第i个污染物的最大地面质量浓度占标率，%；</w:t>
      </w:r>
    </w:p>
    <w:p>
      <w:pPr>
        <w:snapToGrid w:val="0"/>
        <w:spacing w:line="360" w:lineRule="auto"/>
        <w:ind w:firstLine="1200" w:firstLineChars="500"/>
        <w:rPr>
          <w:rFonts w:ascii="Times New Roman" w:hAnsi="Times New Roman" w:cs="Times New Roman"/>
          <w:color w:val="0000FF"/>
          <w:sz w:val="24"/>
          <w:szCs w:val="24"/>
        </w:rPr>
      </w:pPr>
      <w:r>
        <w:rPr>
          <w:rFonts w:ascii="Times New Roman" w:hAnsi="Times New Roman" w:cs="Times New Roman"/>
          <w:color w:val="0000FF"/>
          <w:sz w:val="24"/>
          <w:szCs w:val="24"/>
        </w:rPr>
        <w:t>C</w:t>
      </w:r>
      <w:r>
        <w:rPr>
          <w:rFonts w:ascii="Times New Roman" w:hAnsi="Times New Roman" w:cs="Times New Roman"/>
          <w:color w:val="0000FF"/>
          <w:sz w:val="24"/>
          <w:szCs w:val="24"/>
          <w:vertAlign w:val="subscript"/>
        </w:rPr>
        <w:t>i</w:t>
      </w:r>
      <w:r>
        <w:rPr>
          <w:rFonts w:ascii="Times New Roman" w:hAnsi="Times New Roman" w:cs="Times New Roman"/>
          <w:color w:val="0000FF"/>
          <w:sz w:val="24"/>
          <w:szCs w:val="24"/>
        </w:rPr>
        <w:t>——采用估算模式计算出的第i个污染物的最大地面质量浓度，mg/m</w:t>
      </w:r>
      <w:r>
        <w:rPr>
          <w:rFonts w:ascii="Times New Roman" w:hAnsi="Times New Roman" w:cs="Times New Roman"/>
          <w:color w:val="0000FF"/>
          <w:sz w:val="24"/>
          <w:szCs w:val="24"/>
          <w:vertAlign w:val="superscript"/>
        </w:rPr>
        <w:t>3</w:t>
      </w:r>
      <w:r>
        <w:rPr>
          <w:rFonts w:ascii="Times New Roman" w:hAnsi="Times New Roman" w:cs="Times New Roman"/>
          <w:color w:val="0000FF"/>
          <w:sz w:val="24"/>
          <w:szCs w:val="24"/>
        </w:rPr>
        <w:t>；</w:t>
      </w:r>
    </w:p>
    <w:p>
      <w:pPr>
        <w:snapToGrid w:val="0"/>
        <w:spacing w:line="360" w:lineRule="auto"/>
        <w:ind w:firstLine="1200" w:firstLineChars="500"/>
        <w:rPr>
          <w:rFonts w:ascii="Times New Roman" w:hAnsi="Times New Roman" w:cs="Times New Roman"/>
          <w:color w:val="0000FF"/>
          <w:sz w:val="24"/>
          <w:szCs w:val="24"/>
        </w:rPr>
      </w:pPr>
      <w:r>
        <w:rPr>
          <w:rFonts w:ascii="Times New Roman" w:hAnsi="Times New Roman" w:cs="Times New Roman"/>
          <w:color w:val="0000FF"/>
          <w:sz w:val="24"/>
          <w:szCs w:val="24"/>
        </w:rPr>
        <w:t>C</w:t>
      </w:r>
      <w:r>
        <w:rPr>
          <w:rFonts w:ascii="Times New Roman" w:hAnsi="Times New Roman" w:cs="Times New Roman"/>
          <w:color w:val="0000FF"/>
          <w:sz w:val="24"/>
          <w:szCs w:val="24"/>
          <w:vertAlign w:val="subscript"/>
        </w:rPr>
        <w:t>oi</w:t>
      </w:r>
      <w:r>
        <w:rPr>
          <w:rFonts w:ascii="Times New Roman" w:hAnsi="Times New Roman" w:cs="Times New Roman"/>
          <w:color w:val="0000FF"/>
          <w:sz w:val="24"/>
          <w:szCs w:val="24"/>
        </w:rPr>
        <w:t>——第i个污染物的环境空气质量浓度标准，mg/m</w:t>
      </w:r>
      <w:r>
        <w:rPr>
          <w:rFonts w:ascii="Times New Roman" w:hAnsi="Times New Roman" w:cs="Times New Roman"/>
          <w:color w:val="0000FF"/>
          <w:sz w:val="24"/>
          <w:szCs w:val="24"/>
          <w:vertAlign w:val="superscript"/>
        </w:rPr>
        <w:t>3</w:t>
      </w:r>
      <w:r>
        <w:rPr>
          <w:rFonts w:ascii="Times New Roman" w:hAnsi="Times New Roman" w:cs="Times New Roman"/>
          <w:color w:val="0000FF"/>
          <w:sz w:val="24"/>
          <w:szCs w:val="24"/>
        </w:rPr>
        <w:t>。</w:t>
      </w:r>
    </w:p>
    <w:p>
      <w:pPr>
        <w:ind w:firstLine="480" w:firstLineChars="200"/>
        <w:rPr>
          <w:rFonts w:hint="default" w:ascii="Times New Roman" w:hAnsi="Times New Roman" w:eastAsia="宋体" w:cs="Times New Roman"/>
          <w:b w:val="0"/>
          <w:color w:val="0000FF"/>
          <w:sz w:val="24"/>
          <w:szCs w:val="20"/>
          <w:highlight w:val="none"/>
        </w:rPr>
      </w:pPr>
    </w:p>
    <w:p>
      <w:pPr>
        <w:ind w:firstLine="480" w:firstLineChars="200"/>
        <w:rPr>
          <w:rFonts w:hint="default" w:ascii="Times New Roman" w:hAnsi="Times New Roman" w:eastAsia="宋体" w:cs="Times New Roman"/>
          <w:b w:val="0"/>
          <w:bCs w:val="0"/>
          <w:color w:val="0000FF"/>
          <w:sz w:val="24"/>
          <w:szCs w:val="20"/>
          <w:highlight w:val="none"/>
        </w:rPr>
      </w:pPr>
      <w:r>
        <w:rPr>
          <w:rFonts w:hint="default" w:ascii="Times New Roman" w:hAnsi="Times New Roman" w:eastAsia="宋体" w:cs="Times New Roman"/>
          <w:b w:val="0"/>
          <w:color w:val="0000FF"/>
          <w:sz w:val="24"/>
          <w:szCs w:val="20"/>
          <w:highlight w:val="none"/>
        </w:rPr>
        <w:t>达标判定结果见表</w:t>
      </w:r>
      <w:r>
        <w:rPr>
          <w:rFonts w:hint="eastAsia" w:ascii="Times New Roman" w:hAnsi="Times New Roman" w:eastAsia="宋体" w:cs="Times New Roman"/>
          <w:b w:val="0"/>
          <w:color w:val="0000FF"/>
          <w:sz w:val="24"/>
          <w:szCs w:val="20"/>
          <w:highlight w:val="none"/>
          <w:lang w:val="en-US" w:eastAsia="zh-CN"/>
        </w:rPr>
        <w:t>4.2.1.4</w:t>
      </w:r>
      <w:r>
        <w:rPr>
          <w:rFonts w:hint="default" w:ascii="Times New Roman" w:hAnsi="Times New Roman" w:eastAsia="宋体" w:cs="Times New Roman"/>
          <w:b w:val="0"/>
          <w:color w:val="0000FF"/>
          <w:sz w:val="24"/>
          <w:szCs w:val="20"/>
          <w:highlight w:val="none"/>
        </w:rPr>
        <w:t>。</w:t>
      </w:r>
    </w:p>
    <w:p>
      <w:pPr>
        <w:topLinePunct/>
        <w:jc w:val="center"/>
        <w:rPr>
          <w:rFonts w:hint="default" w:ascii="Times New Roman" w:hAnsi="Times New Roman" w:cs="Times New Roman"/>
          <w:b/>
          <w:color w:val="0000FF"/>
          <w:sz w:val="21"/>
          <w:szCs w:val="21"/>
          <w:highlight w:val="none"/>
        </w:rPr>
      </w:pPr>
      <w:r>
        <w:rPr>
          <w:rFonts w:hint="default" w:ascii="Times New Roman" w:hAnsi="Times New Roman" w:eastAsia="宋体" w:cs="Times New Roman"/>
          <w:b/>
          <w:bCs/>
          <w:color w:val="0000FF"/>
          <w:sz w:val="24"/>
          <w:szCs w:val="20"/>
          <w:highlight w:val="none"/>
        </w:rPr>
        <w:t>表</w:t>
      </w:r>
      <w:r>
        <w:rPr>
          <w:rFonts w:hint="eastAsia" w:ascii="Times New Roman" w:hAnsi="Times New Roman" w:eastAsia="宋体" w:cs="Times New Roman"/>
          <w:b/>
          <w:bCs/>
          <w:color w:val="0000FF"/>
          <w:sz w:val="24"/>
          <w:szCs w:val="20"/>
          <w:highlight w:val="none"/>
          <w:lang w:val="en-US" w:eastAsia="zh-CN"/>
        </w:rPr>
        <w:t>4.2.1.4</w:t>
      </w:r>
      <w:r>
        <w:rPr>
          <w:rFonts w:hint="default" w:ascii="Times New Roman" w:hAnsi="Times New Roman" w:cs="Times New Roman"/>
          <w:b/>
          <w:color w:val="0000FF"/>
          <w:sz w:val="21"/>
          <w:szCs w:val="21"/>
          <w:highlight w:val="none"/>
          <w:lang w:val="en-US" w:eastAsia="zh-CN"/>
        </w:rPr>
        <w:t xml:space="preserve"> </w:t>
      </w:r>
      <w:r>
        <w:rPr>
          <w:rFonts w:hint="default" w:ascii="Times New Roman" w:hAnsi="Times New Roman" w:cs="Times New Roman"/>
          <w:b/>
          <w:color w:val="0000FF"/>
          <w:sz w:val="21"/>
          <w:szCs w:val="21"/>
          <w:highlight w:val="none"/>
        </w:rPr>
        <w:t>达标判定结果表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2050"/>
        <w:gridCol w:w="1503"/>
        <w:gridCol w:w="1128"/>
        <w:gridCol w:w="877"/>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污染物</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年评价指标</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现状浓度（μg/m</w:t>
            </w:r>
            <w:r>
              <w:rPr>
                <w:rFonts w:hint="default" w:ascii="Times New Roman" w:hAnsi="Times New Roman" w:cs="Times New Roman"/>
                <w:bCs/>
                <w:color w:val="0000FF"/>
                <w:sz w:val="21"/>
                <w:szCs w:val="21"/>
                <w:highlight w:val="none"/>
                <w:vertAlign w:val="superscript"/>
              </w:rPr>
              <w:t>3</w:t>
            </w:r>
            <w:r>
              <w:rPr>
                <w:rFonts w:hint="default" w:ascii="Times New Roman" w:hAnsi="Times New Roman" w:cs="Times New Roman"/>
                <w:bCs/>
                <w:color w:val="0000FF"/>
                <w:sz w:val="21"/>
                <w:szCs w:val="21"/>
                <w:highlight w:val="none"/>
              </w:rPr>
              <w:t>）</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标准值（μg/m</w:t>
            </w:r>
            <w:r>
              <w:rPr>
                <w:rFonts w:hint="default" w:ascii="Times New Roman" w:hAnsi="Times New Roman" w:cs="Times New Roman"/>
                <w:bCs/>
                <w:color w:val="0000FF"/>
                <w:sz w:val="21"/>
                <w:szCs w:val="21"/>
                <w:highlight w:val="none"/>
                <w:vertAlign w:val="superscript"/>
              </w:rPr>
              <w:t>3</w:t>
            </w:r>
            <w:r>
              <w:rPr>
                <w:rFonts w:hint="default" w:ascii="Times New Roman" w:hAnsi="Times New Roman" w:cs="Times New Roman"/>
                <w:bCs/>
                <w:color w:val="0000FF"/>
                <w:sz w:val="21"/>
                <w:szCs w:val="21"/>
                <w:highlight w:val="none"/>
              </w:rPr>
              <w:t>）</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占标率</w:t>
            </w:r>
          </w:p>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lang w:eastAsia="zh-CN"/>
              </w:rPr>
              <w:t>（</w:t>
            </w:r>
            <w:r>
              <w:rPr>
                <w:rFonts w:hint="default" w:ascii="Times New Roman" w:hAnsi="Times New Roman" w:cs="Times New Roman"/>
                <w:bCs/>
                <w:color w:val="0000FF"/>
                <w:sz w:val="21"/>
                <w:szCs w:val="21"/>
                <w:highlight w:val="none"/>
                <w:lang w:val="en-US" w:eastAsia="zh-CN"/>
              </w:rPr>
              <w:t>%</w:t>
            </w:r>
            <w:r>
              <w:rPr>
                <w:rFonts w:hint="default" w:ascii="Times New Roman" w:hAnsi="Times New Roman" w:cs="Times New Roman"/>
                <w:bCs/>
                <w:color w:val="0000FF"/>
                <w:sz w:val="21"/>
                <w:szCs w:val="21"/>
                <w:highlight w:val="none"/>
                <w:lang w:eastAsia="zh-CN"/>
              </w:rPr>
              <w:t>）</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PM</w:t>
            </w:r>
            <w:r>
              <w:rPr>
                <w:rFonts w:hint="default" w:ascii="Times New Roman" w:hAnsi="Times New Roman" w:cs="Times New Roman"/>
                <w:color w:val="0000FF"/>
                <w:sz w:val="21"/>
                <w:szCs w:val="21"/>
                <w:highlight w:val="none"/>
                <w:vertAlign w:val="subscript"/>
              </w:rPr>
              <w:t>2.5</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51.6</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35</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147.4</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PM</w:t>
            </w:r>
            <w:r>
              <w:rPr>
                <w:rFonts w:hint="default" w:ascii="Times New Roman" w:hAnsi="Times New Roman" w:cs="Times New Roman"/>
                <w:color w:val="0000FF"/>
                <w:sz w:val="21"/>
                <w:szCs w:val="21"/>
                <w:highlight w:val="none"/>
                <w:vertAlign w:val="subscript"/>
              </w:rPr>
              <w:t>10</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145.8</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70</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208.3</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SO</w:t>
            </w:r>
            <w:r>
              <w:rPr>
                <w:rFonts w:hint="default" w:ascii="Times New Roman" w:hAnsi="Times New Roman" w:cs="Times New Roman"/>
                <w:color w:val="0000FF"/>
                <w:sz w:val="21"/>
                <w:szCs w:val="21"/>
                <w:highlight w:val="none"/>
                <w:vertAlign w:val="subscript"/>
              </w:rPr>
              <w:t>2</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8.8</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60</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14.7</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CO</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1175.9</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4000</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29.4</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NO</w:t>
            </w:r>
            <w:r>
              <w:rPr>
                <w:rFonts w:hint="default" w:ascii="Times New Roman" w:hAnsi="Times New Roman" w:cs="Times New Roman"/>
                <w:color w:val="0000FF"/>
                <w:sz w:val="21"/>
                <w:szCs w:val="21"/>
                <w:highlight w:val="none"/>
                <w:vertAlign w:val="subscript"/>
              </w:rPr>
              <w:t>2</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年平均质量浓度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30.3</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40</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75.8</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tcBorders>
              <w:tl2br w:val="nil"/>
              <w:tr2bl w:val="nil"/>
            </w:tcBorders>
            <w:noWrap w:val="0"/>
            <w:vAlign w:val="center"/>
          </w:tcPr>
          <w:p>
            <w:pPr>
              <w:spacing w:line="400" w:lineRule="exact"/>
              <w:ind w:left="0" w:leftChars="0"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O</w:t>
            </w:r>
            <w:r>
              <w:rPr>
                <w:rFonts w:hint="default" w:ascii="Times New Roman" w:hAnsi="Times New Roman" w:cs="Times New Roman"/>
                <w:color w:val="0000FF"/>
                <w:sz w:val="21"/>
                <w:szCs w:val="21"/>
                <w:highlight w:val="none"/>
                <w:vertAlign w:val="subscript"/>
              </w:rPr>
              <w:t>3</w:t>
            </w:r>
            <w:r>
              <w:rPr>
                <w:rFonts w:hint="default" w:ascii="Times New Roman" w:hAnsi="Times New Roman" w:cs="Times New Roman"/>
                <w:color w:val="0000FF"/>
                <w:sz w:val="21"/>
                <w:szCs w:val="21"/>
                <w:highlight w:val="none"/>
              </w:rPr>
              <w:t>（8小时均值）</w:t>
            </w:r>
          </w:p>
        </w:tc>
        <w:tc>
          <w:tcPr>
            <w:tcW w:w="2050"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8h平均质量浓度</w:t>
            </w:r>
          </w:p>
        </w:tc>
        <w:tc>
          <w:tcPr>
            <w:tcW w:w="1503"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107.8</w:t>
            </w:r>
          </w:p>
        </w:tc>
        <w:tc>
          <w:tcPr>
            <w:tcW w:w="112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160</w:t>
            </w:r>
          </w:p>
        </w:tc>
        <w:tc>
          <w:tcPr>
            <w:tcW w:w="877"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eastAsia="宋体" w:cs="Times New Roman"/>
                <w:bCs/>
                <w:color w:val="0000FF"/>
                <w:sz w:val="21"/>
                <w:szCs w:val="21"/>
                <w:highlight w:val="none"/>
                <w:lang w:val="en-US" w:eastAsia="zh-CN"/>
              </w:rPr>
            </w:pPr>
            <w:r>
              <w:rPr>
                <w:rFonts w:hint="default" w:ascii="Times New Roman" w:hAnsi="Times New Roman" w:eastAsia="宋体" w:cs="Times New Roman"/>
                <w:bCs/>
                <w:color w:val="0000FF"/>
                <w:sz w:val="21"/>
                <w:szCs w:val="21"/>
                <w:highlight w:val="none"/>
                <w:lang w:val="en-US" w:eastAsia="zh-CN"/>
              </w:rPr>
              <w:t>67.4</w:t>
            </w:r>
          </w:p>
        </w:tc>
        <w:tc>
          <w:tcPr>
            <w:tcW w:w="1108" w:type="dxa"/>
            <w:tcBorders>
              <w:tl2br w:val="nil"/>
              <w:tr2bl w:val="nil"/>
            </w:tcBorders>
            <w:noWrap w:val="0"/>
            <w:vAlign w:val="center"/>
          </w:tcPr>
          <w:p>
            <w:pPr>
              <w:topLinePunct/>
              <w:spacing w:line="400" w:lineRule="exact"/>
              <w:ind w:left="0" w:leftChars="0" w:firstLine="0" w:firstLineChars="0"/>
              <w:jc w:val="center"/>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达标</w:t>
            </w:r>
          </w:p>
        </w:tc>
      </w:tr>
    </w:tbl>
    <w:p>
      <w:pPr>
        <w:keepNext w:val="0"/>
        <w:keepLines w:val="0"/>
        <w:pageBreakBefore w:val="0"/>
        <w:widowControl/>
        <w:kinsoku/>
        <w:wordWrap/>
        <w:overflowPunct/>
        <w:topLinePunct w:val="0"/>
        <w:autoSpaceDE w:val="0"/>
        <w:autoSpaceDN w:val="0"/>
        <w:bidi w:val="0"/>
        <w:adjustRightInd/>
        <w:snapToGrid/>
        <w:spacing w:line="360" w:lineRule="auto"/>
        <w:ind w:left="220" w:leftChars="100" w:firstLine="480" w:firstLineChars="200"/>
        <w:jc w:val="both"/>
        <w:textAlignment w:val="auto"/>
        <w:rPr>
          <w:color w:val="0000FF"/>
          <w:sz w:val="24"/>
          <w:szCs w:val="24"/>
          <w:highlight w:val="none"/>
          <w:lang w:bidi="ar"/>
        </w:rPr>
      </w:pPr>
      <w:r>
        <w:rPr>
          <w:rFonts w:hint="default" w:ascii="Times New Roman" w:hAnsi="Times New Roman" w:cs="Times New Roman"/>
          <w:color w:val="0000FF"/>
          <w:sz w:val="24"/>
          <w:szCs w:val="24"/>
          <w:highlight w:val="none"/>
        </w:rPr>
        <w:t>按照《环境空气质量标准》（GB3095-2012）规定，</w:t>
      </w:r>
      <w:r>
        <w:rPr>
          <w:rFonts w:hint="default" w:ascii="Times New Roman" w:hAnsi="Times New Roman" w:cs="Times New Roman"/>
          <w:color w:val="0000FF"/>
          <w:sz w:val="24"/>
          <w:szCs w:val="24"/>
          <w:highlight w:val="none"/>
          <w:lang w:eastAsia="zh-CN"/>
        </w:rPr>
        <w:t>喀什</w:t>
      </w:r>
      <w:r>
        <w:rPr>
          <w:rFonts w:hint="default" w:ascii="Times New Roman" w:hAnsi="Times New Roman" w:cs="Times New Roman"/>
          <w:color w:val="0000FF"/>
          <w:sz w:val="24"/>
          <w:szCs w:val="24"/>
          <w:highlight w:val="none"/>
        </w:rPr>
        <w:t>地区2018年平均质量浓度PM</w:t>
      </w:r>
      <w:r>
        <w:rPr>
          <w:rFonts w:hint="default" w:ascii="Times New Roman" w:hAnsi="Times New Roman" w:cs="Times New Roman"/>
          <w:color w:val="0000FF"/>
          <w:sz w:val="24"/>
          <w:szCs w:val="24"/>
          <w:highlight w:val="none"/>
          <w:vertAlign w:val="subscript"/>
        </w:rPr>
        <w:t>10</w:t>
      </w:r>
      <w:r>
        <w:rPr>
          <w:rFonts w:hint="default" w:ascii="Times New Roman" w:hAnsi="Times New Roman" w:cs="Times New Roman"/>
          <w:color w:val="0000FF"/>
          <w:sz w:val="24"/>
          <w:szCs w:val="24"/>
          <w:highlight w:val="none"/>
        </w:rPr>
        <w:t>、PM</w:t>
      </w:r>
      <w:r>
        <w:rPr>
          <w:rFonts w:hint="default" w:ascii="Times New Roman" w:hAnsi="Times New Roman" w:cs="Times New Roman"/>
          <w:color w:val="0000FF"/>
          <w:sz w:val="24"/>
          <w:szCs w:val="24"/>
          <w:highlight w:val="none"/>
          <w:vertAlign w:val="subscript"/>
        </w:rPr>
        <w:t>2.5</w:t>
      </w:r>
      <w:r>
        <w:rPr>
          <w:rFonts w:hint="default" w:ascii="Times New Roman" w:hAnsi="Times New Roman" w:cs="Times New Roman"/>
          <w:color w:val="0000FF"/>
          <w:sz w:val="24"/>
          <w:szCs w:val="24"/>
          <w:highlight w:val="none"/>
          <w:lang w:eastAsia="zh-CN"/>
        </w:rPr>
        <w:t>超过二级标准限值，占标率分别为</w:t>
      </w:r>
      <w:r>
        <w:rPr>
          <w:rFonts w:hint="default" w:ascii="Times New Roman" w:hAnsi="Times New Roman" w:cs="Times New Roman"/>
          <w:color w:val="0000FF"/>
          <w:sz w:val="24"/>
          <w:szCs w:val="24"/>
          <w:highlight w:val="none"/>
          <w:lang w:val="en-US" w:eastAsia="zh-CN"/>
        </w:rPr>
        <w:t>147.4%、208.3%，</w:t>
      </w:r>
      <w:r>
        <w:rPr>
          <w:rFonts w:hint="default" w:ascii="Times New Roman" w:hAnsi="Times New Roman" w:cs="Times New Roman"/>
          <w:color w:val="0000FF"/>
          <w:sz w:val="24"/>
          <w:szCs w:val="24"/>
          <w:highlight w:val="none"/>
        </w:rPr>
        <w:t>SO</w:t>
      </w:r>
      <w:r>
        <w:rPr>
          <w:rFonts w:hint="default" w:ascii="Times New Roman" w:hAnsi="Times New Roman" w:cs="Times New Roman"/>
          <w:color w:val="0000FF"/>
          <w:sz w:val="24"/>
          <w:szCs w:val="24"/>
          <w:highlight w:val="none"/>
          <w:vertAlign w:val="subscript"/>
        </w:rPr>
        <w:t>2</w:t>
      </w:r>
      <w:r>
        <w:rPr>
          <w:rFonts w:hint="default" w:ascii="Times New Roman" w:hAnsi="Times New Roman" w:cs="Times New Roman"/>
          <w:color w:val="0000FF"/>
          <w:sz w:val="24"/>
          <w:szCs w:val="24"/>
          <w:highlight w:val="none"/>
        </w:rPr>
        <w:t>、NO</w:t>
      </w:r>
      <w:r>
        <w:rPr>
          <w:rFonts w:hint="default" w:ascii="Times New Roman" w:hAnsi="Times New Roman" w:cs="Times New Roman"/>
          <w:color w:val="0000FF"/>
          <w:sz w:val="24"/>
          <w:szCs w:val="24"/>
          <w:highlight w:val="none"/>
          <w:vertAlign w:val="subscript"/>
        </w:rPr>
        <w:t>2</w:t>
      </w:r>
      <w:r>
        <w:rPr>
          <w:rFonts w:hint="default" w:ascii="Times New Roman" w:hAnsi="Times New Roman" w:cs="Times New Roman"/>
          <w:color w:val="0000FF"/>
          <w:sz w:val="24"/>
          <w:szCs w:val="24"/>
          <w:highlight w:val="none"/>
        </w:rPr>
        <w:t>、O</w:t>
      </w:r>
      <w:r>
        <w:rPr>
          <w:rFonts w:hint="default" w:ascii="Times New Roman" w:hAnsi="Times New Roman" w:cs="Times New Roman"/>
          <w:color w:val="0000FF"/>
          <w:sz w:val="24"/>
          <w:szCs w:val="24"/>
          <w:highlight w:val="none"/>
          <w:vertAlign w:val="subscript"/>
        </w:rPr>
        <w:t>3</w:t>
      </w:r>
      <w:r>
        <w:rPr>
          <w:rFonts w:hint="default" w:ascii="Times New Roman" w:hAnsi="Times New Roman" w:cs="Times New Roman"/>
          <w:color w:val="0000FF"/>
          <w:sz w:val="24"/>
          <w:szCs w:val="24"/>
          <w:highlight w:val="none"/>
        </w:rPr>
        <w:t>、CO均未超出二级标准限值，说明该地区环境质量</w:t>
      </w:r>
      <w:r>
        <w:rPr>
          <w:rFonts w:hint="default" w:ascii="Times New Roman" w:hAnsi="Times New Roman" w:cs="Times New Roman"/>
          <w:color w:val="0000FF"/>
          <w:sz w:val="24"/>
          <w:szCs w:val="24"/>
          <w:highlight w:val="none"/>
          <w:lang w:eastAsia="zh-CN"/>
        </w:rPr>
        <w:t>一般</w:t>
      </w:r>
      <w:r>
        <w:rPr>
          <w:rFonts w:hint="default" w:ascii="Times New Roman" w:hAnsi="Times New Roman" w:cs="Times New Roman"/>
          <w:color w:val="0000FF"/>
          <w:sz w:val="24"/>
          <w:szCs w:val="24"/>
          <w:highlight w:val="none"/>
        </w:rPr>
        <w:t>。</w:t>
      </w:r>
      <w:r>
        <w:rPr>
          <w:rFonts w:hint="eastAsia"/>
          <w:color w:val="0000FF"/>
          <w:sz w:val="24"/>
          <w:szCs w:val="24"/>
          <w:highlight w:val="none"/>
          <w:lang w:bidi="ar"/>
        </w:rPr>
        <w:t>参照《环境影响评价技术导则·大气环境》(HJ2.2-2018)中6.4.1项目所在区域达标判断规定：“城市环境空气质量达标情况评价指标为SO</w:t>
      </w:r>
      <w:r>
        <w:rPr>
          <w:rFonts w:hint="eastAsia"/>
          <w:color w:val="0000FF"/>
          <w:sz w:val="24"/>
          <w:szCs w:val="24"/>
          <w:highlight w:val="none"/>
          <w:vertAlign w:val="subscript"/>
          <w:lang w:bidi="ar"/>
        </w:rPr>
        <w:t>2</w:t>
      </w:r>
      <w:r>
        <w:rPr>
          <w:rFonts w:hint="eastAsia"/>
          <w:color w:val="0000FF"/>
          <w:sz w:val="24"/>
          <w:szCs w:val="24"/>
          <w:highlight w:val="none"/>
          <w:lang w:bidi="ar"/>
        </w:rPr>
        <w:t>、NO</w:t>
      </w:r>
      <w:r>
        <w:rPr>
          <w:rFonts w:hint="eastAsia"/>
          <w:color w:val="0000FF"/>
          <w:sz w:val="24"/>
          <w:szCs w:val="24"/>
          <w:highlight w:val="none"/>
          <w:vertAlign w:val="subscript"/>
          <w:lang w:bidi="ar"/>
        </w:rPr>
        <w:t>2</w:t>
      </w:r>
      <w:r>
        <w:rPr>
          <w:rFonts w:hint="eastAsia"/>
          <w:color w:val="0000FF"/>
          <w:sz w:val="24"/>
          <w:szCs w:val="24"/>
          <w:highlight w:val="none"/>
          <w:lang w:bidi="ar"/>
        </w:rPr>
        <w:t>、PM</w:t>
      </w:r>
      <w:r>
        <w:rPr>
          <w:rFonts w:hint="eastAsia"/>
          <w:color w:val="0000FF"/>
          <w:sz w:val="24"/>
          <w:szCs w:val="24"/>
          <w:highlight w:val="none"/>
          <w:vertAlign w:val="subscript"/>
          <w:lang w:bidi="ar"/>
        </w:rPr>
        <w:t>10</w:t>
      </w:r>
      <w:r>
        <w:rPr>
          <w:rFonts w:hint="eastAsia"/>
          <w:color w:val="0000FF"/>
          <w:sz w:val="24"/>
          <w:szCs w:val="24"/>
          <w:highlight w:val="none"/>
          <w:lang w:bidi="ar"/>
        </w:rPr>
        <w:t>、PM</w:t>
      </w:r>
      <w:r>
        <w:rPr>
          <w:rFonts w:hint="eastAsia"/>
          <w:color w:val="0000FF"/>
          <w:sz w:val="24"/>
          <w:szCs w:val="24"/>
          <w:highlight w:val="none"/>
          <w:vertAlign w:val="subscript"/>
          <w:lang w:bidi="ar"/>
        </w:rPr>
        <w:t>2.5</w:t>
      </w:r>
      <w:r>
        <w:rPr>
          <w:rFonts w:hint="eastAsia"/>
          <w:color w:val="0000FF"/>
          <w:sz w:val="24"/>
          <w:szCs w:val="24"/>
          <w:highlight w:val="none"/>
          <w:lang w:bidi="ar"/>
        </w:rPr>
        <w:t>、CO、O</w:t>
      </w:r>
      <w:r>
        <w:rPr>
          <w:rFonts w:hint="eastAsia"/>
          <w:color w:val="0000FF"/>
          <w:sz w:val="24"/>
          <w:szCs w:val="24"/>
          <w:highlight w:val="none"/>
          <w:vertAlign w:val="subscript"/>
          <w:lang w:bidi="ar"/>
        </w:rPr>
        <w:t>3</w:t>
      </w:r>
      <w:r>
        <w:rPr>
          <w:rFonts w:hint="eastAsia"/>
          <w:color w:val="0000FF"/>
          <w:sz w:val="24"/>
          <w:szCs w:val="24"/>
          <w:highlight w:val="none"/>
          <w:lang w:bidi="ar"/>
        </w:rPr>
        <w:t>，六项污染物全部达标即为城市环境空气质量达标”可知，本项目所在区域属于不达标区。</w:t>
      </w:r>
    </w:p>
    <w:p>
      <w:pPr>
        <w:keepNext w:val="0"/>
        <w:keepLines w:val="0"/>
        <w:pageBreakBefore w:val="0"/>
        <w:widowControl/>
        <w:kinsoku/>
        <w:wordWrap/>
        <w:overflowPunct/>
        <w:topLinePunct w:val="0"/>
        <w:autoSpaceDE w:val="0"/>
        <w:autoSpaceDN w:val="0"/>
        <w:bidi w:val="0"/>
        <w:adjustRightInd/>
        <w:snapToGrid/>
        <w:spacing w:line="360" w:lineRule="auto"/>
        <w:ind w:left="220" w:leftChars="100" w:firstLine="480" w:firstLineChars="200"/>
        <w:jc w:val="both"/>
        <w:textAlignment w:val="auto"/>
        <w:rPr>
          <w:rFonts w:hint="default" w:ascii="Times New Roman" w:hAnsi="Times New Roman" w:eastAsia="宋体" w:cs="Times New Roman"/>
          <w:color w:val="0000FF"/>
          <w:sz w:val="24"/>
          <w:szCs w:val="24"/>
          <w:highlight w:val="none"/>
        </w:rPr>
      </w:pPr>
      <w:r>
        <w:rPr>
          <w:rFonts w:hint="eastAsia"/>
          <w:color w:val="0000FF"/>
          <w:sz w:val="24"/>
          <w:szCs w:val="24"/>
          <w:highlight w:val="none"/>
          <w:lang w:eastAsia="zh-CN"/>
        </w:rPr>
        <w:t>根据《关于在南疆四地州深度贫困地区实施</w:t>
      </w:r>
      <w:r>
        <w:rPr>
          <w:rFonts w:hint="eastAsia"/>
          <w:color w:val="0000FF"/>
          <w:sz w:val="24"/>
          <w:szCs w:val="24"/>
          <w:highlight w:val="none"/>
          <w:lang w:val="en-US" w:eastAsia="zh-CN"/>
        </w:rPr>
        <w:t>&lt;环境影响评价技术导则 大气环境(HJ2.2-2018)&gt;差别化政策有关事宜的复函</w:t>
      </w:r>
      <w:r>
        <w:rPr>
          <w:rFonts w:hint="eastAsia"/>
          <w:color w:val="0000FF"/>
          <w:sz w:val="24"/>
          <w:szCs w:val="24"/>
          <w:highlight w:val="none"/>
          <w:lang w:eastAsia="zh-CN"/>
        </w:rPr>
        <w:t>》(环办环评函</w:t>
      </w:r>
      <w:r>
        <w:rPr>
          <w:rFonts w:hint="eastAsia"/>
          <w:color w:val="0000FF"/>
          <w:sz w:val="24"/>
          <w:szCs w:val="24"/>
          <w:highlight w:val="none"/>
          <w:lang w:val="en-US" w:eastAsia="zh-CN"/>
        </w:rPr>
        <w:t>[2019]590号</w:t>
      </w:r>
      <w:r>
        <w:rPr>
          <w:rFonts w:hint="eastAsia"/>
          <w:color w:val="0000FF"/>
          <w:sz w:val="24"/>
          <w:szCs w:val="24"/>
          <w:highlight w:val="none"/>
          <w:lang w:eastAsia="zh-CN"/>
        </w:rPr>
        <w:t>)要求，对喀什地区实行环境影响评价差别化政策，可不进行颗粒物区域削减。</w:t>
      </w:r>
      <w:r>
        <w:rPr>
          <w:rFonts w:hint="eastAsia"/>
          <w:color w:val="0000FF"/>
          <w:sz w:val="24"/>
          <w:szCs w:val="24"/>
          <w:highlight w:val="none"/>
        </w:rPr>
        <w:t>本项目实施后</w:t>
      </w:r>
      <w:r>
        <w:rPr>
          <w:rFonts w:hint="eastAsia"/>
          <w:color w:val="0000FF"/>
          <w:sz w:val="24"/>
          <w:szCs w:val="24"/>
          <w:highlight w:val="none"/>
          <w:lang w:eastAsia="zh-CN"/>
        </w:rPr>
        <w:t>建设单位</w:t>
      </w:r>
      <w:r>
        <w:rPr>
          <w:rFonts w:hint="eastAsia"/>
          <w:color w:val="0000FF"/>
          <w:sz w:val="24"/>
          <w:szCs w:val="24"/>
          <w:highlight w:val="none"/>
        </w:rPr>
        <w:t>应不断强化大气污染防治措施</w:t>
      </w:r>
      <w:r>
        <w:rPr>
          <w:rFonts w:hint="eastAsia"/>
          <w:color w:val="0000FF"/>
          <w:sz w:val="24"/>
          <w:szCs w:val="24"/>
          <w:highlight w:val="none"/>
          <w:lang w:eastAsia="zh-CN"/>
        </w:rPr>
        <w:t>。</w:t>
      </w:r>
    </w:p>
    <w:p>
      <w:pPr>
        <w:pStyle w:val="18"/>
        <w:numPr>
          <w:ilvl w:val="3"/>
          <w:numId w:val="41"/>
        </w:numPr>
        <w:tabs>
          <w:tab w:val="left" w:pos="1320"/>
        </w:tabs>
        <w:spacing w:before="16" w:after="0" w:line="240" w:lineRule="auto"/>
        <w:ind w:left="1320" w:right="0" w:hanging="780"/>
        <w:jc w:val="left"/>
        <w:rPr>
          <w:sz w:val="24"/>
        </w:rPr>
      </w:pPr>
      <w:bookmarkStart w:id="242" w:name="4.2.1.2 其他污染物补充监测结果与评价"/>
      <w:bookmarkEnd w:id="242"/>
      <w:bookmarkStart w:id="243" w:name="4.2.1.2 其他污染物补充监测结果与评价"/>
      <w:bookmarkEnd w:id="243"/>
      <w:r>
        <w:rPr>
          <w:sz w:val="24"/>
        </w:rPr>
        <w:t>其他污染物补充监测结果与评价</w:t>
      </w:r>
    </w:p>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rPr>
        <w:t>本项目环境空气特征污染物为氨、硫化氢、现状监测委托</w:t>
      </w:r>
      <w:r>
        <w:rPr>
          <w:rFonts w:hint="eastAsia" w:ascii="Times New Roman" w:hAnsi="Times New Roman" w:eastAsia="宋体" w:cs="Times New Roman"/>
          <w:color w:val="0000FF"/>
          <w:sz w:val="24"/>
          <w:lang w:val="en-US" w:eastAsia="zh-CN"/>
        </w:rPr>
        <w:t>新疆环疆绿源环保科技</w:t>
      </w:r>
      <w:r>
        <w:rPr>
          <w:rFonts w:hint="eastAsia" w:ascii="Times New Roman" w:hAnsi="Times New Roman" w:eastAsia="宋体" w:cs="Times New Roman"/>
          <w:color w:val="0000FF"/>
          <w:sz w:val="24"/>
        </w:rPr>
        <w:t>科技有限公司于20</w:t>
      </w:r>
      <w:r>
        <w:rPr>
          <w:rFonts w:hint="eastAsia" w:ascii="Times New Roman" w:hAnsi="Times New Roman" w:eastAsia="宋体" w:cs="Times New Roman"/>
          <w:color w:val="0000FF"/>
          <w:sz w:val="24"/>
          <w:lang w:val="en-US" w:eastAsia="zh-CN"/>
        </w:rPr>
        <w:t>20</w:t>
      </w:r>
      <w:r>
        <w:rPr>
          <w:rFonts w:hint="eastAsia" w:ascii="Times New Roman" w:hAnsi="Times New Roman" w:eastAsia="宋体" w:cs="Times New Roman"/>
          <w:color w:val="0000FF"/>
          <w:sz w:val="24"/>
        </w:rPr>
        <w:t>年</w:t>
      </w:r>
      <w:r>
        <w:rPr>
          <w:rFonts w:hint="eastAsia" w:ascii="Times New Roman" w:hAnsi="Times New Roman" w:eastAsia="宋体" w:cs="Times New Roman"/>
          <w:color w:val="0000FF"/>
          <w:sz w:val="24"/>
          <w:lang w:val="en-US" w:eastAsia="zh-CN"/>
        </w:rPr>
        <w:t>1</w:t>
      </w:r>
      <w:r>
        <w:rPr>
          <w:rFonts w:hint="eastAsia" w:ascii="Times New Roman" w:hAnsi="Times New Roman" w:eastAsia="宋体" w:cs="Times New Roman"/>
          <w:color w:val="0000FF"/>
          <w:sz w:val="24"/>
        </w:rPr>
        <w:t>月</w:t>
      </w:r>
      <w:r>
        <w:rPr>
          <w:rFonts w:hint="eastAsia" w:ascii="Times New Roman" w:hAnsi="Times New Roman" w:eastAsia="宋体" w:cs="Times New Roman"/>
          <w:color w:val="0000FF"/>
          <w:sz w:val="24"/>
          <w:lang w:val="en-US" w:eastAsia="zh-CN"/>
        </w:rPr>
        <w:t>2</w:t>
      </w:r>
      <w:r>
        <w:rPr>
          <w:rFonts w:hint="eastAsia" w:ascii="Times New Roman" w:hAnsi="Times New Roman" w:eastAsia="宋体" w:cs="Times New Roman"/>
          <w:color w:val="0000FF"/>
          <w:sz w:val="24"/>
        </w:rPr>
        <w:t>日至</w:t>
      </w:r>
      <w:r>
        <w:rPr>
          <w:rFonts w:hint="eastAsia" w:ascii="Times New Roman" w:hAnsi="Times New Roman" w:eastAsia="宋体" w:cs="Times New Roman"/>
          <w:color w:val="0000FF"/>
          <w:sz w:val="24"/>
          <w:lang w:val="en-US" w:eastAsia="zh-CN"/>
        </w:rPr>
        <w:t>1</w:t>
      </w:r>
      <w:r>
        <w:rPr>
          <w:rFonts w:hint="eastAsia" w:ascii="Times New Roman" w:hAnsi="Times New Roman" w:eastAsia="宋体" w:cs="Times New Roman"/>
          <w:color w:val="0000FF"/>
          <w:sz w:val="24"/>
        </w:rPr>
        <w:t>月</w:t>
      </w:r>
      <w:r>
        <w:rPr>
          <w:rFonts w:hint="eastAsia" w:ascii="Times New Roman" w:hAnsi="Times New Roman" w:eastAsia="宋体" w:cs="Times New Roman"/>
          <w:color w:val="0000FF"/>
          <w:sz w:val="24"/>
          <w:lang w:val="en-US" w:eastAsia="zh-CN"/>
        </w:rPr>
        <w:t>8</w:t>
      </w:r>
      <w:r>
        <w:rPr>
          <w:rFonts w:hint="eastAsia" w:ascii="Times New Roman" w:hAnsi="Times New Roman" w:eastAsia="宋体" w:cs="Times New Roman"/>
          <w:color w:val="0000FF"/>
          <w:sz w:val="24"/>
        </w:rPr>
        <w:t>日对项目区进行监测，作为本次环评大气环境现状的评价依据。</w:t>
      </w:r>
    </w:p>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1</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监测点位</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根据《环境影响评价技术导则 大气环境》（HJ 2.2-2018），考虑评价区域地形情况，兼顾主导风向的原则，设置了2个现状监测点，分别为厂区</w:t>
      </w:r>
      <w:r>
        <w:rPr>
          <w:rFonts w:hint="eastAsia" w:ascii="Times New Roman" w:hAnsi="Times New Roman" w:eastAsia="宋体" w:cs="Times New Roman"/>
          <w:color w:val="0000FF"/>
          <w:sz w:val="24"/>
          <w:lang w:val="en-US" w:eastAsia="zh-CN"/>
        </w:rPr>
        <w:t>上风向</w:t>
      </w:r>
      <w:r>
        <w:rPr>
          <w:rFonts w:hint="default" w:ascii="Times New Roman" w:hAnsi="Times New Roman" w:eastAsia="宋体" w:cs="Times New Roman"/>
          <w:color w:val="0000FF"/>
          <w:sz w:val="24"/>
        </w:rPr>
        <w:t>及下风向</w:t>
      </w:r>
      <w:r>
        <w:rPr>
          <w:rFonts w:hint="eastAsia" w:ascii="Times New Roman" w:hAnsi="Times New Roman" w:eastAsia="宋体" w:cs="Times New Roman"/>
          <w:color w:val="0000FF"/>
          <w:sz w:val="24"/>
          <w:lang w:val="en-US" w:eastAsia="zh-CN"/>
        </w:rPr>
        <w:t>区域</w:t>
      </w:r>
      <w:r>
        <w:rPr>
          <w:rFonts w:hint="default" w:ascii="Times New Roman" w:hAnsi="Times New Roman" w:eastAsia="宋体" w:cs="Times New Roman"/>
          <w:color w:val="0000FF"/>
          <w:sz w:val="24"/>
        </w:rPr>
        <w:t>。</w:t>
      </w:r>
    </w:p>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2</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监测因子</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其他污染物：</w:t>
      </w:r>
      <w:r>
        <w:rPr>
          <w:rFonts w:hint="eastAsia" w:ascii="Times New Roman" w:hAnsi="Times New Roman" w:eastAsia="宋体" w:cs="Times New Roman"/>
          <w:color w:val="0000FF"/>
          <w:sz w:val="24"/>
        </w:rPr>
        <w:t>氨、硫化氢、</w:t>
      </w:r>
      <w:r>
        <w:rPr>
          <w:rFonts w:hint="eastAsia" w:ascii="Times New Roman" w:hAnsi="Times New Roman" w:eastAsia="宋体" w:cs="Times New Roman"/>
          <w:color w:val="0000FF"/>
          <w:sz w:val="24"/>
          <w:lang w:val="en-US" w:eastAsia="zh-CN"/>
        </w:rPr>
        <w:t>共2个监测因子</w:t>
      </w:r>
      <w:r>
        <w:rPr>
          <w:rFonts w:hint="default" w:ascii="Times New Roman" w:hAnsi="Times New Roman" w:eastAsia="宋体" w:cs="Times New Roman"/>
          <w:color w:val="0000FF"/>
          <w:sz w:val="24"/>
        </w:rPr>
        <w:t>。</w:t>
      </w:r>
    </w:p>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3</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监测频次</w:t>
      </w:r>
    </w:p>
    <w:p>
      <w:pPr>
        <w:spacing w:line="360" w:lineRule="auto"/>
        <w:ind w:firstLine="480" w:firstLineChars="200"/>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rPr>
        <w:t>采</w:t>
      </w:r>
      <w:r>
        <w:rPr>
          <w:rFonts w:hint="default" w:ascii="Times New Roman" w:hAnsi="Times New Roman" w:eastAsia="宋体" w:cs="Times New Roman"/>
          <w:color w:val="0000FF"/>
          <w:sz w:val="24"/>
          <w:lang w:eastAsia="zh-CN"/>
        </w:rPr>
        <w:t>样频次按《环境监测技术规范》（大气部分）执行</w:t>
      </w: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连续监测7天，每天采样4次</w:t>
      </w:r>
      <w:r>
        <w:rPr>
          <w:rFonts w:hint="default" w:ascii="Times New Roman" w:hAnsi="Times New Roman" w:eastAsia="宋体" w:cs="Times New Roman"/>
          <w:color w:val="0000FF"/>
          <w:sz w:val="24"/>
          <w:lang w:eastAsia="zh-CN"/>
        </w:rPr>
        <w:t>。</w:t>
      </w:r>
    </w:p>
    <w:p>
      <w:pPr>
        <w:spacing w:line="360" w:lineRule="auto"/>
        <w:ind w:firstLine="480" w:firstLineChars="200"/>
        <w:rPr>
          <w:rFonts w:hint="default" w:ascii="Times New Roman" w:hAnsi="Times New Roman" w:eastAsia="宋体" w:cs="Times New Roman"/>
          <w:color w:val="0000FF"/>
          <w:sz w:val="24"/>
          <w:lang w:eastAsia="zh-CN"/>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4</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lang w:eastAsia="zh-CN"/>
        </w:rPr>
        <w:t>评价标准</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氨、硫化氢</w:t>
      </w:r>
      <w:r>
        <w:rPr>
          <w:rFonts w:hint="eastAsia" w:ascii="Times New Roman" w:hAnsi="Times New Roman" w:eastAsia="宋体" w:cs="Times New Roman"/>
          <w:color w:val="0000FF"/>
          <w:sz w:val="24"/>
          <w:lang w:eastAsia="zh-CN"/>
        </w:rPr>
        <w:t>执行《环</w:t>
      </w:r>
      <w:r>
        <w:rPr>
          <w:rFonts w:hint="eastAsia" w:ascii="Times New Roman" w:hAnsi="Times New Roman" w:eastAsia="宋体" w:cs="Times New Roman"/>
          <w:color w:val="0000FF"/>
          <w:sz w:val="24"/>
          <w:lang w:val="en-US" w:eastAsia="zh-CN"/>
        </w:rPr>
        <w:t>境影响评价技术导则大气环境》（HJ2.2-2018）附录D中其他污染物空气质量浓度参考限值。</w:t>
      </w:r>
    </w:p>
    <w:p>
      <w:pPr>
        <w:ind w:firstLine="422"/>
        <w:jc w:val="center"/>
        <w:rPr>
          <w:rFonts w:hint="eastAsia" w:ascii="宋体" w:hAnsi="宋体"/>
          <w:b/>
          <w:color w:val="0000FF"/>
          <w:sz w:val="21"/>
          <w:szCs w:val="21"/>
        </w:rPr>
      </w:pPr>
      <w:r>
        <w:rPr>
          <w:rFonts w:hint="eastAsia" w:ascii="宋体" w:hAnsi="宋体"/>
          <w:b/>
          <w:color w:val="0000FF"/>
          <w:sz w:val="21"/>
          <w:szCs w:val="21"/>
        </w:rPr>
        <w:t>表4</w:t>
      </w:r>
      <w:r>
        <w:rPr>
          <w:rFonts w:hint="eastAsia" w:ascii="宋体" w:hAnsi="宋体"/>
          <w:b/>
          <w:color w:val="0000FF"/>
          <w:sz w:val="21"/>
          <w:szCs w:val="21"/>
          <w:lang w:val="en-US" w:eastAsia="zh-CN"/>
        </w:rPr>
        <w:t>.2</w:t>
      </w:r>
      <w:r>
        <w:rPr>
          <w:rFonts w:hint="eastAsia" w:ascii="宋体" w:hAnsi="宋体"/>
          <w:b/>
          <w:color w:val="0000FF"/>
          <w:sz w:val="21"/>
          <w:szCs w:val="21"/>
        </w:rPr>
        <w:t>-</w:t>
      </w:r>
      <w:r>
        <w:rPr>
          <w:rFonts w:hint="eastAsia" w:ascii="宋体" w:hAnsi="宋体"/>
          <w:b/>
          <w:color w:val="0000FF"/>
          <w:sz w:val="21"/>
          <w:szCs w:val="21"/>
          <w:lang w:val="en-US" w:eastAsia="zh-CN"/>
        </w:rPr>
        <w:t xml:space="preserve">2  </w:t>
      </w:r>
      <w:r>
        <w:rPr>
          <w:rFonts w:hint="eastAsia" w:ascii="宋体" w:hAnsi="宋体"/>
          <w:b/>
          <w:color w:val="0000FF"/>
          <w:sz w:val="21"/>
          <w:szCs w:val="21"/>
        </w:rPr>
        <w:t>环境空气质量标准</w:t>
      </w:r>
    </w:p>
    <w:tbl>
      <w:tblPr>
        <w:tblStyle w:val="15"/>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740"/>
        <w:gridCol w:w="1740"/>
        <w:gridCol w:w="4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序号</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污染物</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标准值</w:t>
            </w:r>
          </w:p>
        </w:tc>
        <w:tc>
          <w:tcPr>
            <w:tcW w:w="4215"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1</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硫化氢</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10</w:t>
            </w:r>
            <w:r>
              <w:rPr>
                <w:rFonts w:hint="eastAsia" w:ascii="宋体" w:hAnsi="宋体"/>
                <w:color w:val="0000FF"/>
                <w:sz w:val="21"/>
                <w:szCs w:val="21"/>
                <w:lang w:val="en-US" w:eastAsia="zh-CN"/>
              </w:rPr>
              <w:t xml:space="preserve"> </w:t>
            </w:r>
            <w:r>
              <w:rPr>
                <w:rFonts w:hint="default" w:ascii="Times New Roman" w:hAnsi="Times New Roman" w:eastAsia="宋体" w:cs="Times New Roman"/>
                <w:color w:val="0000FF"/>
                <w:sz w:val="21"/>
                <w:szCs w:val="21"/>
              </w:rPr>
              <w:t>μg/m</w:t>
            </w:r>
            <w:r>
              <w:rPr>
                <w:rFonts w:hint="default" w:ascii="Times New Roman" w:hAnsi="Times New Roman" w:eastAsia="宋体" w:cs="Times New Roman"/>
                <w:color w:val="0000FF"/>
                <w:sz w:val="21"/>
                <w:szCs w:val="21"/>
                <w:vertAlign w:val="superscript"/>
              </w:rPr>
              <w:t>3</w:t>
            </w:r>
          </w:p>
        </w:tc>
        <w:tc>
          <w:tcPr>
            <w:tcW w:w="4215" w:type="dxa"/>
            <w:vMerge w:val="restart"/>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《环境影响评价技术导则大气环境》（HJ/T2.2-2018）附录D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2</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氨气</w:t>
            </w:r>
          </w:p>
        </w:tc>
        <w:tc>
          <w:tcPr>
            <w:tcW w:w="1740" w:type="dxa"/>
            <w:noWrap w:val="0"/>
            <w:vAlign w:val="center"/>
          </w:tcPr>
          <w:p>
            <w:pPr>
              <w:spacing w:line="240" w:lineRule="auto"/>
              <w:ind w:firstLine="0" w:firstLineChars="0"/>
              <w:jc w:val="center"/>
              <w:rPr>
                <w:rFonts w:hint="eastAsia" w:ascii="宋体" w:hAnsi="宋体"/>
                <w:color w:val="0000FF"/>
                <w:sz w:val="21"/>
                <w:szCs w:val="21"/>
              </w:rPr>
            </w:pPr>
            <w:r>
              <w:rPr>
                <w:rFonts w:hint="eastAsia" w:ascii="宋体" w:hAnsi="宋体"/>
                <w:color w:val="0000FF"/>
                <w:sz w:val="21"/>
                <w:szCs w:val="21"/>
              </w:rPr>
              <w:t>200</w:t>
            </w:r>
            <w:r>
              <w:rPr>
                <w:rFonts w:hint="eastAsia" w:ascii="宋体" w:hAnsi="宋体"/>
                <w:color w:val="0000FF"/>
                <w:sz w:val="21"/>
                <w:szCs w:val="21"/>
                <w:lang w:val="en-US" w:eastAsia="zh-CN"/>
              </w:rPr>
              <w:t xml:space="preserve"> </w:t>
            </w:r>
            <w:r>
              <w:rPr>
                <w:rFonts w:hint="default" w:ascii="Times New Roman" w:hAnsi="Times New Roman" w:eastAsia="宋体" w:cs="Times New Roman"/>
                <w:color w:val="0000FF"/>
                <w:sz w:val="21"/>
                <w:szCs w:val="21"/>
              </w:rPr>
              <w:t>μg/m</w:t>
            </w:r>
            <w:r>
              <w:rPr>
                <w:rFonts w:hint="default" w:ascii="Times New Roman" w:hAnsi="Times New Roman" w:eastAsia="宋体" w:cs="Times New Roman"/>
                <w:color w:val="0000FF"/>
                <w:sz w:val="21"/>
                <w:szCs w:val="21"/>
                <w:vertAlign w:val="superscript"/>
              </w:rPr>
              <w:t>3</w:t>
            </w:r>
          </w:p>
        </w:tc>
        <w:tc>
          <w:tcPr>
            <w:tcW w:w="4215" w:type="dxa"/>
            <w:vMerge w:val="continue"/>
            <w:noWrap w:val="0"/>
            <w:vAlign w:val="center"/>
          </w:tcPr>
          <w:p>
            <w:pPr>
              <w:spacing w:line="240" w:lineRule="auto"/>
              <w:ind w:firstLine="0" w:firstLineChars="0"/>
              <w:jc w:val="center"/>
              <w:rPr>
                <w:rFonts w:hint="eastAsia" w:ascii="宋体" w:hAnsi="宋体"/>
                <w:color w:val="0000FF"/>
                <w:sz w:val="21"/>
                <w:szCs w:val="21"/>
              </w:rPr>
            </w:pPr>
          </w:p>
        </w:tc>
      </w:tr>
    </w:tbl>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5</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评价方法</w:t>
      </w:r>
    </w:p>
    <w:p>
      <w:pPr>
        <w:spacing w:line="360" w:lineRule="auto"/>
        <w:ind w:firstLine="480" w:firstLineChars="200"/>
        <w:rPr>
          <w:rFonts w:hint="default" w:ascii="Times New Roman" w:hAnsi="Times New Roman" w:eastAsia="宋体" w:cs="Times New Roman"/>
          <w:color w:val="0000FF"/>
          <w:sz w:val="24"/>
          <w:lang w:val="en-US"/>
        </w:rPr>
      </w:pPr>
      <w:r>
        <w:rPr>
          <w:rFonts w:hint="default" w:ascii="Times New Roman" w:hAnsi="Times New Roman" w:eastAsia="宋体" w:cs="Times New Roman"/>
          <w:color w:val="0000FF"/>
          <w:sz w:val="24"/>
        </w:rPr>
        <w:t>采用单因子污染指数法进行评价，其评价模式</w:t>
      </w:r>
      <w:r>
        <w:rPr>
          <w:rFonts w:hint="eastAsia" w:ascii="Times New Roman" w:hAnsi="Times New Roman" w:eastAsia="宋体" w:cs="Times New Roman"/>
          <w:color w:val="0000FF"/>
          <w:sz w:val="24"/>
          <w:lang w:val="en-US" w:eastAsia="zh-CN"/>
        </w:rPr>
        <w:t>、计算公式与常规空气因子达标判定部分相同。</w:t>
      </w:r>
    </w:p>
    <w:p>
      <w:pPr>
        <w:spacing w:line="360" w:lineRule="auto"/>
        <w:ind w:firstLine="360" w:firstLineChars="15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6</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监测结果与分析</w:t>
      </w:r>
    </w:p>
    <w:p>
      <w:pPr>
        <w:spacing w:line="360" w:lineRule="auto"/>
        <w:ind w:firstLine="360" w:firstLineChars="15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环境空气监测结果见表4.2-</w:t>
      </w:r>
      <w:r>
        <w:rPr>
          <w:rFonts w:hint="eastAsia" w:ascii="Times New Roman" w:hAnsi="Times New Roman" w:eastAsia="宋体" w:cs="Times New Roman"/>
          <w:color w:val="0000FF"/>
          <w:sz w:val="24"/>
          <w:lang w:val="en-US" w:eastAsia="zh-CN"/>
        </w:rPr>
        <w:t>3</w:t>
      </w:r>
      <w:r>
        <w:rPr>
          <w:rFonts w:hint="default" w:ascii="Times New Roman" w:hAnsi="Times New Roman" w:eastAsia="宋体" w:cs="Times New Roman"/>
          <w:color w:val="0000FF"/>
          <w:sz w:val="24"/>
        </w:rPr>
        <w:t>。</w:t>
      </w:r>
    </w:p>
    <w:p>
      <w:pPr>
        <w:spacing w:line="360" w:lineRule="auto"/>
        <w:ind w:firstLine="1546" w:firstLineChars="700"/>
        <w:jc w:val="both"/>
        <w:rPr>
          <w:rFonts w:hint="default" w:ascii="Times New Roman" w:hAnsi="Times New Roman" w:eastAsia="宋体" w:cs="Times New Roman"/>
          <w:b/>
          <w:bCs/>
          <w:color w:val="0000FF"/>
        </w:rPr>
      </w:pPr>
      <w:r>
        <w:rPr>
          <w:rFonts w:hint="default" w:ascii="Times New Roman" w:hAnsi="Times New Roman" w:eastAsia="宋体" w:cs="Times New Roman"/>
          <w:b/>
          <w:bCs/>
          <w:color w:val="0000FF"/>
        </w:rPr>
        <w:t>表4.2-</w:t>
      </w:r>
      <w:r>
        <w:rPr>
          <w:rFonts w:hint="eastAsia" w:ascii="Times New Roman" w:hAnsi="Times New Roman" w:eastAsia="宋体" w:cs="Times New Roman"/>
          <w:b/>
          <w:bCs/>
          <w:color w:val="0000FF"/>
          <w:lang w:val="en-US" w:eastAsia="zh-CN"/>
        </w:rPr>
        <w:t>3</w:t>
      </w:r>
      <w:r>
        <w:rPr>
          <w:rFonts w:hint="default" w:ascii="Times New Roman" w:hAnsi="Times New Roman" w:eastAsia="宋体" w:cs="Times New Roman"/>
          <w:b/>
          <w:bCs/>
          <w:color w:val="0000FF"/>
        </w:rPr>
        <w:t xml:space="preserve">      </w:t>
      </w:r>
      <w:r>
        <w:rPr>
          <w:rFonts w:hint="eastAsia" w:ascii="Times New Roman" w:hAnsi="Times New Roman" w:eastAsia="宋体" w:cs="Times New Roman"/>
          <w:b/>
          <w:bCs/>
          <w:color w:val="0000FF"/>
          <w:lang w:val="en-US" w:eastAsia="zh-CN"/>
        </w:rPr>
        <w:t xml:space="preserve">   </w:t>
      </w:r>
      <w:r>
        <w:rPr>
          <w:rFonts w:hint="default" w:ascii="Times New Roman" w:hAnsi="Times New Roman" w:eastAsia="宋体" w:cs="Times New Roman"/>
          <w:b/>
          <w:bCs/>
          <w:color w:val="0000FF"/>
        </w:rPr>
        <w:t xml:space="preserve">  </w:t>
      </w:r>
      <w:r>
        <w:rPr>
          <w:rFonts w:hint="eastAsia" w:ascii="Times New Roman" w:hAnsi="Times New Roman" w:eastAsia="宋体" w:cs="Times New Roman"/>
          <w:b/>
          <w:bCs/>
          <w:color w:val="0000FF"/>
          <w:lang w:val="en-US" w:eastAsia="zh-CN"/>
        </w:rPr>
        <w:t>特征空气因子</w:t>
      </w:r>
      <w:r>
        <w:rPr>
          <w:rFonts w:hint="default" w:ascii="Times New Roman" w:hAnsi="Times New Roman" w:eastAsia="宋体" w:cs="Times New Roman"/>
          <w:b/>
          <w:bCs/>
          <w:color w:val="0000FF"/>
        </w:rPr>
        <w:t xml:space="preserve">监测及评价结果 </w:t>
      </w:r>
    </w:p>
    <w:tbl>
      <w:tblPr>
        <w:tblStyle w:val="15"/>
        <w:tblW w:w="9337" w:type="dxa"/>
        <w:tblInd w:w="0" w:type="dxa"/>
        <w:tblLayout w:type="autofit"/>
        <w:tblCellMar>
          <w:top w:w="0" w:type="dxa"/>
          <w:left w:w="0" w:type="dxa"/>
          <w:bottom w:w="0" w:type="dxa"/>
          <w:right w:w="0" w:type="dxa"/>
        </w:tblCellMar>
      </w:tblPr>
      <w:tblGrid>
        <w:gridCol w:w="1619"/>
        <w:gridCol w:w="1637"/>
        <w:gridCol w:w="2069"/>
        <w:gridCol w:w="1421"/>
        <w:gridCol w:w="1295"/>
        <w:gridCol w:w="1296"/>
      </w:tblGrid>
      <w:tr>
        <w:tblPrEx>
          <w:tblCellMar>
            <w:top w:w="0" w:type="dxa"/>
            <w:left w:w="0" w:type="dxa"/>
            <w:bottom w:w="0" w:type="dxa"/>
            <w:right w:w="0" w:type="dxa"/>
          </w:tblCellMar>
        </w:tblPrEx>
        <w:trPr>
          <w:trHeight w:val="297" w:hRule="atLeast"/>
        </w:trPr>
        <w:tc>
          <w:tcPr>
            <w:tcW w:w="16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采样地点</w:t>
            </w: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采样日期</w:t>
            </w:r>
          </w:p>
        </w:tc>
        <w:tc>
          <w:tcPr>
            <w:tcW w:w="206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样品编号</w:t>
            </w:r>
          </w:p>
        </w:tc>
        <w:tc>
          <w:tcPr>
            <w:tcW w:w="14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采样频次</w:t>
            </w:r>
          </w:p>
        </w:tc>
        <w:tc>
          <w:tcPr>
            <w:tcW w:w="25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检测项目（mg/m3）</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206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4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2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硫化氢</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氨</w:t>
            </w:r>
          </w:p>
        </w:tc>
      </w:tr>
      <w:tr>
        <w:tblPrEx>
          <w:tblCellMar>
            <w:top w:w="0" w:type="dxa"/>
            <w:left w:w="0" w:type="dxa"/>
            <w:bottom w:w="0" w:type="dxa"/>
            <w:right w:w="0" w:type="dxa"/>
          </w:tblCellMar>
        </w:tblPrEx>
        <w:trPr>
          <w:trHeight w:val="404" w:hRule="atLeast"/>
        </w:trPr>
        <w:tc>
          <w:tcPr>
            <w:tcW w:w="16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W1:项目区上风向（主导风向）：北风</w:t>
            </w: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1月2日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2020001I-W1-1-1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r>
      <w:tr>
        <w:tblPrEx>
          <w:tblCellMar>
            <w:top w:w="0" w:type="dxa"/>
            <w:left w:w="0" w:type="dxa"/>
            <w:bottom w:w="0" w:type="dxa"/>
            <w:right w:w="0" w:type="dxa"/>
          </w:tblCellMar>
        </w:tblPrEx>
        <w:trPr>
          <w:trHeight w:val="305"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2020001I-W1-1-2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2020001I-W1-1-3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0.07</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2020001I-W1-1-4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1月3日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2020001I-W1-2-1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2020001I-W1-2-2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2020001I-W1-2-3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2020001I-W1-2-4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0.07</w:t>
            </w:r>
          </w:p>
        </w:tc>
      </w:tr>
      <w:tr>
        <w:tblPrEx>
          <w:tblCellMar>
            <w:top w:w="0" w:type="dxa"/>
            <w:left w:w="0" w:type="dxa"/>
            <w:bottom w:w="0" w:type="dxa"/>
            <w:right w:w="0" w:type="dxa"/>
          </w:tblCellMar>
        </w:tblPrEx>
        <w:trPr>
          <w:trHeight w:val="384"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1月4日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2020001I-W1-3-1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324"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2020001I-W1-3-2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r>
      <w:tr>
        <w:tblPrEx>
          <w:tblCellMar>
            <w:top w:w="0" w:type="dxa"/>
            <w:left w:w="0" w:type="dxa"/>
            <w:bottom w:w="0" w:type="dxa"/>
            <w:right w:w="0" w:type="dxa"/>
          </w:tblCellMar>
        </w:tblPrEx>
        <w:trPr>
          <w:trHeight w:val="324"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2020001I-W1-3-3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0.07</w:t>
            </w:r>
          </w:p>
        </w:tc>
      </w:tr>
      <w:tr>
        <w:tblPrEx>
          <w:tblCellMar>
            <w:top w:w="0" w:type="dxa"/>
            <w:left w:w="0" w:type="dxa"/>
            <w:bottom w:w="0" w:type="dxa"/>
            <w:right w:w="0" w:type="dxa"/>
          </w:tblCellMar>
        </w:tblPrEx>
        <w:trPr>
          <w:trHeight w:val="324"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2020001I-W1-3-4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1月5日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2020001I-W1-4-1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2020001I-W1-4-2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2020001I-W1-4-3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2020001I-W1-4-4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1月6日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2020001I-W1-5-1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0.07</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2020001I-W1-5-2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2020001I-W1-5-3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2020001I-W1-5-4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1月7日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2020001I-W1-6-1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2020001I-W1-6-2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2020001I-W1-6-3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0.07</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2020001I-W1-6-4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1月8日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2020001I-W1-7-1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0.07</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2020001I-W1-7-2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2020001I-W1-7-3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0.07</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2020001I-W1-7-4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0.06</w:t>
            </w:r>
          </w:p>
        </w:tc>
      </w:tr>
      <w:tr>
        <w:tblPrEx>
          <w:tblCellMar>
            <w:top w:w="0" w:type="dxa"/>
            <w:left w:w="0" w:type="dxa"/>
            <w:bottom w:w="0" w:type="dxa"/>
            <w:right w:w="0" w:type="dxa"/>
          </w:tblCellMar>
        </w:tblPrEx>
        <w:trPr>
          <w:trHeight w:val="297" w:hRule="atLeast"/>
        </w:trPr>
        <w:tc>
          <w:tcPr>
            <w:tcW w:w="16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W2:项目区下风向（主导风向）：北风</w:t>
            </w: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1月2日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2020001I-W2-1-1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 xml:space="preserve">0.10 </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2020001I-W2-1-2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2020001I-W2-1-3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0.12</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2020001I-W2-1-4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0.09</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1月3日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2020001I-W2-2-1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0.09</w:t>
            </w:r>
          </w:p>
        </w:tc>
      </w:tr>
      <w:tr>
        <w:tblPrEx>
          <w:tblCellMar>
            <w:top w:w="0" w:type="dxa"/>
            <w:left w:w="0" w:type="dxa"/>
            <w:bottom w:w="0" w:type="dxa"/>
            <w:right w:w="0" w:type="dxa"/>
          </w:tblCellMar>
        </w:tblPrEx>
        <w:trPr>
          <w:trHeight w:val="324"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2020001I-W2-2-2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w:t>
            </w:r>
          </w:p>
        </w:tc>
      </w:tr>
      <w:tr>
        <w:tblPrEx>
          <w:tblCellMar>
            <w:top w:w="0" w:type="dxa"/>
            <w:left w:w="0" w:type="dxa"/>
            <w:bottom w:w="0" w:type="dxa"/>
            <w:right w:w="0" w:type="dxa"/>
          </w:tblCellMar>
        </w:tblPrEx>
        <w:trPr>
          <w:trHeight w:val="305"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2020001I-W2-2-3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0.09</w:t>
            </w:r>
          </w:p>
        </w:tc>
      </w:tr>
      <w:tr>
        <w:tblPrEx>
          <w:tblCellMar>
            <w:top w:w="0" w:type="dxa"/>
            <w:left w:w="0" w:type="dxa"/>
            <w:bottom w:w="0" w:type="dxa"/>
            <w:right w:w="0" w:type="dxa"/>
          </w:tblCellMar>
        </w:tblPrEx>
        <w:trPr>
          <w:trHeight w:val="344"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2020001I-W2-2-4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0.11</w:t>
            </w:r>
          </w:p>
        </w:tc>
      </w:tr>
      <w:tr>
        <w:tblPrEx>
          <w:tblCellMar>
            <w:top w:w="0" w:type="dxa"/>
            <w:left w:w="0" w:type="dxa"/>
            <w:bottom w:w="0" w:type="dxa"/>
            <w:right w:w="0" w:type="dxa"/>
          </w:tblCellMar>
        </w:tblPrEx>
        <w:trPr>
          <w:trHeight w:val="324"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1月4日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2020001I-W2-3-1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w:t>
            </w:r>
          </w:p>
        </w:tc>
      </w:tr>
      <w:tr>
        <w:tblPrEx>
          <w:tblCellMar>
            <w:top w:w="0" w:type="dxa"/>
            <w:left w:w="0" w:type="dxa"/>
            <w:bottom w:w="0" w:type="dxa"/>
            <w:right w:w="0" w:type="dxa"/>
          </w:tblCellMar>
        </w:tblPrEx>
        <w:trPr>
          <w:trHeight w:val="324"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2020001I-W2-3-2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0.09</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2020001I-W2-3-3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0.12</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2020001I-W2-3-4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0.11</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1月5日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2020001I-W2-4-1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0.09</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2020001I-W2-4-2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 xml:space="preserve">0.10 </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2020001I-W2-4-3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 xml:space="preserve">0.10 </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2020001I-W2-4-4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0.11</w:t>
            </w:r>
          </w:p>
        </w:tc>
      </w:tr>
      <w:tr>
        <w:tblPrEx>
          <w:tblCellMar>
            <w:top w:w="0" w:type="dxa"/>
            <w:left w:w="0" w:type="dxa"/>
            <w:bottom w:w="0" w:type="dxa"/>
            <w:right w:w="0" w:type="dxa"/>
          </w:tblCellMar>
        </w:tblPrEx>
        <w:trPr>
          <w:trHeight w:val="344"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1月6日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2020001I-W2-5-1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0.11</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2020001I-W2-5-2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2020001I-W2-5-3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0.11</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2020001I-W2-5-4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0.09</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1月7日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2020001I-W2-6-1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0.09</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2020001I-W2-6-2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2020001I-W2-6-3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0.12</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2020001I-W2-6-4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1月8日</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2020001I-W2-7-1</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第1次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2020001I-W2-7-2</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第2次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0.09</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2020001I-W2-7-3</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第3次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0.11</w:t>
            </w:r>
          </w:p>
        </w:tc>
      </w:tr>
      <w:tr>
        <w:tblPrEx>
          <w:tblCellMar>
            <w:top w:w="0" w:type="dxa"/>
            <w:left w:w="0" w:type="dxa"/>
            <w:bottom w:w="0" w:type="dxa"/>
            <w:right w:w="0" w:type="dxa"/>
          </w:tblCellMar>
        </w:tblPrEx>
        <w:trPr>
          <w:trHeight w:val="297" w:hRule="atLeast"/>
        </w:trPr>
        <w:tc>
          <w:tcPr>
            <w:tcW w:w="16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FF"/>
                <w:sz w:val="21"/>
                <w:szCs w:val="21"/>
                <w:u w:val="none"/>
              </w:rPr>
            </w:pPr>
          </w:p>
        </w:tc>
        <w:tc>
          <w:tcPr>
            <w:tcW w:w="16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2020001I-W2-7-4</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第4次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w:t>
            </w:r>
          </w:p>
        </w:tc>
      </w:tr>
      <w:tr>
        <w:tblPrEx>
          <w:tblCellMar>
            <w:top w:w="0" w:type="dxa"/>
            <w:left w:w="0" w:type="dxa"/>
            <w:bottom w:w="0" w:type="dxa"/>
            <w:right w:w="0" w:type="dxa"/>
          </w:tblCellMar>
        </w:tblPrEx>
        <w:trPr>
          <w:trHeight w:val="384" w:hRule="atLeast"/>
        </w:trPr>
        <w:tc>
          <w:tcPr>
            <w:tcW w:w="6746"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七日监测浓度范围</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&lt;0.005</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FF"/>
                <w:sz w:val="22"/>
                <w:szCs w:val="22"/>
                <w:u w:val="none"/>
              </w:rPr>
            </w:pPr>
            <w:r>
              <w:rPr>
                <w:rFonts w:hint="eastAsia" w:ascii="宋体" w:hAnsi="宋体" w:eastAsia="宋体" w:cs="宋体"/>
                <w:i w:val="0"/>
                <w:color w:val="0000FF"/>
                <w:kern w:val="0"/>
                <w:sz w:val="22"/>
                <w:szCs w:val="22"/>
                <w:u w:val="none"/>
                <w:lang w:val="en-US" w:eastAsia="zh-CN" w:bidi="ar"/>
              </w:rPr>
              <w:t>0.05-0.12</w:t>
            </w:r>
          </w:p>
        </w:tc>
      </w:tr>
      <w:tr>
        <w:tblPrEx>
          <w:tblCellMar>
            <w:top w:w="0" w:type="dxa"/>
            <w:left w:w="0" w:type="dxa"/>
            <w:bottom w:w="0" w:type="dxa"/>
            <w:right w:w="0" w:type="dxa"/>
          </w:tblCellMar>
        </w:tblPrEx>
        <w:trPr>
          <w:trHeight w:val="310" w:hRule="atLeast"/>
        </w:trPr>
        <w:tc>
          <w:tcPr>
            <w:tcW w:w="6746"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环境标准</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2"/>
                <w:szCs w:val="22"/>
                <w:u w:val="none"/>
              </w:rPr>
            </w:pPr>
            <w:r>
              <w:rPr>
                <w:rFonts w:hint="eastAsia" w:ascii="宋体" w:hAnsi="宋体" w:eastAsia="宋体" w:cs="宋体"/>
                <w:i w:val="0"/>
                <w:color w:val="0000FF"/>
                <w:kern w:val="0"/>
                <w:sz w:val="22"/>
                <w:szCs w:val="22"/>
                <w:u w:val="none"/>
                <w:lang w:val="en-US" w:eastAsia="zh-CN" w:bidi="ar"/>
              </w:rPr>
              <w:t>0.01</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2"/>
                <w:szCs w:val="22"/>
                <w:u w:val="none"/>
              </w:rPr>
            </w:pPr>
            <w:r>
              <w:rPr>
                <w:rFonts w:hint="eastAsia" w:ascii="宋体" w:hAnsi="宋体" w:eastAsia="宋体" w:cs="宋体"/>
                <w:i w:val="0"/>
                <w:color w:val="0000FF"/>
                <w:kern w:val="0"/>
                <w:sz w:val="22"/>
                <w:szCs w:val="22"/>
                <w:u w:val="none"/>
                <w:lang w:val="en-US" w:eastAsia="zh-CN" w:bidi="ar"/>
              </w:rPr>
              <w:t>0.2</w:t>
            </w:r>
          </w:p>
        </w:tc>
      </w:tr>
      <w:tr>
        <w:tblPrEx>
          <w:tblCellMar>
            <w:top w:w="0" w:type="dxa"/>
            <w:left w:w="0" w:type="dxa"/>
            <w:bottom w:w="0" w:type="dxa"/>
            <w:right w:w="0" w:type="dxa"/>
          </w:tblCellMar>
        </w:tblPrEx>
        <w:trPr>
          <w:trHeight w:val="344" w:hRule="atLeast"/>
        </w:trPr>
        <w:tc>
          <w:tcPr>
            <w:tcW w:w="6746"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最大占标率（%）</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2"/>
                <w:szCs w:val="22"/>
                <w:u w:val="none"/>
              </w:rPr>
            </w:pPr>
            <w:r>
              <w:rPr>
                <w:rFonts w:hint="eastAsia" w:ascii="宋体" w:hAnsi="宋体" w:eastAsia="宋体" w:cs="宋体"/>
                <w:i w:val="0"/>
                <w:color w:val="0000FF"/>
                <w:kern w:val="0"/>
                <w:sz w:val="22"/>
                <w:szCs w:val="22"/>
                <w:u w:val="none"/>
                <w:lang w:val="en-US" w:eastAsia="zh-CN" w:bidi="ar"/>
              </w:rPr>
              <w:t>50</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2"/>
                <w:szCs w:val="22"/>
                <w:u w:val="none"/>
              </w:rPr>
            </w:pPr>
            <w:r>
              <w:rPr>
                <w:rFonts w:hint="eastAsia" w:ascii="宋体" w:hAnsi="宋体" w:eastAsia="宋体" w:cs="宋体"/>
                <w:i w:val="0"/>
                <w:color w:val="0000FF"/>
                <w:kern w:val="0"/>
                <w:sz w:val="22"/>
                <w:szCs w:val="22"/>
                <w:u w:val="none"/>
                <w:lang w:val="en-US" w:eastAsia="zh-CN" w:bidi="ar"/>
              </w:rPr>
              <w:t>60</w:t>
            </w:r>
          </w:p>
        </w:tc>
      </w:tr>
      <w:tr>
        <w:tblPrEx>
          <w:tblCellMar>
            <w:top w:w="0" w:type="dxa"/>
            <w:left w:w="0" w:type="dxa"/>
            <w:bottom w:w="0" w:type="dxa"/>
            <w:right w:w="0" w:type="dxa"/>
          </w:tblCellMar>
        </w:tblPrEx>
        <w:trPr>
          <w:trHeight w:val="384" w:hRule="atLeast"/>
        </w:trPr>
        <w:tc>
          <w:tcPr>
            <w:tcW w:w="6746"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最大超标率（%）</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2"/>
                <w:szCs w:val="22"/>
                <w:u w:val="none"/>
              </w:rPr>
            </w:pPr>
            <w:r>
              <w:rPr>
                <w:rFonts w:hint="eastAsia" w:ascii="宋体" w:hAnsi="宋体" w:eastAsia="宋体" w:cs="宋体"/>
                <w:i w:val="0"/>
                <w:color w:val="0000FF"/>
                <w:kern w:val="0"/>
                <w:sz w:val="22"/>
                <w:szCs w:val="22"/>
                <w:u w:val="none"/>
                <w:lang w:val="en-US" w:eastAsia="zh-CN" w:bidi="ar"/>
              </w:rPr>
              <w:t>0</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2"/>
                <w:szCs w:val="22"/>
                <w:u w:val="none"/>
              </w:rPr>
            </w:pPr>
            <w:r>
              <w:rPr>
                <w:rFonts w:hint="eastAsia" w:ascii="宋体" w:hAnsi="宋体" w:eastAsia="宋体" w:cs="宋体"/>
                <w:i w:val="0"/>
                <w:color w:val="0000FF"/>
                <w:kern w:val="0"/>
                <w:sz w:val="22"/>
                <w:szCs w:val="22"/>
                <w:u w:val="none"/>
                <w:lang w:val="en-US" w:eastAsia="zh-CN" w:bidi="ar"/>
              </w:rPr>
              <w:t>0</w:t>
            </w:r>
          </w:p>
        </w:tc>
      </w:tr>
      <w:tr>
        <w:tblPrEx>
          <w:tblCellMar>
            <w:top w:w="0" w:type="dxa"/>
            <w:left w:w="0" w:type="dxa"/>
            <w:bottom w:w="0" w:type="dxa"/>
            <w:right w:w="0" w:type="dxa"/>
          </w:tblCellMar>
        </w:tblPrEx>
        <w:trPr>
          <w:trHeight w:val="319" w:hRule="atLeast"/>
        </w:trPr>
        <w:tc>
          <w:tcPr>
            <w:tcW w:w="6746"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最大超标倍数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2"/>
                <w:szCs w:val="22"/>
                <w:u w:val="none"/>
              </w:rPr>
            </w:pPr>
            <w:r>
              <w:rPr>
                <w:rFonts w:hint="eastAsia" w:ascii="宋体" w:hAnsi="宋体" w:eastAsia="宋体" w:cs="宋体"/>
                <w:i w:val="0"/>
                <w:color w:val="0000FF"/>
                <w:kern w:val="0"/>
                <w:sz w:val="22"/>
                <w:szCs w:val="22"/>
                <w:u w:val="none"/>
                <w:lang w:val="en-US" w:eastAsia="zh-CN" w:bidi="ar"/>
              </w:rPr>
              <w:t>0</w:t>
            </w:r>
          </w:p>
        </w:tc>
        <w:tc>
          <w:tcPr>
            <w:tcW w:w="12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2"/>
                <w:szCs w:val="22"/>
                <w:u w:val="none"/>
              </w:rPr>
            </w:pPr>
            <w:r>
              <w:rPr>
                <w:rFonts w:hint="eastAsia" w:ascii="宋体" w:hAnsi="宋体" w:eastAsia="宋体" w:cs="宋体"/>
                <w:i w:val="0"/>
                <w:color w:val="0000FF"/>
                <w:kern w:val="0"/>
                <w:sz w:val="22"/>
                <w:szCs w:val="22"/>
                <w:u w:val="none"/>
                <w:lang w:val="en-US" w:eastAsia="zh-CN" w:bidi="ar"/>
              </w:rPr>
              <w:t>0</w:t>
            </w:r>
          </w:p>
        </w:tc>
      </w:tr>
    </w:tbl>
    <w:p>
      <w:pPr>
        <w:pStyle w:val="7"/>
        <w:spacing w:before="11"/>
        <w:ind w:left="0"/>
        <w:rPr>
          <w:b/>
          <w:sz w:val="4"/>
        </w:rPr>
      </w:pP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textAlignment w:val="auto"/>
        <w:rPr>
          <w:color w:val="0000FF"/>
        </w:rPr>
      </w:pPr>
      <w:bookmarkStart w:id="244" w:name="4.2.2 地下水环境质量现状监测与评价"/>
      <w:bookmarkEnd w:id="244"/>
      <w:bookmarkStart w:id="245" w:name="4.2.2 地下水环境质量现状监测与评价"/>
      <w:bookmarkEnd w:id="245"/>
      <w:r>
        <w:rPr>
          <w:rFonts w:hint="default"/>
          <w:color w:val="0000FF"/>
        </w:rPr>
        <w:t>由表4.2-3可以看出：</w:t>
      </w:r>
      <w:r>
        <w:rPr>
          <w:rFonts w:hint="eastAsia"/>
          <w:color w:val="0000FF"/>
          <w:lang w:val="en-US" w:eastAsia="zh-CN"/>
        </w:rPr>
        <w:t>氨、硫化氢</w:t>
      </w:r>
      <w:r>
        <w:rPr>
          <w:rFonts w:hint="default"/>
          <w:color w:val="0000FF"/>
        </w:rPr>
        <w:t>小时值满足《环境影响评价技术导则  大气环境》（HJ2.2-2018）附录D</w:t>
      </w:r>
      <w:r>
        <w:rPr>
          <w:rFonts w:hint="eastAsia"/>
          <w:color w:val="0000FF"/>
          <w:lang w:val="en-US" w:eastAsia="zh-CN"/>
        </w:rPr>
        <w:t>中相应的标准限值要求</w:t>
      </w:r>
      <w:r>
        <w:rPr>
          <w:rFonts w:hint="default"/>
          <w:color w:val="0000FF"/>
          <w:lang w:val="en-US" w:eastAsia="zh-CN"/>
        </w:rPr>
        <w:t>，</w:t>
      </w:r>
      <w:r>
        <w:rPr>
          <w:rFonts w:hint="eastAsia"/>
          <w:color w:val="0000FF"/>
          <w:lang w:val="en-US" w:eastAsia="zh-CN"/>
        </w:rPr>
        <w:t>结果</w:t>
      </w:r>
      <w:r>
        <w:rPr>
          <w:rFonts w:hint="default"/>
          <w:color w:val="0000FF"/>
        </w:rPr>
        <w:t>显示</w:t>
      </w:r>
      <w:r>
        <w:rPr>
          <w:rFonts w:hint="eastAsia"/>
          <w:color w:val="0000FF"/>
          <w:lang w:val="en-US" w:eastAsia="zh-CN"/>
        </w:rPr>
        <w:t>项目所在区域空气环境本底值中与本项目相关的</w:t>
      </w:r>
      <w:r>
        <w:rPr>
          <w:rFonts w:hint="default"/>
          <w:color w:val="0000FF"/>
        </w:rPr>
        <w:t>特征</w:t>
      </w:r>
      <w:r>
        <w:rPr>
          <w:rFonts w:hint="eastAsia"/>
          <w:color w:val="0000FF"/>
          <w:lang w:val="en-US" w:eastAsia="zh-CN"/>
        </w:rPr>
        <w:t>空气</w:t>
      </w:r>
      <w:r>
        <w:rPr>
          <w:rFonts w:hint="default"/>
          <w:color w:val="0000FF"/>
        </w:rPr>
        <w:t>污染物</w:t>
      </w:r>
      <w:r>
        <w:rPr>
          <w:rFonts w:hint="eastAsia"/>
          <w:color w:val="0000FF"/>
          <w:lang w:val="en-US" w:eastAsia="zh-CN"/>
        </w:rPr>
        <w:t>达标</w:t>
      </w:r>
      <w:r>
        <w:rPr>
          <w:rFonts w:hint="eastAsia"/>
          <w:color w:val="0000FF"/>
          <w:lang w:eastAsia="zh-CN"/>
        </w:rPr>
        <w:t>，</w:t>
      </w:r>
      <w:r>
        <w:rPr>
          <w:rFonts w:hint="eastAsia"/>
          <w:color w:val="0000FF"/>
          <w:lang w:val="en-US" w:eastAsia="zh-CN"/>
        </w:rPr>
        <w:t>空气环境本底值较好</w:t>
      </w:r>
      <w:r>
        <w:rPr>
          <w:rFonts w:hint="eastAsia"/>
          <w:color w:val="0000FF"/>
          <w:lang w:eastAsia="zh-CN"/>
        </w:rPr>
        <w:t>。</w:t>
      </w:r>
    </w:p>
    <w:p>
      <w:pPr>
        <w:pStyle w:val="5"/>
        <w:numPr>
          <w:ilvl w:val="2"/>
          <w:numId w:val="40"/>
        </w:numPr>
        <w:tabs>
          <w:tab w:val="left" w:pos="1241"/>
        </w:tabs>
        <w:spacing w:before="120" w:after="0" w:line="240" w:lineRule="auto"/>
        <w:ind w:left="1240" w:right="0" w:hanging="701"/>
        <w:jc w:val="left"/>
        <w:outlineLvl w:val="2"/>
      </w:pPr>
      <w:bookmarkStart w:id="246" w:name="_Toc19327"/>
      <w:r>
        <w:t>地下水环境质量现状监测与评价</w:t>
      </w:r>
      <w:bookmarkEnd w:id="246"/>
    </w:p>
    <w:p>
      <w:pPr>
        <w:spacing w:line="360" w:lineRule="auto"/>
        <w:ind w:firstLine="480" w:firstLineChars="200"/>
        <w:rPr>
          <w:rFonts w:hint="eastAsia"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项目废水排放与区域地表水体关联不大，对照《环境影响评价技术导则地表水环境》（</w:t>
      </w:r>
      <w:r>
        <w:rPr>
          <w:rFonts w:hint="default" w:ascii="Times New Roman" w:hAnsi="Times New Roman" w:eastAsia="宋体" w:cs="Times New Roman"/>
          <w:color w:val="0000FF"/>
          <w:sz w:val="24"/>
          <w:lang w:val="en-US" w:eastAsia="zh-CN"/>
        </w:rPr>
        <w:t>HJ 2.3-2018</w:t>
      </w:r>
      <w:r>
        <w:rPr>
          <w:rFonts w:hint="eastAsia" w:ascii="Times New Roman" w:hAnsi="Times New Roman" w:eastAsia="宋体" w:cs="Times New Roman"/>
          <w:color w:val="0000FF"/>
          <w:sz w:val="24"/>
          <w:lang w:val="en-US" w:eastAsia="zh-CN"/>
        </w:rPr>
        <w:t>）有关评价等级确定的规定，地表水环境评价工作等级为三级</w:t>
      </w:r>
      <w:r>
        <w:rPr>
          <w:rFonts w:hint="default" w:ascii="Times New Roman" w:hAnsi="Times New Roman" w:eastAsia="宋体" w:cs="Times New Roman"/>
          <w:color w:val="0000FF"/>
          <w:sz w:val="24"/>
          <w:lang w:val="en-US" w:eastAsia="zh-CN"/>
        </w:rPr>
        <w:t>B</w:t>
      </w:r>
      <w:r>
        <w:rPr>
          <w:rFonts w:hint="eastAsia" w:ascii="Times New Roman" w:hAnsi="Times New Roman" w:eastAsia="宋体" w:cs="Times New Roman"/>
          <w:color w:val="0000FF"/>
          <w:sz w:val="24"/>
          <w:lang w:val="en-US" w:eastAsia="zh-CN"/>
        </w:rPr>
        <w:t>，故本次评价不对区域地表水环境情况开展调查与评价。</w:t>
      </w:r>
    </w:p>
    <w:p>
      <w:pPr>
        <w:spacing w:line="360" w:lineRule="auto"/>
        <w:ind w:firstLine="480" w:firstLineChars="200"/>
        <w:rPr>
          <w:rFonts w:hint="default" w:ascii="Times New Roman" w:hAnsi="Times New Roman" w:eastAsia="宋体" w:cs="Times New Roman"/>
          <w:color w:val="FF0000"/>
          <w:sz w:val="24"/>
        </w:rPr>
      </w:pPr>
      <w:r>
        <w:rPr>
          <w:rFonts w:hint="eastAsia" w:ascii="Times New Roman" w:hAnsi="Times New Roman" w:eastAsia="宋体" w:cs="Times New Roman"/>
          <w:color w:val="0000FF"/>
          <w:sz w:val="24"/>
          <w:lang w:val="en-US" w:eastAsia="zh-CN"/>
        </w:rPr>
        <w:t>根据项目所在区域情况，主要对地下水质量开展现状评价，对照</w:t>
      </w:r>
      <w:r>
        <w:rPr>
          <w:rFonts w:hint="default" w:ascii="Times New Roman" w:hAnsi="Times New Roman" w:eastAsia="宋体" w:cs="Times New Roman"/>
          <w:color w:val="0000FF"/>
          <w:sz w:val="24"/>
        </w:rPr>
        <w:t>《环境影响评价技术导则 地下水环境》（HJ610-2016）</w:t>
      </w:r>
      <w:r>
        <w:rPr>
          <w:rFonts w:hint="eastAsia" w:ascii="Times New Roman" w:hAnsi="Times New Roman" w:eastAsia="宋体" w:cs="Times New Roman"/>
          <w:color w:val="0000FF"/>
          <w:sz w:val="24"/>
          <w:lang w:val="en-US" w:eastAsia="zh-CN"/>
        </w:rPr>
        <w:t>及其附表A，结合建设项目特征，项目地下水评价工作等级为三级。</w:t>
      </w:r>
      <w:r>
        <w:rPr>
          <w:rFonts w:hint="default" w:ascii="Times New Roman" w:hAnsi="Times New Roman" w:eastAsia="宋体" w:cs="Times New Roman"/>
          <w:color w:val="0000FF"/>
          <w:sz w:val="24"/>
        </w:rPr>
        <w:t>本次评价</w:t>
      </w:r>
      <w:r>
        <w:rPr>
          <w:rFonts w:hint="eastAsia" w:ascii="Times New Roman" w:hAnsi="Times New Roman" w:eastAsia="宋体" w:cs="Times New Roman"/>
          <w:color w:val="0000FF"/>
          <w:sz w:val="24"/>
          <w:lang w:val="en-US" w:eastAsia="zh-CN"/>
        </w:rPr>
        <w:t>委托新疆环疆绿源环保科技有限公司对项目所在区域</w:t>
      </w:r>
      <w:r>
        <w:rPr>
          <w:rFonts w:hint="default" w:ascii="Times New Roman" w:hAnsi="Times New Roman" w:eastAsia="宋体" w:cs="Times New Roman"/>
          <w:color w:val="0000FF"/>
          <w:sz w:val="24"/>
        </w:rPr>
        <w:t>地下水环境质量</w:t>
      </w:r>
      <w:r>
        <w:rPr>
          <w:rFonts w:hint="eastAsia" w:ascii="Times New Roman" w:hAnsi="Times New Roman" w:eastAsia="宋体" w:cs="Times New Roman"/>
          <w:color w:val="0000FF"/>
          <w:sz w:val="24"/>
          <w:lang w:val="en-US" w:eastAsia="zh-CN"/>
        </w:rPr>
        <w:t>开展</w:t>
      </w:r>
      <w:r>
        <w:rPr>
          <w:rFonts w:hint="default" w:ascii="Times New Roman" w:hAnsi="Times New Roman" w:eastAsia="宋体" w:cs="Times New Roman"/>
          <w:color w:val="0000FF"/>
          <w:sz w:val="24"/>
        </w:rPr>
        <w:t>监测</w:t>
      </w: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本次评价对检测数据进行分析进而对项目所在区域的地下水质量现状进行论述</w:t>
      </w:r>
      <w:r>
        <w:rPr>
          <w:rFonts w:hint="default" w:ascii="Times New Roman" w:hAnsi="Times New Roman" w:eastAsia="宋体" w:cs="Times New Roman"/>
          <w:color w:val="auto"/>
          <w:sz w:val="24"/>
        </w:rPr>
        <w:t>。</w:t>
      </w:r>
    </w:p>
    <w:p>
      <w:pPr>
        <w:numPr>
          <w:ilvl w:val="0"/>
          <w:numId w:val="42"/>
        </w:numPr>
        <w:spacing w:line="360" w:lineRule="auto"/>
        <w:ind w:firstLine="480" w:firstLineChars="200"/>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lang w:val="en-US" w:eastAsia="zh-CN"/>
        </w:rPr>
        <w:t>监测点布设</w:t>
      </w:r>
    </w:p>
    <w:p>
      <w:pPr>
        <w:numPr>
          <w:ilvl w:val="0"/>
          <w:numId w:val="0"/>
        </w:numPr>
        <w:spacing w:line="360" w:lineRule="auto"/>
        <w:ind w:firstLine="720" w:firstLineChars="3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地下水共设一个监测点</w:t>
      </w:r>
    </w:p>
    <w:p>
      <w:pPr>
        <w:spacing w:line="360" w:lineRule="auto"/>
        <w:ind w:firstLine="480" w:firstLineChars="200"/>
        <w:rPr>
          <w:rFonts w:hint="default" w:ascii="Times New Roman" w:hAnsi="Times New Roman" w:eastAsia="宋体" w:cs="Times New Roman"/>
          <w:color w:val="0000FF"/>
          <w:sz w:val="24"/>
        </w:rPr>
      </w:pPr>
      <w:bookmarkStart w:id="247" w:name="_Ref501143538"/>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2</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监测因子</w:t>
      </w:r>
    </w:p>
    <w:p>
      <w:pPr>
        <w:spacing w:line="360" w:lineRule="auto"/>
        <w:ind w:firstLine="480" w:firstLineChars="200"/>
        <w:rPr>
          <w:rFonts w:hint="eastAsia" w:ascii="Times New Roman" w:hAnsi="Times New Roman" w:eastAsia="宋体" w:cs="Times New Roman"/>
          <w:b w:val="0"/>
          <w:bCs w:val="0"/>
          <w:color w:val="0000FF"/>
          <w:sz w:val="24"/>
          <w:lang w:val="en-US" w:eastAsia="zh-CN"/>
        </w:rPr>
      </w:pPr>
      <w:r>
        <w:rPr>
          <w:rFonts w:hint="default" w:ascii="Times New Roman" w:hAnsi="Times New Roman" w:eastAsia="宋体" w:cs="Times New Roman"/>
          <w:b w:val="0"/>
          <w:bCs w:val="0"/>
          <w:color w:val="0000FF"/>
          <w:sz w:val="24"/>
        </w:rPr>
        <w:t>根据《环境影响评价技术导则 地下水环境》（HJ 610-2016）的要求，结合《环境影响评价技术导则 地表水环境》（HJ2.3-2018），考虑项目潜在污染特征因子，地下水现状监测因子选取以下</w:t>
      </w:r>
      <w:r>
        <w:rPr>
          <w:rFonts w:hint="eastAsia" w:ascii="Times New Roman" w:hAnsi="Times New Roman" w:eastAsia="宋体" w:cs="Times New Roman"/>
          <w:b w:val="0"/>
          <w:bCs w:val="0"/>
          <w:color w:val="0000FF"/>
          <w:sz w:val="24"/>
          <w:lang w:val="en-US" w:eastAsia="zh-CN"/>
        </w:rPr>
        <w:t>22</w:t>
      </w:r>
      <w:r>
        <w:rPr>
          <w:rFonts w:hint="default" w:ascii="Times New Roman" w:hAnsi="Times New Roman" w:eastAsia="宋体" w:cs="Times New Roman"/>
          <w:b w:val="0"/>
          <w:bCs w:val="0"/>
          <w:color w:val="0000FF"/>
          <w:sz w:val="24"/>
        </w:rPr>
        <w:t>项：</w:t>
      </w:r>
      <w:r>
        <w:rPr>
          <w:rFonts w:hint="eastAsia" w:ascii="Times New Roman" w:hAnsi="Times New Roman" w:eastAsia="宋体" w:cs="Times New Roman"/>
          <w:b w:val="0"/>
          <w:bCs w:val="0"/>
          <w:color w:val="0000FF"/>
          <w:sz w:val="24"/>
          <w:lang w:val="en-US" w:eastAsia="zh-CN"/>
        </w:rPr>
        <w:t>pH</w:t>
      </w:r>
      <w:r>
        <w:rPr>
          <w:rFonts w:hint="default" w:ascii="Times New Roman" w:hAnsi="Times New Roman" w:eastAsia="宋体" w:cs="Times New Roman"/>
          <w:b w:val="0"/>
          <w:bCs w:val="0"/>
          <w:color w:val="0000FF"/>
          <w:sz w:val="24"/>
        </w:rPr>
        <w:t>、</w:t>
      </w:r>
      <w:r>
        <w:rPr>
          <w:rFonts w:hint="eastAsia" w:ascii="Times New Roman" w:hAnsi="Times New Roman" w:eastAsia="宋体" w:cs="Times New Roman"/>
          <w:b w:val="0"/>
          <w:bCs w:val="0"/>
          <w:color w:val="0000FF"/>
          <w:sz w:val="24"/>
          <w:lang w:val="en-US" w:eastAsia="zh-CN"/>
        </w:rPr>
        <w:t>总硬度、高锰酸盐指数、氨氮、硫酸盐、氯化物、硝酸盐氮、氟化物、挥发酚、亚硝酸盐氮、氰化物、六价铬、硫化物、溶解性总固体、总大肠菌群、菌落总数、汞、砷、铅、镉、铁、钠。</w:t>
      </w:r>
    </w:p>
    <w:p>
      <w:pPr>
        <w:spacing w:line="360" w:lineRule="auto"/>
        <w:ind w:firstLine="480" w:firstLineChars="200"/>
        <w:rPr>
          <w:rFonts w:hint="default" w:ascii="Times New Roman" w:hAnsi="Times New Roman" w:eastAsia="宋体" w:cs="Times New Roman"/>
          <w:color w:val="0000FF"/>
          <w:sz w:val="24"/>
          <w:lang w:eastAsia="zh-CN"/>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3</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lang w:eastAsia="zh-CN"/>
        </w:rPr>
        <w:t>采样时间</w:t>
      </w:r>
    </w:p>
    <w:p>
      <w:pPr>
        <w:spacing w:line="360" w:lineRule="auto"/>
        <w:ind w:firstLine="480" w:firstLineChars="200"/>
        <w:rPr>
          <w:rFonts w:hint="default" w:ascii="Times New Roman" w:hAnsi="Times New Roman" w:eastAsia="宋体" w:cs="Times New Roman"/>
          <w:color w:val="0000FF"/>
          <w:sz w:val="24"/>
        </w:rPr>
      </w:pPr>
      <w:r>
        <w:rPr>
          <w:rFonts w:hint="eastAsia" w:ascii="Times New Roman" w:hAnsi="Times New Roman" w:eastAsia="宋体" w:cs="Times New Roman"/>
          <w:color w:val="0000FF"/>
          <w:sz w:val="24"/>
          <w:lang w:val="en-US" w:eastAsia="zh-CN"/>
        </w:rPr>
        <w:t>2020年1月8日-15日</w:t>
      </w:r>
      <w:r>
        <w:rPr>
          <w:rFonts w:hint="default" w:ascii="Times New Roman" w:hAnsi="Times New Roman" w:eastAsia="宋体" w:cs="Times New Roman"/>
          <w:color w:val="0000FF"/>
          <w:sz w:val="24"/>
        </w:rPr>
        <w:t>。</w:t>
      </w:r>
    </w:p>
    <w:bookmarkEnd w:id="247"/>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（4）</w:t>
      </w:r>
      <w:r>
        <w:rPr>
          <w:rFonts w:hint="default" w:ascii="Times New Roman" w:hAnsi="Times New Roman" w:eastAsia="宋体" w:cs="Times New Roman"/>
          <w:color w:val="0000FF"/>
          <w:sz w:val="24"/>
          <w:lang w:val="en-US" w:eastAsia="zh-CN"/>
        </w:rPr>
        <w:t>评价依据和标准</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本次采用《地下水质量标准》（GB/T14848-2017）中的Ⅲ类标准进行评价，地下水质量标准中没有的项目参照《生活饮用水卫生标准》（GB 5749-2006）进行评价，评价标准见表</w:t>
      </w:r>
      <w:r>
        <w:rPr>
          <w:rFonts w:hint="eastAsia" w:ascii="Times New Roman" w:hAnsi="Times New Roman" w:eastAsia="宋体" w:cs="Times New Roman"/>
          <w:color w:val="0000FF"/>
          <w:sz w:val="24"/>
          <w:lang w:val="en-US" w:eastAsia="zh-CN"/>
        </w:rPr>
        <w:t>4.2</w:t>
      </w:r>
      <w:r>
        <w:rPr>
          <w:rFonts w:hint="default" w:ascii="Times New Roman" w:hAnsi="Times New Roman" w:eastAsia="宋体" w:cs="Times New Roman"/>
          <w:color w:val="0000FF"/>
          <w:sz w:val="24"/>
        </w:rPr>
        <w:t>-</w:t>
      </w:r>
      <w:r>
        <w:rPr>
          <w:rFonts w:hint="eastAsia" w:ascii="Times New Roman" w:hAnsi="Times New Roman" w:eastAsia="宋体" w:cs="Times New Roman"/>
          <w:color w:val="0000FF"/>
          <w:sz w:val="24"/>
          <w:lang w:val="en-US" w:eastAsia="zh-CN"/>
        </w:rPr>
        <w:t>5</w:t>
      </w:r>
      <w:r>
        <w:rPr>
          <w:rFonts w:hint="default" w:ascii="Times New Roman" w:hAnsi="Times New Roman" w:eastAsia="宋体" w:cs="Times New Roman"/>
          <w:color w:val="0000FF"/>
          <w:sz w:val="24"/>
        </w:rPr>
        <w:t>。</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（5）</w:t>
      </w:r>
      <w:r>
        <w:rPr>
          <w:rFonts w:hint="default" w:ascii="Times New Roman" w:hAnsi="Times New Roman" w:eastAsia="宋体" w:cs="Times New Roman"/>
          <w:color w:val="0000FF"/>
          <w:sz w:val="24"/>
          <w:lang w:val="en-US" w:eastAsia="zh-CN"/>
        </w:rPr>
        <w:t>评价方法</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评价方法采用单因子标准指数法，单项指标的水质指数计算公式为：</w:t>
      </w:r>
    </w:p>
    <w:p>
      <w:pPr>
        <w:spacing w:line="360" w:lineRule="auto"/>
        <w:jc w:val="center"/>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drawing>
          <wp:inline distT="0" distB="0" distL="114300" distR="114300">
            <wp:extent cx="533400" cy="4572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5"/>
                    <a:stretch>
                      <a:fillRect/>
                    </a:stretch>
                  </pic:blipFill>
                  <pic:spPr>
                    <a:xfrm>
                      <a:off x="0" y="0"/>
                      <a:ext cx="533400" cy="457200"/>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式中：</w:t>
      </w:r>
      <w:r>
        <w:rPr>
          <w:rFonts w:hint="default" w:ascii="Times New Roman" w:hAnsi="Times New Roman" w:eastAsia="宋体" w:cs="Times New Roman"/>
          <w:i/>
          <w:color w:val="0000FF"/>
          <w:sz w:val="24"/>
        </w:rPr>
        <w:t>S</w:t>
      </w:r>
      <w:r>
        <w:rPr>
          <w:rFonts w:hint="default" w:ascii="Times New Roman" w:hAnsi="Times New Roman" w:eastAsia="宋体" w:cs="Times New Roman"/>
          <w:i/>
          <w:color w:val="0000FF"/>
          <w:sz w:val="24"/>
          <w:vertAlign w:val="subscript"/>
        </w:rPr>
        <w:t>ij</w:t>
      </w:r>
      <w:r>
        <w:rPr>
          <w:rFonts w:hint="default" w:ascii="Times New Roman" w:hAnsi="Times New Roman" w:eastAsia="宋体" w:cs="Times New Roman"/>
          <w:color w:val="0000FF"/>
          <w:sz w:val="24"/>
        </w:rPr>
        <w:t>—单项水质参数i在第j点的标准指数；</w:t>
      </w:r>
    </w:p>
    <w:p>
      <w:pPr>
        <w:spacing w:line="360" w:lineRule="auto"/>
        <w:ind w:firstLine="1200" w:firstLineChars="500"/>
        <w:rPr>
          <w:rFonts w:hint="default" w:ascii="Times New Roman" w:hAnsi="Times New Roman" w:eastAsia="宋体" w:cs="Times New Roman"/>
          <w:color w:val="0000FF"/>
          <w:sz w:val="24"/>
        </w:rPr>
      </w:pPr>
      <w:r>
        <w:rPr>
          <w:rFonts w:hint="default" w:ascii="Times New Roman" w:hAnsi="Times New Roman" w:eastAsia="宋体" w:cs="Times New Roman"/>
          <w:i/>
          <w:color w:val="0000FF"/>
          <w:sz w:val="24"/>
        </w:rPr>
        <w:t>C</w:t>
      </w:r>
      <w:r>
        <w:rPr>
          <w:rFonts w:hint="default" w:ascii="Times New Roman" w:hAnsi="Times New Roman" w:eastAsia="宋体" w:cs="Times New Roman"/>
          <w:i/>
          <w:color w:val="0000FF"/>
          <w:sz w:val="24"/>
          <w:vertAlign w:val="subscript"/>
        </w:rPr>
        <w:t>ij</w:t>
      </w:r>
      <w:r>
        <w:rPr>
          <w:rFonts w:hint="default" w:ascii="Times New Roman" w:hAnsi="Times New Roman" w:eastAsia="宋体" w:cs="Times New Roman"/>
          <w:color w:val="0000FF"/>
          <w:sz w:val="24"/>
        </w:rPr>
        <w:t>—第i种污染物在第j点的监测结果，mg/L；</w:t>
      </w:r>
    </w:p>
    <w:p>
      <w:pPr>
        <w:spacing w:line="360" w:lineRule="auto"/>
        <w:ind w:firstLine="1200" w:firstLineChars="500"/>
        <w:rPr>
          <w:rFonts w:hint="default" w:ascii="Times New Roman" w:hAnsi="Times New Roman" w:eastAsia="宋体" w:cs="Times New Roman"/>
          <w:color w:val="0000FF"/>
          <w:sz w:val="24"/>
        </w:rPr>
      </w:pPr>
      <w:r>
        <w:rPr>
          <w:rFonts w:hint="default" w:ascii="Times New Roman" w:hAnsi="Times New Roman" w:eastAsia="宋体" w:cs="Times New Roman"/>
          <w:i/>
          <w:color w:val="0000FF"/>
          <w:sz w:val="24"/>
        </w:rPr>
        <w:t>C</w:t>
      </w:r>
      <w:r>
        <w:rPr>
          <w:rFonts w:hint="default" w:ascii="Times New Roman" w:hAnsi="Times New Roman" w:eastAsia="宋体" w:cs="Times New Roman"/>
          <w:i/>
          <w:color w:val="0000FF"/>
          <w:sz w:val="24"/>
          <w:vertAlign w:val="subscript"/>
        </w:rPr>
        <w:t>0</w:t>
      </w:r>
      <w:r>
        <w:rPr>
          <w:rFonts w:hint="default" w:ascii="Times New Roman" w:hAnsi="Times New Roman" w:eastAsia="宋体" w:cs="Times New Roman"/>
          <w:color w:val="0000FF"/>
          <w:sz w:val="24"/>
        </w:rPr>
        <w:t>—第i种污染物评价标准，mg/L。</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pH的标准指数公式：</w:t>
      </w:r>
    </w:p>
    <w:p>
      <w:pPr>
        <w:spacing w:line="360" w:lineRule="auto"/>
        <w:ind w:firstLine="480" w:firstLineChars="200"/>
        <w:jc w:val="center"/>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drawing>
          <wp:inline distT="0" distB="0" distL="114300" distR="114300">
            <wp:extent cx="1209675" cy="457200"/>
            <wp:effectExtent l="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6"/>
                    <a:stretch>
                      <a:fillRect/>
                    </a:stretch>
                  </pic:blipFill>
                  <pic:spPr>
                    <a:xfrm>
                      <a:off x="0" y="0"/>
                      <a:ext cx="1209675" cy="457200"/>
                    </a:xfrm>
                    <a:prstGeom prst="rect">
                      <a:avLst/>
                    </a:prstGeom>
                    <a:noFill/>
                    <a:ln>
                      <a:noFill/>
                    </a:ln>
                  </pic:spPr>
                </pic:pic>
              </a:graphicData>
            </a:graphic>
          </wp:inline>
        </w:drawing>
      </w:r>
      <w:r>
        <w:rPr>
          <w:rFonts w:hint="default" w:ascii="Times New Roman" w:hAnsi="Times New Roman" w:eastAsia="宋体" w:cs="Times New Roman"/>
          <w:color w:val="0000FF"/>
          <w:sz w:val="24"/>
        </w:rPr>
        <w:t xml:space="preserve">     pH</w:t>
      </w:r>
      <w:r>
        <w:rPr>
          <w:rFonts w:hint="default" w:ascii="Times New Roman" w:hAnsi="Times New Roman" w:eastAsia="宋体" w:cs="Times New Roman"/>
          <w:color w:val="0000FF"/>
          <w:sz w:val="24"/>
          <w:vertAlign w:val="subscript"/>
        </w:rPr>
        <w:t xml:space="preserve">j </w:t>
      </w:r>
      <w:r>
        <w:rPr>
          <w:rFonts w:hint="default" w:ascii="Times New Roman" w:hAnsi="Times New Roman" w:eastAsia="宋体" w:cs="Times New Roman"/>
          <w:color w:val="0000FF"/>
          <w:sz w:val="24"/>
        </w:rPr>
        <w:t>&gt; 7.0</w:t>
      </w:r>
    </w:p>
    <w:p>
      <w:pPr>
        <w:spacing w:line="360" w:lineRule="auto"/>
        <w:ind w:firstLine="480" w:firstLineChars="200"/>
        <w:jc w:val="center"/>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drawing>
          <wp:inline distT="0" distB="0" distL="114300" distR="114300">
            <wp:extent cx="1210310" cy="4572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7"/>
                    <a:stretch>
                      <a:fillRect/>
                    </a:stretch>
                  </pic:blipFill>
                  <pic:spPr>
                    <a:xfrm>
                      <a:off x="0" y="0"/>
                      <a:ext cx="1210310" cy="457200"/>
                    </a:xfrm>
                    <a:prstGeom prst="rect">
                      <a:avLst/>
                    </a:prstGeom>
                    <a:noFill/>
                    <a:ln>
                      <a:noFill/>
                    </a:ln>
                  </pic:spPr>
                </pic:pic>
              </a:graphicData>
            </a:graphic>
          </wp:inline>
        </w:drawing>
      </w:r>
      <w:r>
        <w:rPr>
          <w:rFonts w:hint="default" w:ascii="Times New Roman" w:hAnsi="Times New Roman" w:eastAsia="宋体" w:cs="Times New Roman"/>
          <w:color w:val="0000FF"/>
          <w:sz w:val="24"/>
        </w:rPr>
        <w:t xml:space="preserve">     pH</w:t>
      </w:r>
      <w:r>
        <w:rPr>
          <w:rFonts w:hint="default" w:ascii="Times New Roman" w:hAnsi="Times New Roman" w:eastAsia="宋体" w:cs="Times New Roman"/>
          <w:color w:val="0000FF"/>
          <w:sz w:val="24"/>
          <w:vertAlign w:val="subscript"/>
        </w:rPr>
        <w:t xml:space="preserve">j </w:t>
      </w:r>
      <w:r>
        <w:rPr>
          <w:rFonts w:hint="eastAsia"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 xml:space="preserve"> 7.0</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式中：</w:t>
      </w:r>
      <w:r>
        <w:rPr>
          <w:rFonts w:hint="default" w:ascii="Times New Roman" w:hAnsi="Times New Roman" w:eastAsia="宋体" w:cs="Times New Roman"/>
          <w:i/>
          <w:color w:val="0000FF"/>
          <w:sz w:val="24"/>
        </w:rPr>
        <w:t>S</w:t>
      </w:r>
      <w:r>
        <w:rPr>
          <w:rFonts w:hint="default" w:ascii="Times New Roman" w:hAnsi="Times New Roman" w:eastAsia="宋体" w:cs="Times New Roman"/>
          <w:i/>
          <w:color w:val="0000FF"/>
          <w:sz w:val="24"/>
          <w:vertAlign w:val="subscript"/>
        </w:rPr>
        <w:t>PH，j</w:t>
      </w:r>
      <w:r>
        <w:rPr>
          <w:rFonts w:hint="default" w:ascii="Times New Roman" w:hAnsi="Times New Roman" w:eastAsia="宋体" w:cs="Times New Roman"/>
          <w:color w:val="0000FF"/>
          <w:sz w:val="24"/>
        </w:rPr>
        <w:t>――pH值的单项标准指数；</w:t>
      </w:r>
    </w:p>
    <w:p>
      <w:pPr>
        <w:spacing w:line="360" w:lineRule="auto"/>
        <w:ind w:firstLine="1200" w:firstLineChars="500"/>
        <w:rPr>
          <w:rFonts w:hint="default" w:ascii="Times New Roman" w:hAnsi="Times New Roman" w:eastAsia="宋体" w:cs="Times New Roman"/>
          <w:color w:val="0000FF"/>
          <w:sz w:val="24"/>
        </w:rPr>
      </w:pPr>
      <w:r>
        <w:rPr>
          <w:rFonts w:hint="default" w:ascii="Times New Roman" w:hAnsi="Times New Roman" w:eastAsia="宋体" w:cs="Times New Roman"/>
          <w:i/>
          <w:color w:val="0000FF"/>
          <w:sz w:val="24"/>
        </w:rPr>
        <w:t>pH</w:t>
      </w:r>
      <w:r>
        <w:rPr>
          <w:rFonts w:hint="default" w:ascii="Times New Roman" w:hAnsi="Times New Roman" w:eastAsia="宋体" w:cs="Times New Roman"/>
          <w:i/>
          <w:color w:val="0000FF"/>
          <w:sz w:val="24"/>
          <w:vertAlign w:val="subscript"/>
        </w:rPr>
        <w:t>j</w:t>
      </w:r>
      <w:r>
        <w:rPr>
          <w:rFonts w:hint="default" w:ascii="Times New Roman" w:hAnsi="Times New Roman" w:eastAsia="宋体" w:cs="Times New Roman"/>
          <w:color w:val="0000FF"/>
          <w:sz w:val="24"/>
        </w:rPr>
        <w:t>——j点pH值监测值上限；</w:t>
      </w:r>
    </w:p>
    <w:p>
      <w:pPr>
        <w:spacing w:line="360" w:lineRule="auto"/>
        <w:ind w:firstLine="1200" w:firstLineChars="500"/>
        <w:rPr>
          <w:rFonts w:hint="default" w:ascii="Times New Roman" w:hAnsi="Times New Roman" w:eastAsia="宋体" w:cs="Times New Roman"/>
          <w:color w:val="0000FF"/>
          <w:sz w:val="24"/>
        </w:rPr>
      </w:pPr>
      <w:r>
        <w:rPr>
          <w:rFonts w:hint="default" w:ascii="Times New Roman" w:hAnsi="Times New Roman" w:eastAsia="宋体" w:cs="Times New Roman"/>
          <w:i/>
          <w:color w:val="0000FF"/>
          <w:sz w:val="24"/>
        </w:rPr>
        <w:t>pH</w:t>
      </w:r>
      <w:r>
        <w:rPr>
          <w:rFonts w:hint="default" w:ascii="Times New Roman" w:hAnsi="Times New Roman" w:eastAsia="宋体" w:cs="Times New Roman"/>
          <w:i/>
          <w:color w:val="0000FF"/>
          <w:sz w:val="24"/>
          <w:vertAlign w:val="subscript"/>
        </w:rPr>
        <w:t>su</w:t>
      </w:r>
      <w:r>
        <w:rPr>
          <w:rFonts w:hint="default" w:ascii="Times New Roman" w:hAnsi="Times New Roman" w:eastAsia="宋体" w:cs="Times New Roman"/>
          <w:color w:val="0000FF"/>
          <w:sz w:val="24"/>
        </w:rPr>
        <w:t>——水质标准中pH值上限；</w:t>
      </w:r>
    </w:p>
    <w:p>
      <w:pPr>
        <w:spacing w:line="360" w:lineRule="auto"/>
        <w:ind w:firstLine="1200" w:firstLineChars="500"/>
        <w:rPr>
          <w:rFonts w:hint="default" w:ascii="Times New Roman" w:hAnsi="Times New Roman" w:eastAsia="宋体" w:cs="Times New Roman"/>
          <w:color w:val="0000FF"/>
          <w:sz w:val="24"/>
        </w:rPr>
      </w:pPr>
      <w:r>
        <w:rPr>
          <w:rFonts w:hint="default" w:ascii="Times New Roman" w:hAnsi="Times New Roman" w:eastAsia="宋体" w:cs="Times New Roman"/>
          <w:i/>
          <w:color w:val="0000FF"/>
          <w:sz w:val="24"/>
        </w:rPr>
        <w:t>pH</w:t>
      </w:r>
      <w:r>
        <w:rPr>
          <w:rFonts w:hint="default" w:ascii="Times New Roman" w:hAnsi="Times New Roman" w:eastAsia="宋体" w:cs="Times New Roman"/>
          <w:i/>
          <w:color w:val="0000FF"/>
          <w:sz w:val="24"/>
          <w:vertAlign w:val="subscript"/>
        </w:rPr>
        <w:t>sd</w:t>
      </w:r>
      <w:r>
        <w:rPr>
          <w:rFonts w:hint="default" w:ascii="Times New Roman" w:hAnsi="Times New Roman" w:eastAsia="宋体" w:cs="Times New Roman"/>
          <w:color w:val="0000FF"/>
          <w:sz w:val="24"/>
        </w:rPr>
        <w:t>——水质标准中pH值下限。</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评价时，水质参数的标准指数＞1，表明该水质参数超过了规定的水质标准限值，水质参数的标准指数越大，表明该水质参数超标越严重。</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（6）</w:t>
      </w:r>
      <w:r>
        <w:rPr>
          <w:rFonts w:hint="default" w:ascii="Times New Roman" w:hAnsi="Times New Roman" w:eastAsia="宋体" w:cs="Times New Roman"/>
          <w:color w:val="0000FF"/>
          <w:sz w:val="24"/>
          <w:lang w:val="en-US" w:eastAsia="zh-CN"/>
        </w:rPr>
        <w:t>监测结果</w:t>
      </w:r>
      <w:r>
        <w:rPr>
          <w:rFonts w:hint="eastAsia" w:ascii="Times New Roman" w:hAnsi="Times New Roman" w:eastAsia="宋体" w:cs="Times New Roman"/>
          <w:color w:val="0000FF"/>
          <w:sz w:val="24"/>
          <w:lang w:val="en-US" w:eastAsia="zh-CN"/>
        </w:rPr>
        <w:t>与评价</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地下水水质现状监测结果表4.2-</w:t>
      </w:r>
      <w:r>
        <w:rPr>
          <w:rFonts w:hint="eastAsia" w:ascii="Times New Roman" w:hAnsi="Times New Roman" w:eastAsia="宋体" w:cs="Times New Roman"/>
          <w:color w:val="0000FF"/>
          <w:sz w:val="24"/>
          <w:lang w:val="en-US" w:eastAsia="zh-CN"/>
        </w:rPr>
        <w:t>5，评价结果见表4.2-6</w:t>
      </w:r>
      <w:r>
        <w:rPr>
          <w:rFonts w:hint="default" w:ascii="Times New Roman" w:hAnsi="Times New Roman" w:eastAsia="宋体" w:cs="Times New Roman"/>
          <w:color w:val="0000FF"/>
          <w:sz w:val="24"/>
        </w:rPr>
        <w:t>。</w:t>
      </w:r>
    </w:p>
    <w:p>
      <w:pPr>
        <w:spacing w:line="360" w:lineRule="auto"/>
        <w:ind w:firstLine="422" w:firstLineChars="200"/>
        <w:rPr>
          <w:rFonts w:hint="default" w:ascii="Times New Roman" w:hAnsi="Times New Roman" w:eastAsia="宋体" w:cs="Times New Roman"/>
          <w:color w:val="0000FF"/>
          <w:sz w:val="24"/>
        </w:rPr>
      </w:pPr>
      <w:r>
        <w:rPr>
          <w:rFonts w:hint="default" w:ascii="Times New Roman" w:hAnsi="Times New Roman" w:eastAsia="宋体" w:cs="Times New Roman"/>
          <w:b/>
          <w:bCs/>
          <w:color w:val="0000FF"/>
          <w:sz w:val="21"/>
          <w:szCs w:val="21"/>
        </w:rPr>
        <w:t>表4.2-</w:t>
      </w:r>
      <w:r>
        <w:rPr>
          <w:rFonts w:hint="eastAsia" w:ascii="Times New Roman" w:hAnsi="Times New Roman" w:eastAsia="宋体" w:cs="Times New Roman"/>
          <w:b/>
          <w:bCs/>
          <w:color w:val="0000FF"/>
          <w:sz w:val="21"/>
          <w:szCs w:val="21"/>
          <w:lang w:val="en-US" w:eastAsia="zh-CN"/>
        </w:rPr>
        <w:t>5</w:t>
      </w:r>
      <w:r>
        <w:rPr>
          <w:rFonts w:hint="default" w:ascii="Times New Roman" w:hAnsi="Times New Roman" w:eastAsia="宋体" w:cs="Times New Roman"/>
          <w:b/>
          <w:bCs/>
          <w:color w:val="0000FF"/>
          <w:sz w:val="21"/>
          <w:szCs w:val="21"/>
        </w:rPr>
        <w:t xml:space="preserve">       </w:t>
      </w:r>
      <w:r>
        <w:rPr>
          <w:rFonts w:hint="eastAsia" w:ascii="Times New Roman" w:hAnsi="Times New Roman" w:eastAsia="宋体" w:cs="Times New Roman"/>
          <w:b/>
          <w:bCs/>
          <w:color w:val="0000FF"/>
          <w:sz w:val="21"/>
          <w:szCs w:val="21"/>
          <w:lang w:val="en-US" w:eastAsia="zh-CN"/>
        </w:rPr>
        <w:t xml:space="preserve">          </w:t>
      </w:r>
      <w:r>
        <w:rPr>
          <w:rFonts w:hint="default" w:ascii="Times New Roman" w:hAnsi="Times New Roman" w:eastAsia="宋体" w:cs="Times New Roman"/>
          <w:b/>
          <w:bCs/>
          <w:color w:val="0000FF"/>
          <w:sz w:val="21"/>
          <w:szCs w:val="21"/>
        </w:rPr>
        <w:t xml:space="preserve">   地下水水质监测结果一览表</w:t>
      </w:r>
    </w:p>
    <w:tbl>
      <w:tblPr>
        <w:tblStyle w:val="15"/>
        <w:tblW w:w="9317" w:type="dxa"/>
        <w:tblInd w:w="0" w:type="dxa"/>
        <w:tblLayout w:type="autofit"/>
        <w:tblCellMar>
          <w:top w:w="0" w:type="dxa"/>
          <w:left w:w="0" w:type="dxa"/>
          <w:bottom w:w="0" w:type="dxa"/>
          <w:right w:w="0" w:type="dxa"/>
        </w:tblCellMar>
      </w:tblPr>
      <w:tblGrid>
        <w:gridCol w:w="1182"/>
        <w:gridCol w:w="2080"/>
        <w:gridCol w:w="1855"/>
        <w:gridCol w:w="2345"/>
        <w:gridCol w:w="1855"/>
      </w:tblGrid>
      <w:tr>
        <w:tblPrEx>
          <w:tblCellMar>
            <w:top w:w="0" w:type="dxa"/>
            <w:left w:w="0" w:type="dxa"/>
            <w:bottom w:w="0" w:type="dxa"/>
            <w:right w:w="0" w:type="dxa"/>
          </w:tblCellMar>
        </w:tblPrEx>
        <w:trPr>
          <w:trHeight w:val="323" w:hRule="atLeast"/>
        </w:trPr>
        <w:tc>
          <w:tcPr>
            <w:tcW w:w="118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序号</w:t>
            </w:r>
          </w:p>
        </w:tc>
        <w:tc>
          <w:tcPr>
            <w:tcW w:w="208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检测项目</w:t>
            </w:r>
          </w:p>
        </w:tc>
        <w:tc>
          <w:tcPr>
            <w:tcW w:w="18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单位</w:t>
            </w:r>
          </w:p>
        </w:tc>
        <w:tc>
          <w:tcPr>
            <w:tcW w:w="23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标准值</w:t>
            </w:r>
            <w:r>
              <w:rPr>
                <w:rStyle w:val="22"/>
                <w:color w:val="0000FF"/>
                <w:lang w:val="en-US" w:eastAsia="zh-CN" w:bidi="ar"/>
              </w:rPr>
              <w:t>≤</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监测结果</w:t>
            </w:r>
          </w:p>
        </w:tc>
      </w:tr>
      <w:tr>
        <w:tblPrEx>
          <w:tblCellMar>
            <w:top w:w="0" w:type="dxa"/>
            <w:left w:w="0" w:type="dxa"/>
            <w:bottom w:w="0" w:type="dxa"/>
            <w:right w:w="0" w:type="dxa"/>
          </w:tblCellMar>
        </w:tblPrEx>
        <w:trPr>
          <w:trHeight w:val="323" w:hRule="atLeast"/>
        </w:trPr>
        <w:tc>
          <w:tcPr>
            <w:tcW w:w="118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0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3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pH</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无量纲</w:t>
            </w:r>
          </w:p>
        </w:tc>
        <w:tc>
          <w:tcPr>
            <w:tcW w:w="0" w:type="auto"/>
            <w:tcBorders>
              <w:top w:val="nil"/>
              <w:left w:val="nil"/>
              <w:bottom w:val="nil"/>
              <w:right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6.5</w:t>
            </w:r>
            <w:r>
              <w:rPr>
                <w:rStyle w:val="22"/>
                <w:color w:val="0000FF"/>
                <w:lang w:val="en-US" w:eastAsia="zh-CN" w:bidi="ar"/>
              </w:rPr>
              <w:t>～</w:t>
            </w:r>
            <w:r>
              <w:rPr>
                <w:rStyle w:val="23"/>
                <w:rFonts w:eastAsia="宋体"/>
                <w:color w:val="0000FF"/>
                <w:lang w:val="en-US" w:eastAsia="zh-CN" w:bidi="ar"/>
              </w:rPr>
              <w:t>8.5</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7.37</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总硬度</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450</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368</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高锰酸盐指数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0.9</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氨氮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0.5</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0.045</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硫酸盐</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250</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255</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氯化物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250</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111</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硝酸盐氮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FF"/>
                <w:sz w:val="21"/>
                <w:szCs w:val="21"/>
                <w:u w:val="none"/>
                <w:lang w:val="en-US"/>
              </w:rPr>
            </w:pPr>
            <w:r>
              <w:rPr>
                <w:rFonts w:hint="eastAsia" w:ascii="宋体" w:hAnsi="宋体" w:eastAsia="宋体" w:cs="宋体"/>
                <w:i w:val="0"/>
                <w:color w:val="0000FF"/>
                <w:kern w:val="0"/>
                <w:sz w:val="21"/>
                <w:szCs w:val="21"/>
                <w:u w:val="none"/>
                <w:lang w:val="en-US" w:eastAsia="zh-CN" w:bidi="ar"/>
              </w:rPr>
              <w:t>20</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8.13</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氟化物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0.38</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挥发酚</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0.002</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＜0.0003</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亚硝酸盐氮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0.004</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氰化物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＜0.004</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六价铬</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0.05</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＜0.004</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硫化物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0.02</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＜0.005</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溶解性总固体</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1000</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502</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总大肠菌群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MPN/100ml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cs="宋体"/>
                <w:i w:val="0"/>
                <w:color w:val="0000FF"/>
                <w:kern w:val="0"/>
                <w:sz w:val="21"/>
                <w:szCs w:val="21"/>
                <w:u w:val="none"/>
                <w:lang w:val="en-US" w:eastAsia="zh-CN" w:bidi="ar"/>
              </w:rPr>
              <w:t>2</w:t>
            </w:r>
          </w:p>
        </w:tc>
      </w:tr>
      <w:tr>
        <w:tblPrEx>
          <w:tblCellMar>
            <w:top w:w="0" w:type="dxa"/>
            <w:left w:w="0" w:type="dxa"/>
            <w:bottom w:w="0" w:type="dxa"/>
            <w:right w:w="0" w:type="dxa"/>
          </w:tblCellMar>
        </w:tblPrEx>
        <w:trPr>
          <w:trHeight w:val="407"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菌落总数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CFU/ml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100</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FF"/>
                <w:sz w:val="21"/>
                <w:szCs w:val="21"/>
                <w:u w:val="none"/>
                <w:lang w:val="en-US"/>
              </w:rPr>
            </w:pPr>
            <w:r>
              <w:rPr>
                <w:rFonts w:hint="eastAsia" w:cs="宋体"/>
                <w:i w:val="0"/>
                <w:color w:val="0000FF"/>
                <w:kern w:val="0"/>
                <w:sz w:val="21"/>
                <w:szCs w:val="21"/>
                <w:u w:val="none"/>
                <w:lang w:val="en-US" w:eastAsia="zh-CN" w:bidi="ar"/>
              </w:rPr>
              <w:t>75</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汞</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0.001</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＜0.00004</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砷</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0.01</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＜0.0003</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铅</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0.01</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＜0.01</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镉</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0.005</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＜0.001</w:t>
            </w:r>
          </w:p>
        </w:tc>
      </w:tr>
      <w:tr>
        <w:tblPrEx>
          <w:tblCellMar>
            <w:top w:w="0" w:type="dxa"/>
            <w:left w:w="0" w:type="dxa"/>
            <w:bottom w:w="0" w:type="dxa"/>
            <w:right w:w="0" w:type="dxa"/>
          </w:tblCellMar>
        </w:tblPrEx>
        <w:trPr>
          <w:trHeight w:val="36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铁</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0.3</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＜0.03</w:t>
            </w:r>
          </w:p>
        </w:tc>
      </w:tr>
      <w:tr>
        <w:tblPrEx>
          <w:tblCellMar>
            <w:top w:w="0" w:type="dxa"/>
            <w:left w:w="0" w:type="dxa"/>
            <w:bottom w:w="0" w:type="dxa"/>
            <w:right w:w="0" w:type="dxa"/>
          </w:tblCellMar>
        </w:tblPrEx>
        <w:trPr>
          <w:trHeight w:val="382" w:hRule="atLeast"/>
        </w:trPr>
        <w:tc>
          <w:tcPr>
            <w:tcW w:w="11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钠</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mg/L</w:t>
            </w:r>
          </w:p>
        </w:tc>
        <w:tc>
          <w:tcPr>
            <w:tcW w:w="23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200</w:t>
            </w:r>
          </w:p>
        </w:tc>
        <w:tc>
          <w:tcPr>
            <w:tcW w:w="1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60.8</w:t>
            </w:r>
          </w:p>
        </w:tc>
      </w:tr>
    </w:tbl>
    <w:p>
      <w:pPr>
        <w:spacing w:line="360" w:lineRule="auto"/>
        <w:ind w:firstLine="422" w:firstLineChars="200"/>
        <w:rPr>
          <w:rFonts w:hint="default" w:ascii="Times New Roman" w:hAnsi="Times New Roman" w:eastAsia="宋体" w:cs="Times New Roman"/>
          <w:b/>
          <w:bCs/>
          <w:color w:val="0000FF"/>
          <w:sz w:val="21"/>
          <w:szCs w:val="21"/>
        </w:rPr>
      </w:pPr>
    </w:p>
    <w:p>
      <w:pPr>
        <w:spacing w:line="360" w:lineRule="auto"/>
        <w:ind w:firstLine="422" w:firstLineChars="200"/>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sz w:val="21"/>
          <w:szCs w:val="21"/>
        </w:rPr>
        <w:t>表4.2-</w:t>
      </w:r>
      <w:r>
        <w:rPr>
          <w:rFonts w:hint="eastAsia" w:ascii="Times New Roman" w:hAnsi="Times New Roman" w:eastAsia="宋体" w:cs="Times New Roman"/>
          <w:b/>
          <w:bCs/>
          <w:color w:val="0000FF"/>
          <w:sz w:val="21"/>
          <w:szCs w:val="21"/>
          <w:lang w:val="en-US" w:eastAsia="zh-CN"/>
        </w:rPr>
        <w:t>6</w:t>
      </w:r>
      <w:r>
        <w:rPr>
          <w:rFonts w:hint="default" w:ascii="Times New Roman" w:hAnsi="Times New Roman" w:eastAsia="宋体" w:cs="Times New Roman"/>
          <w:b/>
          <w:bCs/>
          <w:color w:val="0000FF"/>
          <w:sz w:val="21"/>
          <w:szCs w:val="21"/>
        </w:rPr>
        <w:t xml:space="preserve">       </w:t>
      </w:r>
      <w:r>
        <w:rPr>
          <w:rFonts w:hint="eastAsia" w:ascii="Times New Roman" w:hAnsi="Times New Roman" w:eastAsia="宋体" w:cs="Times New Roman"/>
          <w:b/>
          <w:bCs/>
          <w:color w:val="0000FF"/>
          <w:sz w:val="21"/>
          <w:szCs w:val="21"/>
          <w:lang w:val="en-US" w:eastAsia="zh-CN"/>
        </w:rPr>
        <w:t xml:space="preserve">          </w:t>
      </w:r>
      <w:r>
        <w:rPr>
          <w:rFonts w:hint="default" w:ascii="Times New Roman" w:hAnsi="Times New Roman" w:eastAsia="宋体" w:cs="Times New Roman"/>
          <w:b/>
          <w:bCs/>
          <w:color w:val="0000FF"/>
          <w:sz w:val="21"/>
          <w:szCs w:val="21"/>
        </w:rPr>
        <w:t xml:space="preserve">   地下水水质</w:t>
      </w:r>
      <w:r>
        <w:rPr>
          <w:rFonts w:hint="eastAsia" w:ascii="Times New Roman" w:hAnsi="Times New Roman" w:eastAsia="宋体" w:cs="Times New Roman"/>
          <w:b/>
          <w:bCs/>
          <w:color w:val="0000FF"/>
          <w:sz w:val="21"/>
          <w:szCs w:val="21"/>
          <w:lang w:val="en-US" w:eastAsia="zh-CN"/>
        </w:rPr>
        <w:t>评价</w:t>
      </w:r>
      <w:r>
        <w:rPr>
          <w:rFonts w:hint="default" w:ascii="Times New Roman" w:hAnsi="Times New Roman" w:eastAsia="宋体" w:cs="Times New Roman"/>
          <w:b/>
          <w:bCs/>
          <w:color w:val="0000FF"/>
          <w:sz w:val="21"/>
          <w:szCs w:val="21"/>
        </w:rPr>
        <w:t>结果一览表</w:t>
      </w:r>
    </w:p>
    <w:tbl>
      <w:tblPr>
        <w:tblStyle w:val="15"/>
        <w:tblW w:w="9259" w:type="dxa"/>
        <w:tblInd w:w="0" w:type="dxa"/>
        <w:tblLayout w:type="autofit"/>
        <w:tblCellMar>
          <w:top w:w="0" w:type="dxa"/>
          <w:left w:w="0" w:type="dxa"/>
          <w:bottom w:w="0" w:type="dxa"/>
          <w:right w:w="0" w:type="dxa"/>
        </w:tblCellMar>
      </w:tblPr>
      <w:tblGrid>
        <w:gridCol w:w="2573"/>
        <w:gridCol w:w="3860"/>
        <w:gridCol w:w="2826"/>
      </w:tblGrid>
      <w:tr>
        <w:tblPrEx>
          <w:tblCellMar>
            <w:top w:w="0" w:type="dxa"/>
            <w:left w:w="0" w:type="dxa"/>
            <w:bottom w:w="0" w:type="dxa"/>
            <w:right w:w="0" w:type="dxa"/>
          </w:tblCellMar>
        </w:tblPrEx>
        <w:trPr>
          <w:trHeight w:val="363" w:hRule="atLeast"/>
        </w:trPr>
        <w:tc>
          <w:tcPr>
            <w:tcW w:w="257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序号</w:t>
            </w:r>
          </w:p>
        </w:tc>
        <w:tc>
          <w:tcPr>
            <w:tcW w:w="386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项目</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评价结果</w:t>
            </w:r>
          </w:p>
        </w:tc>
      </w:tr>
      <w:tr>
        <w:tblPrEx>
          <w:tblCellMar>
            <w:top w:w="0" w:type="dxa"/>
            <w:left w:w="0" w:type="dxa"/>
            <w:bottom w:w="0" w:type="dxa"/>
            <w:right w:w="0" w:type="dxa"/>
          </w:tblCellMar>
        </w:tblPrEx>
        <w:trPr>
          <w:trHeight w:val="346" w:hRule="atLeast"/>
        </w:trPr>
        <w:tc>
          <w:tcPr>
            <w:tcW w:w="257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38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pH</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0.87</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总硬度</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0.82</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高锰酸盐指数</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氨氮</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0.09</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硫酸盐</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1.02</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氯化物</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0.44</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硝酸盐氮</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0.41</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氟化物</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0.38</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挥发酚</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0.15</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亚硝酸盐氮</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氰化物</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0.08</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六价铬</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0.08</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硫化物</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0.25</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溶解性总固体</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0.502</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总大肠菌群</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cs="宋体"/>
                <w:i w:val="0"/>
                <w:color w:val="0000FF"/>
                <w:sz w:val="21"/>
                <w:szCs w:val="21"/>
                <w:u w:val="none"/>
                <w:lang w:val="en-US" w:eastAsia="zh-CN"/>
              </w:rPr>
              <w:t>0.7</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菌落总数</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cs="宋体"/>
                <w:i w:val="0"/>
                <w:color w:val="0000FF"/>
                <w:sz w:val="21"/>
                <w:szCs w:val="21"/>
                <w:u w:val="none"/>
                <w:lang w:val="en-US" w:eastAsia="zh-CN"/>
              </w:rPr>
              <w:t>0.75</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汞</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0.04</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砷</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0.03</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铅</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i w:val="0"/>
                <w:color w:val="0000FF"/>
                <w:sz w:val="22"/>
                <w:szCs w:val="22"/>
                <w:u w:val="none"/>
                <w:lang w:val="en-US" w:eastAsia="zh-CN"/>
              </w:rPr>
            </w:pPr>
            <w:r>
              <w:rPr>
                <w:rFonts w:hint="eastAsia" w:ascii="宋体" w:hAnsi="宋体" w:eastAsia="宋体" w:cs="宋体"/>
                <w:i w:val="0"/>
                <w:color w:val="0000FF"/>
                <w:sz w:val="22"/>
                <w:szCs w:val="22"/>
                <w:u w:val="none"/>
                <w:lang w:val="en-US" w:eastAsia="zh-CN"/>
              </w:rPr>
              <w:t>0.9</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镉</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i w:val="0"/>
                <w:color w:val="0000FF"/>
                <w:sz w:val="22"/>
                <w:szCs w:val="22"/>
                <w:u w:val="none"/>
                <w:lang w:val="en-US" w:eastAsia="zh-CN"/>
              </w:rPr>
            </w:pPr>
            <w:r>
              <w:rPr>
                <w:rFonts w:hint="eastAsia" w:ascii="宋体" w:hAnsi="宋体" w:eastAsia="宋体" w:cs="宋体"/>
                <w:i w:val="0"/>
                <w:color w:val="0000FF"/>
                <w:sz w:val="22"/>
                <w:szCs w:val="22"/>
                <w:u w:val="none"/>
                <w:lang w:val="en-US" w:eastAsia="zh-CN"/>
              </w:rPr>
              <w:t>0.2</w:t>
            </w:r>
          </w:p>
        </w:tc>
      </w:tr>
      <w:tr>
        <w:tblPrEx>
          <w:tblCellMar>
            <w:top w:w="0" w:type="dxa"/>
            <w:left w:w="0" w:type="dxa"/>
            <w:bottom w:w="0" w:type="dxa"/>
            <w:right w:w="0" w:type="dxa"/>
          </w:tblCellMar>
        </w:tblPrEx>
        <w:trPr>
          <w:trHeight w:val="375"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铁</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i w:val="0"/>
                <w:color w:val="0000FF"/>
                <w:sz w:val="22"/>
                <w:szCs w:val="22"/>
                <w:u w:val="none"/>
                <w:lang w:val="en-US" w:eastAsia="zh-CN"/>
              </w:rPr>
            </w:pPr>
            <w:r>
              <w:rPr>
                <w:rFonts w:hint="eastAsia" w:ascii="宋体" w:hAnsi="宋体" w:eastAsia="宋体" w:cs="宋体"/>
                <w:i w:val="0"/>
                <w:color w:val="0000FF"/>
                <w:sz w:val="22"/>
                <w:szCs w:val="22"/>
                <w:u w:val="none"/>
                <w:lang w:val="en-US" w:eastAsia="zh-CN"/>
              </w:rPr>
              <w:t>0.1</w:t>
            </w:r>
          </w:p>
        </w:tc>
      </w:tr>
      <w:tr>
        <w:tblPrEx>
          <w:tblCellMar>
            <w:top w:w="0" w:type="dxa"/>
            <w:left w:w="0" w:type="dxa"/>
            <w:bottom w:w="0" w:type="dxa"/>
            <w:right w:w="0" w:type="dxa"/>
          </w:tblCellMar>
        </w:tblPrEx>
        <w:trPr>
          <w:trHeight w:val="386" w:hRule="atLeast"/>
        </w:trPr>
        <w:tc>
          <w:tcPr>
            <w:tcW w:w="25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钠</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i w:val="0"/>
                <w:color w:val="0000FF"/>
                <w:sz w:val="22"/>
                <w:szCs w:val="22"/>
                <w:u w:val="none"/>
                <w:lang w:val="en-US" w:eastAsia="zh-CN"/>
              </w:rPr>
            </w:pPr>
            <w:r>
              <w:rPr>
                <w:rFonts w:hint="eastAsia" w:ascii="宋体" w:hAnsi="宋体" w:eastAsia="宋体" w:cs="宋体"/>
                <w:i w:val="0"/>
                <w:color w:val="0000FF"/>
                <w:sz w:val="22"/>
                <w:szCs w:val="22"/>
                <w:u w:val="none"/>
                <w:lang w:val="en-US" w:eastAsia="zh-CN"/>
              </w:rPr>
              <w:t>0.31</w:t>
            </w:r>
          </w:p>
        </w:tc>
      </w:tr>
    </w:tbl>
    <w:p>
      <w:pPr>
        <w:pStyle w:val="7"/>
        <w:rPr>
          <w:rFonts w:hint="default"/>
          <w:color w:val="auto"/>
        </w:rPr>
      </w:pPr>
      <w:r>
        <w:rPr>
          <w:rFonts w:hint="default" w:ascii="Times New Roman" w:hAnsi="Times New Roman" w:eastAsia="宋体" w:cs="Times New Roman"/>
          <w:b/>
          <w:bCs/>
          <w:color w:val="auto"/>
        </w:rPr>
        <w:t>注：“-”为未检出，不计算标准指数。</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rPr>
        <w:t>由表4.2-</w:t>
      </w:r>
      <w:r>
        <w:rPr>
          <w:rFonts w:hint="eastAsia" w:ascii="Times New Roman" w:hAnsi="Times New Roman" w:eastAsia="宋体" w:cs="Times New Roman"/>
          <w:color w:val="0000FF"/>
          <w:sz w:val="24"/>
          <w:lang w:val="en-US" w:eastAsia="zh-CN"/>
        </w:rPr>
        <w:t>6</w:t>
      </w:r>
      <w:r>
        <w:rPr>
          <w:rFonts w:hint="default" w:ascii="Times New Roman" w:hAnsi="Times New Roman" w:eastAsia="宋体" w:cs="Times New Roman"/>
          <w:color w:val="0000FF"/>
          <w:sz w:val="24"/>
        </w:rPr>
        <w:t>中可以看出，</w:t>
      </w:r>
      <w:r>
        <w:rPr>
          <w:rFonts w:hint="eastAsia" w:ascii="Times New Roman" w:hAnsi="Times New Roman" w:eastAsia="宋体" w:cs="Times New Roman"/>
          <w:color w:val="0000FF"/>
          <w:sz w:val="24"/>
          <w:lang w:val="en-US" w:eastAsia="zh-CN"/>
        </w:rPr>
        <w:t>硫酸盐出现超标其余</w:t>
      </w:r>
      <w:r>
        <w:rPr>
          <w:rFonts w:hint="default" w:ascii="Times New Roman" w:hAnsi="Times New Roman" w:eastAsia="宋体" w:cs="Times New Roman"/>
          <w:color w:val="0000FF"/>
          <w:sz w:val="24"/>
        </w:rPr>
        <w:t>各检出因子的标准指数均小于1，显示项目区地下水水质满足《地下水质量标准》（GB/T14848-2017）Ⅲ类水质要求。</w:t>
      </w:r>
      <w:r>
        <w:rPr>
          <w:rFonts w:hint="eastAsia" w:ascii="Times New Roman" w:hAnsi="Times New Roman" w:cs="Times New Roman"/>
          <w:color w:val="0000FF"/>
          <w:sz w:val="24"/>
          <w:lang w:val="en-US" w:eastAsia="zh-CN"/>
        </w:rPr>
        <w:t>硫酸盐超标原因是南疆地区土壤盐碱化程度高，故导致地下水硫酸盐出现超标。</w:t>
      </w:r>
    </w:p>
    <w:p>
      <w:pPr>
        <w:pStyle w:val="5"/>
        <w:numPr>
          <w:ilvl w:val="2"/>
          <w:numId w:val="40"/>
        </w:numPr>
        <w:tabs>
          <w:tab w:val="left" w:pos="1241"/>
        </w:tabs>
        <w:spacing w:before="115" w:after="0" w:line="240" w:lineRule="auto"/>
        <w:ind w:left="1240" w:right="0" w:hanging="701"/>
        <w:jc w:val="left"/>
        <w:outlineLvl w:val="2"/>
      </w:pPr>
      <w:bookmarkStart w:id="248" w:name="4.2.3 声环境质量现状监测与评价"/>
      <w:bookmarkEnd w:id="248"/>
      <w:bookmarkStart w:id="249" w:name="4.2.3 声环境质量现状监测与评价"/>
      <w:bookmarkEnd w:id="249"/>
      <w:bookmarkStart w:id="250" w:name="_Toc17702"/>
      <w:r>
        <w:t>声环境质量现状监测与评价</w:t>
      </w:r>
      <w:bookmarkEnd w:id="250"/>
    </w:p>
    <w:p>
      <w:pPr>
        <w:pStyle w:val="7"/>
        <w:spacing w:before="7"/>
        <w:ind w:left="0"/>
        <w:rPr>
          <w:b/>
          <w:sz w:val="21"/>
        </w:rPr>
      </w:pPr>
    </w:p>
    <w:p>
      <w:pPr>
        <w:pStyle w:val="18"/>
        <w:numPr>
          <w:ilvl w:val="3"/>
          <w:numId w:val="43"/>
        </w:numPr>
        <w:tabs>
          <w:tab w:val="left" w:pos="1320"/>
        </w:tabs>
        <w:spacing w:before="1" w:after="0" w:line="240" w:lineRule="auto"/>
        <w:ind w:left="1320" w:right="0" w:hanging="780"/>
        <w:jc w:val="left"/>
        <w:rPr>
          <w:sz w:val="24"/>
        </w:rPr>
      </w:pPr>
      <w:r>
        <w:rPr>
          <w:sz w:val="24"/>
        </w:rPr>
        <w:t>监测点布设</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（1）监测点位</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本项目东、西、南、北四个厂界。</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监测点位设置情况见表4.2-</w:t>
      </w:r>
      <w:r>
        <w:rPr>
          <w:rFonts w:hint="eastAsia" w:ascii="Times New Roman" w:hAnsi="Times New Roman" w:eastAsia="宋体" w:cs="Times New Roman"/>
          <w:color w:val="0000FF"/>
          <w:sz w:val="24"/>
          <w:lang w:val="en-US" w:eastAsia="zh-CN"/>
        </w:rPr>
        <w:t>7</w:t>
      </w:r>
      <w:r>
        <w:rPr>
          <w:rFonts w:hint="default" w:ascii="Times New Roman" w:hAnsi="Times New Roman" w:eastAsia="宋体" w:cs="Times New Roman"/>
          <w:color w:val="0000FF"/>
          <w:sz w:val="24"/>
        </w:rPr>
        <w:t>。</w:t>
      </w:r>
    </w:p>
    <w:p>
      <w:pPr>
        <w:pStyle w:val="6"/>
        <w:spacing w:line="360" w:lineRule="auto"/>
        <w:jc w:val="center"/>
        <w:rPr>
          <w:rFonts w:hint="default" w:ascii="Times New Roman" w:hAnsi="Times New Roman" w:eastAsia="宋体" w:cs="Times New Roman"/>
          <w:b/>
          <w:bCs/>
          <w:color w:val="0000FF"/>
          <w:sz w:val="21"/>
          <w:szCs w:val="21"/>
        </w:rPr>
      </w:pPr>
      <w:bookmarkStart w:id="251" w:name="_Ref491245706"/>
      <w:r>
        <w:rPr>
          <w:rFonts w:hint="default" w:ascii="Times New Roman" w:hAnsi="Times New Roman" w:eastAsia="宋体" w:cs="Times New Roman"/>
          <w:b/>
          <w:bCs/>
          <w:color w:val="0000FF"/>
          <w:sz w:val="21"/>
          <w:szCs w:val="21"/>
        </w:rPr>
        <w:t>表</w:t>
      </w:r>
      <w:bookmarkEnd w:id="251"/>
      <w:r>
        <w:rPr>
          <w:rFonts w:hint="default" w:ascii="Times New Roman" w:hAnsi="Times New Roman" w:eastAsia="宋体" w:cs="Times New Roman"/>
          <w:b/>
          <w:bCs/>
          <w:color w:val="0000FF"/>
          <w:sz w:val="21"/>
          <w:szCs w:val="21"/>
        </w:rPr>
        <w:t>4.2-</w:t>
      </w:r>
      <w:r>
        <w:rPr>
          <w:rFonts w:hint="eastAsia" w:ascii="Times New Roman" w:hAnsi="Times New Roman" w:eastAsia="宋体" w:cs="Times New Roman"/>
          <w:b/>
          <w:bCs/>
          <w:color w:val="0000FF"/>
          <w:sz w:val="21"/>
          <w:szCs w:val="21"/>
          <w:lang w:val="en-US" w:eastAsia="zh-CN"/>
        </w:rPr>
        <w:t>7</w:t>
      </w:r>
      <w:r>
        <w:rPr>
          <w:rFonts w:hint="default" w:ascii="Times New Roman" w:hAnsi="Times New Roman" w:eastAsia="宋体" w:cs="Times New Roman"/>
          <w:b/>
          <w:bCs/>
          <w:color w:val="0000FF"/>
          <w:sz w:val="21"/>
          <w:szCs w:val="21"/>
        </w:rPr>
        <w:t xml:space="preserve">         厂界声环境质量现状监测点位情况一览表</w:t>
      </w:r>
    </w:p>
    <w:tbl>
      <w:tblPr>
        <w:tblStyle w:val="15"/>
        <w:tblW w:w="9238" w:type="dxa"/>
        <w:tblInd w:w="0" w:type="dxa"/>
        <w:tblLayout w:type="autofit"/>
        <w:tblCellMar>
          <w:top w:w="0" w:type="dxa"/>
          <w:left w:w="0" w:type="dxa"/>
          <w:bottom w:w="0" w:type="dxa"/>
          <w:right w:w="0" w:type="dxa"/>
        </w:tblCellMar>
      </w:tblPr>
      <w:tblGrid>
        <w:gridCol w:w="1938"/>
        <w:gridCol w:w="1971"/>
        <w:gridCol w:w="2456"/>
        <w:gridCol w:w="2873"/>
      </w:tblGrid>
      <w:tr>
        <w:tblPrEx>
          <w:tblCellMar>
            <w:top w:w="0" w:type="dxa"/>
            <w:left w:w="0" w:type="dxa"/>
            <w:bottom w:w="0" w:type="dxa"/>
            <w:right w:w="0" w:type="dxa"/>
          </w:tblCellMar>
        </w:tblPrEx>
        <w:trPr>
          <w:trHeight w:val="285" w:hRule="atLeast"/>
        </w:trPr>
        <w:tc>
          <w:tcPr>
            <w:tcW w:w="1938"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点位</w:t>
            </w:r>
          </w:p>
        </w:tc>
        <w:tc>
          <w:tcPr>
            <w:tcW w:w="1971"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位置</w:t>
            </w:r>
          </w:p>
        </w:tc>
        <w:tc>
          <w:tcPr>
            <w:tcW w:w="2456"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监测位置</w:t>
            </w:r>
          </w:p>
        </w:tc>
        <w:tc>
          <w:tcPr>
            <w:tcW w:w="2873"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设置意义</w:t>
            </w:r>
          </w:p>
        </w:tc>
      </w:tr>
      <w:tr>
        <w:tblPrEx>
          <w:tblCellMar>
            <w:top w:w="0" w:type="dxa"/>
            <w:left w:w="0" w:type="dxa"/>
            <w:bottom w:w="0" w:type="dxa"/>
            <w:right w:w="0" w:type="dxa"/>
          </w:tblCellMar>
        </w:tblPrEx>
        <w:trPr>
          <w:trHeight w:val="555" w:hRule="atLeast"/>
        </w:trPr>
        <w:tc>
          <w:tcPr>
            <w:tcW w:w="193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20200011-Z1-1</w:t>
            </w:r>
          </w:p>
        </w:tc>
        <w:tc>
          <w:tcPr>
            <w:tcW w:w="1971"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东厂界</w:t>
            </w:r>
          </w:p>
        </w:tc>
        <w:tc>
          <w:tcPr>
            <w:tcW w:w="2456"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厂界外1m</w:t>
            </w:r>
          </w:p>
        </w:tc>
        <w:tc>
          <w:tcPr>
            <w:tcW w:w="287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厂界现状值</w:t>
            </w:r>
          </w:p>
        </w:tc>
      </w:tr>
      <w:tr>
        <w:tblPrEx>
          <w:tblCellMar>
            <w:top w:w="0" w:type="dxa"/>
            <w:left w:w="0" w:type="dxa"/>
            <w:bottom w:w="0" w:type="dxa"/>
            <w:right w:w="0" w:type="dxa"/>
          </w:tblCellMar>
        </w:tblPrEx>
        <w:trPr>
          <w:trHeight w:val="555" w:hRule="atLeast"/>
        </w:trPr>
        <w:tc>
          <w:tcPr>
            <w:tcW w:w="193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20200011-Z2-1</w:t>
            </w:r>
          </w:p>
        </w:tc>
        <w:tc>
          <w:tcPr>
            <w:tcW w:w="1971"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南厂界</w:t>
            </w:r>
          </w:p>
        </w:tc>
        <w:tc>
          <w:tcPr>
            <w:tcW w:w="2456"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厂界外1m</w:t>
            </w:r>
          </w:p>
        </w:tc>
        <w:tc>
          <w:tcPr>
            <w:tcW w:w="287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厂界现状值</w:t>
            </w:r>
          </w:p>
        </w:tc>
      </w:tr>
      <w:tr>
        <w:tblPrEx>
          <w:tblCellMar>
            <w:top w:w="0" w:type="dxa"/>
            <w:left w:w="0" w:type="dxa"/>
            <w:bottom w:w="0" w:type="dxa"/>
            <w:right w:w="0" w:type="dxa"/>
          </w:tblCellMar>
        </w:tblPrEx>
        <w:trPr>
          <w:trHeight w:val="555" w:hRule="atLeast"/>
        </w:trPr>
        <w:tc>
          <w:tcPr>
            <w:tcW w:w="193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20200011-Z3-1</w:t>
            </w:r>
          </w:p>
        </w:tc>
        <w:tc>
          <w:tcPr>
            <w:tcW w:w="1971"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西厂界</w:t>
            </w:r>
          </w:p>
        </w:tc>
        <w:tc>
          <w:tcPr>
            <w:tcW w:w="2456"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厂界外1m</w:t>
            </w:r>
          </w:p>
        </w:tc>
        <w:tc>
          <w:tcPr>
            <w:tcW w:w="287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厂界现状值</w:t>
            </w:r>
          </w:p>
        </w:tc>
      </w:tr>
      <w:tr>
        <w:tblPrEx>
          <w:tblCellMar>
            <w:top w:w="0" w:type="dxa"/>
            <w:left w:w="0" w:type="dxa"/>
            <w:bottom w:w="0" w:type="dxa"/>
            <w:right w:w="0" w:type="dxa"/>
          </w:tblCellMar>
        </w:tblPrEx>
        <w:trPr>
          <w:trHeight w:val="555" w:hRule="atLeast"/>
        </w:trPr>
        <w:tc>
          <w:tcPr>
            <w:tcW w:w="193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2020001 1-Z4-1</w:t>
            </w:r>
          </w:p>
        </w:tc>
        <w:tc>
          <w:tcPr>
            <w:tcW w:w="1971"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北厂界</w:t>
            </w:r>
          </w:p>
        </w:tc>
        <w:tc>
          <w:tcPr>
            <w:tcW w:w="2456"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厂界外1m</w:t>
            </w:r>
          </w:p>
        </w:tc>
        <w:tc>
          <w:tcPr>
            <w:tcW w:w="287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厂界现状值</w:t>
            </w:r>
          </w:p>
        </w:tc>
      </w:tr>
    </w:tbl>
    <w:p>
      <w:pPr>
        <w:tabs>
          <w:tab w:val="left" w:pos="377"/>
        </w:tabs>
        <w:ind w:firstLine="480"/>
        <w:rPr>
          <w:rFonts w:hint="default" w:ascii="Times New Roman" w:hAnsi="Times New Roman" w:eastAsia="宋体" w:cs="Times New Roman"/>
          <w:color w:val="auto"/>
        </w:rPr>
      </w:pP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0000FF"/>
          <w:sz w:val="24"/>
        </w:rPr>
        <w:t>2）监测项目：昼间等效声级Ld、夜间等效声级Ln。</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（3）监测时间：</w:t>
      </w:r>
      <w:r>
        <w:rPr>
          <w:rFonts w:hint="eastAsia" w:ascii="Times New Roman" w:hAnsi="Times New Roman" w:eastAsia="宋体" w:cs="Times New Roman"/>
          <w:color w:val="0000FF"/>
          <w:sz w:val="24"/>
          <w:lang w:val="en-US" w:eastAsia="zh-CN"/>
        </w:rPr>
        <w:t>新疆环疆绿源环保科技有限公司于2020年1月4日</w:t>
      </w:r>
      <w:r>
        <w:rPr>
          <w:rFonts w:hint="default" w:ascii="Times New Roman" w:hAnsi="Times New Roman" w:eastAsia="宋体" w:cs="Times New Roman"/>
          <w:color w:val="0000FF"/>
          <w:sz w:val="24"/>
        </w:rPr>
        <w:t>（4）监测方法：按照《声环境质量标准》（GB 3096-2008）中规定方法进行。</w:t>
      </w:r>
    </w:p>
    <w:p>
      <w:pPr>
        <w:spacing w:line="360" w:lineRule="auto"/>
        <w:ind w:firstLine="480" w:firstLineChars="200"/>
        <w:rPr>
          <w:rFonts w:hint="default" w:ascii="Times New Roman" w:hAnsi="Times New Roman" w:eastAsia="宋体" w:cs="Times New Roman"/>
          <w:color w:val="0000FF"/>
          <w:sz w:val="24"/>
          <w:lang w:val="sv-SE"/>
        </w:rPr>
      </w:pPr>
      <w:r>
        <w:rPr>
          <w:rFonts w:hint="default" w:ascii="Times New Roman" w:hAnsi="Times New Roman" w:eastAsia="宋体" w:cs="Times New Roman"/>
          <w:color w:val="0000FF"/>
          <w:sz w:val="24"/>
          <w:lang w:val="sv-SE"/>
        </w:rPr>
        <w:t>（5）监测结果</w:t>
      </w:r>
    </w:p>
    <w:p>
      <w:pPr>
        <w:spacing w:line="360" w:lineRule="auto"/>
        <w:ind w:firstLine="480" w:firstLineChars="200"/>
        <w:rPr>
          <w:rFonts w:hint="default" w:ascii="Times New Roman" w:hAnsi="Times New Roman" w:eastAsia="宋体" w:cs="Times New Roman"/>
          <w:color w:val="0000FF"/>
          <w:sz w:val="24"/>
          <w:lang w:val="sv-SE"/>
        </w:rPr>
      </w:pPr>
      <w:r>
        <w:rPr>
          <w:rFonts w:hint="default" w:ascii="Times New Roman" w:hAnsi="Times New Roman" w:eastAsia="宋体" w:cs="Times New Roman"/>
          <w:color w:val="0000FF"/>
          <w:sz w:val="24"/>
          <w:lang w:val="sv-SE"/>
        </w:rPr>
        <w:t>声环境质量监测统计结果见</w:t>
      </w:r>
      <w:r>
        <w:rPr>
          <w:rFonts w:hint="default" w:ascii="Times New Roman" w:hAnsi="Times New Roman" w:eastAsia="宋体" w:cs="Times New Roman"/>
          <w:color w:val="0000FF"/>
          <w:sz w:val="24"/>
        </w:rPr>
        <w:t>表4.2-</w:t>
      </w:r>
      <w:r>
        <w:rPr>
          <w:rFonts w:hint="eastAsia" w:ascii="Times New Roman" w:hAnsi="Times New Roman" w:eastAsia="宋体" w:cs="Times New Roman"/>
          <w:color w:val="0000FF"/>
          <w:sz w:val="24"/>
          <w:lang w:val="en-US" w:eastAsia="zh-CN"/>
        </w:rPr>
        <w:t>8</w:t>
      </w:r>
      <w:r>
        <w:rPr>
          <w:rFonts w:hint="default" w:ascii="Times New Roman" w:hAnsi="Times New Roman" w:eastAsia="宋体" w:cs="Times New Roman"/>
          <w:color w:val="0000FF"/>
          <w:sz w:val="24"/>
          <w:lang w:val="sv-SE"/>
        </w:rPr>
        <w:t>。</w:t>
      </w:r>
    </w:p>
    <w:p>
      <w:pPr>
        <w:spacing w:line="360" w:lineRule="auto"/>
        <w:jc w:val="center"/>
        <w:rPr>
          <w:rFonts w:hint="default" w:ascii="Times New Roman" w:hAnsi="Times New Roman" w:eastAsia="宋体" w:cs="Times New Roman"/>
          <w:b/>
          <w:color w:val="0000FF"/>
          <w:szCs w:val="21"/>
          <w:lang w:bidi="ar"/>
        </w:rPr>
      </w:pPr>
      <w:r>
        <w:rPr>
          <w:rFonts w:hint="default" w:ascii="Times New Roman" w:hAnsi="Times New Roman" w:eastAsia="宋体" w:cs="Times New Roman"/>
          <w:b/>
          <w:color w:val="0000FF"/>
          <w:szCs w:val="21"/>
          <w:lang w:bidi="ar"/>
        </w:rPr>
        <w:t>表4.2-</w:t>
      </w:r>
      <w:r>
        <w:rPr>
          <w:rFonts w:hint="eastAsia" w:ascii="Times New Roman" w:hAnsi="Times New Roman" w:eastAsia="宋体" w:cs="Times New Roman"/>
          <w:b/>
          <w:color w:val="0000FF"/>
          <w:szCs w:val="21"/>
          <w:lang w:val="en-US" w:eastAsia="zh-CN" w:bidi="ar"/>
        </w:rPr>
        <w:t>8</w:t>
      </w:r>
      <w:r>
        <w:rPr>
          <w:rFonts w:hint="default" w:ascii="Times New Roman" w:hAnsi="Times New Roman" w:eastAsia="宋体" w:cs="Times New Roman"/>
          <w:b/>
          <w:color w:val="0000FF"/>
          <w:szCs w:val="21"/>
          <w:lang w:bidi="ar"/>
        </w:rPr>
        <w:t xml:space="preserve">       噪声监测结果</w:t>
      </w:r>
    </w:p>
    <w:tbl>
      <w:tblPr>
        <w:tblStyle w:val="15"/>
        <w:tblW w:w="9239" w:type="dxa"/>
        <w:tblInd w:w="0" w:type="dxa"/>
        <w:tblLayout w:type="autofit"/>
        <w:tblCellMar>
          <w:top w:w="0" w:type="dxa"/>
          <w:left w:w="0" w:type="dxa"/>
          <w:bottom w:w="0" w:type="dxa"/>
          <w:right w:w="0" w:type="dxa"/>
        </w:tblCellMar>
      </w:tblPr>
      <w:tblGrid>
        <w:gridCol w:w="2003"/>
        <w:gridCol w:w="2124"/>
        <w:gridCol w:w="1571"/>
        <w:gridCol w:w="1071"/>
        <w:gridCol w:w="1433"/>
        <w:gridCol w:w="1037"/>
      </w:tblGrid>
      <w:tr>
        <w:tblPrEx>
          <w:tblCellMar>
            <w:top w:w="0" w:type="dxa"/>
            <w:left w:w="0" w:type="dxa"/>
            <w:bottom w:w="0" w:type="dxa"/>
            <w:right w:w="0" w:type="dxa"/>
          </w:tblCellMar>
        </w:tblPrEx>
        <w:trPr>
          <w:trHeight w:val="270" w:hRule="atLeast"/>
        </w:trPr>
        <w:tc>
          <w:tcPr>
            <w:tcW w:w="20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测点编号</w:t>
            </w:r>
          </w:p>
        </w:tc>
        <w:tc>
          <w:tcPr>
            <w:tcW w:w="21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测点位置</w:t>
            </w:r>
          </w:p>
        </w:tc>
        <w:tc>
          <w:tcPr>
            <w:tcW w:w="511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检测结果（dB(A)）</w:t>
            </w:r>
          </w:p>
        </w:tc>
      </w:tr>
      <w:tr>
        <w:tblPrEx>
          <w:tblCellMar>
            <w:top w:w="0" w:type="dxa"/>
            <w:left w:w="0" w:type="dxa"/>
            <w:bottom w:w="0" w:type="dxa"/>
            <w:right w:w="0" w:type="dxa"/>
          </w:tblCellMar>
        </w:tblPrEx>
        <w:trPr>
          <w:trHeight w:val="270" w:hRule="atLeast"/>
        </w:trPr>
        <w:tc>
          <w:tcPr>
            <w:tcW w:w="20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1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64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昼间</w:t>
            </w:r>
          </w:p>
        </w:tc>
        <w:tc>
          <w:tcPr>
            <w:tcW w:w="247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夜间</w:t>
            </w:r>
          </w:p>
        </w:tc>
      </w:tr>
      <w:tr>
        <w:trPr>
          <w:trHeight w:val="270" w:hRule="atLeast"/>
        </w:trPr>
        <w:tc>
          <w:tcPr>
            <w:tcW w:w="20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1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5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测量时段</w:t>
            </w:r>
          </w:p>
        </w:tc>
        <w:tc>
          <w:tcPr>
            <w:tcW w:w="1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测量值</w:t>
            </w:r>
          </w:p>
        </w:tc>
        <w:tc>
          <w:tcPr>
            <w:tcW w:w="1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测量时段</w:t>
            </w:r>
          </w:p>
        </w:tc>
        <w:tc>
          <w:tcPr>
            <w:tcW w:w="10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测量值</w:t>
            </w:r>
          </w:p>
        </w:tc>
      </w:tr>
      <w:tr>
        <w:tblPrEx>
          <w:tblCellMar>
            <w:top w:w="0" w:type="dxa"/>
            <w:left w:w="0" w:type="dxa"/>
            <w:bottom w:w="0" w:type="dxa"/>
            <w:right w:w="0" w:type="dxa"/>
          </w:tblCellMar>
        </w:tblPrEx>
        <w:trPr>
          <w:trHeight w:val="270" w:hRule="atLeast"/>
        </w:trPr>
        <w:tc>
          <w:tcPr>
            <w:tcW w:w="20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20200011-Z1-1</w:t>
            </w:r>
          </w:p>
        </w:tc>
        <w:tc>
          <w:tcPr>
            <w:tcW w:w="21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项目区东侧外1m</w:t>
            </w:r>
          </w:p>
        </w:tc>
        <w:tc>
          <w:tcPr>
            <w:tcW w:w="157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11:02-11:12</w:t>
            </w:r>
          </w:p>
        </w:tc>
        <w:tc>
          <w:tcPr>
            <w:tcW w:w="107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40</w:t>
            </w:r>
          </w:p>
        </w:tc>
        <w:tc>
          <w:tcPr>
            <w:tcW w:w="14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00:02-00:12</w:t>
            </w:r>
          </w:p>
        </w:tc>
        <w:tc>
          <w:tcPr>
            <w:tcW w:w="10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38</w:t>
            </w:r>
          </w:p>
        </w:tc>
      </w:tr>
      <w:tr>
        <w:tblPrEx>
          <w:tblCellMar>
            <w:top w:w="0" w:type="dxa"/>
            <w:left w:w="0" w:type="dxa"/>
            <w:bottom w:w="0" w:type="dxa"/>
            <w:right w:w="0" w:type="dxa"/>
          </w:tblCellMar>
        </w:tblPrEx>
        <w:trPr>
          <w:trHeight w:val="270" w:hRule="atLeast"/>
        </w:trPr>
        <w:tc>
          <w:tcPr>
            <w:tcW w:w="20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1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57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07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4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0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r>
      <w:tr>
        <w:tblPrEx>
          <w:tblCellMar>
            <w:top w:w="0" w:type="dxa"/>
            <w:left w:w="0" w:type="dxa"/>
            <w:bottom w:w="0" w:type="dxa"/>
            <w:right w:w="0" w:type="dxa"/>
          </w:tblCellMar>
        </w:tblPrEx>
        <w:trPr>
          <w:trHeight w:val="270" w:hRule="atLeast"/>
        </w:trPr>
        <w:tc>
          <w:tcPr>
            <w:tcW w:w="20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20200011-Z2-1</w:t>
            </w:r>
          </w:p>
        </w:tc>
        <w:tc>
          <w:tcPr>
            <w:tcW w:w="21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项目区南侧外1m</w:t>
            </w:r>
          </w:p>
        </w:tc>
        <w:tc>
          <w:tcPr>
            <w:tcW w:w="157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11:27-11:37</w:t>
            </w:r>
          </w:p>
        </w:tc>
        <w:tc>
          <w:tcPr>
            <w:tcW w:w="107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38</w:t>
            </w:r>
          </w:p>
        </w:tc>
        <w:tc>
          <w:tcPr>
            <w:tcW w:w="14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00:25-00:35</w:t>
            </w:r>
          </w:p>
        </w:tc>
        <w:tc>
          <w:tcPr>
            <w:tcW w:w="10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37</w:t>
            </w:r>
          </w:p>
        </w:tc>
      </w:tr>
      <w:tr>
        <w:tblPrEx>
          <w:tblCellMar>
            <w:top w:w="0" w:type="dxa"/>
            <w:left w:w="0" w:type="dxa"/>
            <w:bottom w:w="0" w:type="dxa"/>
            <w:right w:w="0" w:type="dxa"/>
          </w:tblCellMar>
        </w:tblPrEx>
        <w:trPr>
          <w:trHeight w:val="270" w:hRule="atLeast"/>
        </w:trPr>
        <w:tc>
          <w:tcPr>
            <w:tcW w:w="20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1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57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07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4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0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r>
      <w:tr>
        <w:tblPrEx>
          <w:tblCellMar>
            <w:top w:w="0" w:type="dxa"/>
            <w:left w:w="0" w:type="dxa"/>
            <w:bottom w:w="0" w:type="dxa"/>
            <w:right w:w="0" w:type="dxa"/>
          </w:tblCellMar>
        </w:tblPrEx>
        <w:trPr>
          <w:trHeight w:val="270" w:hRule="atLeast"/>
        </w:trPr>
        <w:tc>
          <w:tcPr>
            <w:tcW w:w="20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20200011-Z3-1</w:t>
            </w:r>
          </w:p>
        </w:tc>
        <w:tc>
          <w:tcPr>
            <w:tcW w:w="21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项目区西侧外1m</w:t>
            </w:r>
          </w:p>
        </w:tc>
        <w:tc>
          <w:tcPr>
            <w:tcW w:w="157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11:50-12:00</w:t>
            </w:r>
          </w:p>
        </w:tc>
        <w:tc>
          <w:tcPr>
            <w:tcW w:w="107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37</w:t>
            </w:r>
          </w:p>
        </w:tc>
        <w:tc>
          <w:tcPr>
            <w:tcW w:w="14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00:48-00:58</w:t>
            </w:r>
          </w:p>
        </w:tc>
        <w:tc>
          <w:tcPr>
            <w:tcW w:w="10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37</w:t>
            </w:r>
          </w:p>
        </w:tc>
      </w:tr>
      <w:tr>
        <w:tblPrEx>
          <w:tblCellMar>
            <w:top w:w="0" w:type="dxa"/>
            <w:left w:w="0" w:type="dxa"/>
            <w:bottom w:w="0" w:type="dxa"/>
            <w:right w:w="0" w:type="dxa"/>
          </w:tblCellMar>
        </w:tblPrEx>
        <w:trPr>
          <w:trHeight w:val="270" w:hRule="atLeast"/>
        </w:trPr>
        <w:tc>
          <w:tcPr>
            <w:tcW w:w="20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1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57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07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4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0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r>
      <w:tr>
        <w:tblPrEx>
          <w:tblCellMar>
            <w:top w:w="0" w:type="dxa"/>
            <w:left w:w="0" w:type="dxa"/>
            <w:bottom w:w="0" w:type="dxa"/>
            <w:right w:w="0" w:type="dxa"/>
          </w:tblCellMar>
        </w:tblPrEx>
        <w:trPr>
          <w:trHeight w:val="270" w:hRule="atLeast"/>
        </w:trPr>
        <w:tc>
          <w:tcPr>
            <w:tcW w:w="20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2020001 1-Z4-1</w:t>
            </w:r>
          </w:p>
        </w:tc>
        <w:tc>
          <w:tcPr>
            <w:tcW w:w="21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项目区北侧外1m</w:t>
            </w:r>
          </w:p>
        </w:tc>
        <w:tc>
          <w:tcPr>
            <w:tcW w:w="157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12:13-12:23</w:t>
            </w:r>
          </w:p>
        </w:tc>
        <w:tc>
          <w:tcPr>
            <w:tcW w:w="107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45</w:t>
            </w:r>
          </w:p>
        </w:tc>
        <w:tc>
          <w:tcPr>
            <w:tcW w:w="14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01:14-01:24</w:t>
            </w:r>
          </w:p>
        </w:tc>
        <w:tc>
          <w:tcPr>
            <w:tcW w:w="10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40</w:t>
            </w:r>
          </w:p>
        </w:tc>
      </w:tr>
      <w:tr>
        <w:trPr>
          <w:trHeight w:val="270" w:hRule="atLeast"/>
        </w:trPr>
        <w:tc>
          <w:tcPr>
            <w:tcW w:w="20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21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57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07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4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c>
          <w:tcPr>
            <w:tcW w:w="10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1"/>
                <w:szCs w:val="21"/>
                <w:u w:val="none"/>
              </w:rPr>
            </w:pPr>
          </w:p>
        </w:tc>
      </w:tr>
    </w:tbl>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由以上监测结果可以看出，本项目四个厂界昼间、夜间声环境均满足《声环境质量标准》（GB 3096-2008）中</w:t>
      </w:r>
      <w:r>
        <w:rPr>
          <w:rFonts w:hint="eastAsia" w:ascii="Times New Roman" w:hAnsi="Times New Roman" w:eastAsia="宋体" w:cs="Times New Roman"/>
          <w:color w:val="0000FF"/>
          <w:sz w:val="24"/>
          <w:lang w:val="en-US" w:eastAsia="zh-CN"/>
        </w:rPr>
        <w:t>2</w:t>
      </w:r>
      <w:r>
        <w:rPr>
          <w:rFonts w:hint="default" w:ascii="Times New Roman" w:hAnsi="Times New Roman" w:eastAsia="宋体" w:cs="Times New Roman"/>
          <w:color w:val="0000FF"/>
          <w:sz w:val="24"/>
        </w:rPr>
        <w:t>类标准要求。</w:t>
      </w:r>
    </w:p>
    <w:p>
      <w:pPr>
        <w:pStyle w:val="5"/>
        <w:numPr>
          <w:ilvl w:val="2"/>
          <w:numId w:val="40"/>
        </w:numPr>
        <w:tabs>
          <w:tab w:val="left" w:pos="1241"/>
        </w:tabs>
        <w:spacing w:before="117" w:after="0" w:line="240" w:lineRule="auto"/>
        <w:ind w:left="1240" w:right="0" w:hanging="701"/>
        <w:jc w:val="left"/>
        <w:outlineLvl w:val="2"/>
      </w:pPr>
      <w:bookmarkStart w:id="252" w:name="4.2.4 土壤环境质量现状与评价"/>
      <w:bookmarkEnd w:id="252"/>
      <w:bookmarkStart w:id="253" w:name="4.2.4 土壤环境质量现状与评价"/>
      <w:bookmarkEnd w:id="253"/>
      <w:bookmarkStart w:id="254" w:name="_Toc25356"/>
      <w:r>
        <w:t>土壤环境质量现状与评价</w:t>
      </w:r>
      <w:bookmarkEnd w:id="254"/>
    </w:p>
    <w:p>
      <w:pPr>
        <w:spacing w:line="360" w:lineRule="auto"/>
        <w:ind w:firstLine="480" w:firstLineChars="200"/>
        <w:rPr>
          <w:rFonts w:hint="eastAsia" w:ascii="宋体" w:hAnsi="宋体" w:eastAsia="宋体" w:cs="宋体"/>
          <w:color w:val="0000FF"/>
          <w:sz w:val="24"/>
          <w:lang w:val="en-US" w:eastAsia="zh-CN"/>
        </w:rPr>
      </w:pPr>
      <w:r>
        <w:rPr>
          <w:rFonts w:hint="eastAsia" w:ascii="Times New Roman" w:hAnsi="Times New Roman" w:eastAsia="宋体" w:cs="Times New Roman"/>
          <w:color w:val="0000FF"/>
          <w:sz w:val="24"/>
          <w:lang w:val="en-US" w:eastAsia="zh-CN"/>
        </w:rPr>
        <w:t>对照《环境影响评价技术导则 土壤环境（试行）》（HJ964-2018）附录A，项目类别为Ⅲ类项目，项目周边存在土地环境敏感目标，项目所在区域土壤环境敏感程度为“敏感”，土壤环境评价工作等级为三级，故本次评价对项目区土壤环境现状进行调查</w:t>
      </w:r>
      <w:r>
        <w:rPr>
          <w:rFonts w:hint="eastAsia" w:ascii="宋体" w:hAnsi="宋体" w:eastAsia="宋体" w:cs="宋体"/>
          <w:color w:val="0000FF"/>
          <w:sz w:val="24"/>
          <w:lang w:val="en-US" w:eastAsia="zh-CN"/>
        </w:rPr>
        <w:t>。本项目土壤现状监测新疆环疆绿源环保科技有限公司于2020年1月8日采样。</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（1）监测布点</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占地范围内3个表层样。</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2</w:t>
      </w:r>
      <w:r>
        <w:rPr>
          <w:rFonts w:hint="eastAsia"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监测分析方法</w:t>
      </w:r>
    </w:p>
    <w:p>
      <w:pPr>
        <w:spacing w:line="360" w:lineRule="auto"/>
        <w:ind w:firstLine="480" w:firstLineChars="200"/>
        <w:rPr>
          <w:rFonts w:hint="eastAsia"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土壤监测分析方法参照国家环保局《土壤环境监测技术规范》（HJ/T166－2004）执行。</w:t>
      </w:r>
    </w:p>
    <w:p>
      <w:pPr>
        <w:pStyle w:val="7"/>
        <w:numPr>
          <w:ilvl w:val="0"/>
          <w:numId w:val="0"/>
        </w:numPr>
        <w:ind w:left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（3）评价标准</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本项目所在区域不属于农用地，采用《土壤环境质量建设用地土壤污染风险管控标准（试行）》（GB36600-2018）中第二类用地标准，对评价区域土壤环境质量现状进行评价。</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（4）监测及评价结果</w:t>
      </w:r>
    </w:p>
    <w:p>
      <w:pPr>
        <w:spacing w:line="360" w:lineRule="auto"/>
        <w:ind w:firstLine="480" w:firstLineChars="200"/>
        <w:rPr>
          <w:rFonts w:hint="eastAsia"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土壤环境质量评价结果见表4.2-9</w:t>
      </w:r>
    </w:p>
    <w:tbl>
      <w:tblPr>
        <w:tblStyle w:val="15"/>
        <w:tblpPr w:leftFromText="180" w:rightFromText="180" w:vertAnchor="text" w:horzAnchor="page" w:tblpX="1346" w:tblpY="469"/>
        <w:tblOverlap w:val="never"/>
        <w:tblW w:w="9319" w:type="dxa"/>
        <w:tblInd w:w="0" w:type="dxa"/>
        <w:tblLayout w:type="autofit"/>
        <w:tblCellMar>
          <w:top w:w="0" w:type="dxa"/>
          <w:left w:w="0" w:type="dxa"/>
          <w:bottom w:w="0" w:type="dxa"/>
          <w:right w:w="0" w:type="dxa"/>
        </w:tblCellMar>
      </w:tblPr>
      <w:tblGrid>
        <w:gridCol w:w="1327"/>
        <w:gridCol w:w="1006"/>
        <w:gridCol w:w="884"/>
        <w:gridCol w:w="823"/>
        <w:gridCol w:w="808"/>
        <w:gridCol w:w="792"/>
        <w:gridCol w:w="808"/>
        <w:gridCol w:w="824"/>
        <w:gridCol w:w="639"/>
        <w:gridCol w:w="518"/>
        <w:gridCol w:w="890"/>
      </w:tblGrid>
      <w:tr>
        <w:tblPrEx>
          <w:tblCellMar>
            <w:top w:w="0" w:type="dxa"/>
            <w:left w:w="0" w:type="dxa"/>
            <w:bottom w:w="0" w:type="dxa"/>
            <w:right w:w="0" w:type="dxa"/>
          </w:tblCellMar>
        </w:tblPrEx>
        <w:trPr>
          <w:trHeight w:val="342" w:hRule="atLeast"/>
        </w:trPr>
        <w:tc>
          <w:tcPr>
            <w:tcW w:w="132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点位编号</w:t>
            </w:r>
          </w:p>
        </w:tc>
        <w:tc>
          <w:tcPr>
            <w:tcW w:w="1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样品</w:t>
            </w:r>
          </w:p>
        </w:tc>
        <w:tc>
          <w:tcPr>
            <w:tcW w:w="6986" w:type="dxa"/>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检测项目</w:t>
            </w:r>
          </w:p>
        </w:tc>
      </w:tr>
      <w:tr>
        <w:tblPrEx>
          <w:tblCellMar>
            <w:top w:w="0" w:type="dxa"/>
            <w:left w:w="0" w:type="dxa"/>
            <w:bottom w:w="0" w:type="dxa"/>
            <w:right w:w="0" w:type="dxa"/>
          </w:tblCellMar>
        </w:tblPrEx>
        <w:trPr>
          <w:trHeight w:val="342" w:hRule="atLeast"/>
        </w:trPr>
        <w:tc>
          <w:tcPr>
            <w:tcW w:w="132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4"/>
                <w:szCs w:val="24"/>
                <w:u w:val="none"/>
              </w:rPr>
            </w:pPr>
          </w:p>
        </w:tc>
        <w:tc>
          <w:tcPr>
            <w:tcW w:w="1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状态</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PH</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总砷</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总汞</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铅</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镉</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六价铬</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铜</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镍</w:t>
            </w:r>
          </w:p>
        </w:tc>
        <w:tc>
          <w:tcPr>
            <w:tcW w:w="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锌</w:t>
            </w:r>
          </w:p>
        </w:tc>
      </w:tr>
      <w:tr>
        <w:tblPrEx>
          <w:tblCellMar>
            <w:top w:w="0" w:type="dxa"/>
            <w:left w:w="0" w:type="dxa"/>
            <w:bottom w:w="0" w:type="dxa"/>
            <w:right w:w="0" w:type="dxa"/>
          </w:tblCellMar>
        </w:tblPrEx>
        <w:trPr>
          <w:trHeight w:val="977" w:hRule="atLeast"/>
        </w:trPr>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T1:厂界</w:t>
            </w:r>
            <w:r>
              <w:rPr>
                <w:rFonts w:hint="eastAsia" w:ascii="宋体" w:hAnsi="宋体" w:eastAsia="宋体" w:cs="宋体"/>
                <w:i w:val="0"/>
                <w:color w:val="0000FF"/>
                <w:kern w:val="0"/>
                <w:sz w:val="24"/>
                <w:szCs w:val="24"/>
                <w:u w:val="none"/>
                <w:lang w:val="en-US" w:eastAsia="zh-CN" w:bidi="ar"/>
              </w:rPr>
              <w:br w:type="textWrapping"/>
            </w:r>
            <w:r>
              <w:rPr>
                <w:rFonts w:hint="eastAsia" w:ascii="宋体" w:hAnsi="宋体" w:eastAsia="宋体" w:cs="宋体"/>
                <w:i w:val="0"/>
                <w:color w:val="0000FF"/>
                <w:kern w:val="0"/>
                <w:sz w:val="24"/>
                <w:szCs w:val="24"/>
                <w:u w:val="none"/>
                <w:lang w:val="en-US" w:eastAsia="zh-CN" w:bidi="ar"/>
              </w:rPr>
              <w:t>内土壤(表层:0-20cm)</w:t>
            </w:r>
          </w:p>
        </w:tc>
        <w:tc>
          <w:tcPr>
            <w:tcW w:w="100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棕色、砂土、干</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8.41</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20.5</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0.056</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24.8</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0.23</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6</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38</w:t>
            </w:r>
          </w:p>
        </w:tc>
        <w:tc>
          <w:tcPr>
            <w:tcW w:w="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40</w:t>
            </w:r>
          </w:p>
        </w:tc>
      </w:tr>
      <w:tr>
        <w:tblPrEx>
          <w:tblCellMar>
            <w:top w:w="0" w:type="dxa"/>
            <w:left w:w="0" w:type="dxa"/>
            <w:bottom w:w="0" w:type="dxa"/>
            <w:right w:w="0" w:type="dxa"/>
          </w:tblCellMar>
        </w:tblPrEx>
        <w:trPr>
          <w:trHeight w:val="1045" w:hRule="atLeast"/>
        </w:trPr>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T2:厂界</w:t>
            </w:r>
            <w:r>
              <w:rPr>
                <w:rFonts w:hint="eastAsia" w:ascii="宋体" w:hAnsi="宋体" w:eastAsia="宋体" w:cs="宋体"/>
                <w:i w:val="0"/>
                <w:color w:val="0000FF"/>
                <w:kern w:val="0"/>
                <w:sz w:val="24"/>
                <w:szCs w:val="24"/>
                <w:u w:val="none"/>
                <w:lang w:val="en-US" w:eastAsia="zh-CN" w:bidi="ar"/>
              </w:rPr>
              <w:br w:type="textWrapping"/>
            </w:r>
            <w:r>
              <w:rPr>
                <w:rFonts w:hint="eastAsia" w:ascii="宋体" w:hAnsi="宋体" w:eastAsia="宋体" w:cs="宋体"/>
                <w:i w:val="0"/>
                <w:color w:val="0000FF"/>
                <w:kern w:val="0"/>
                <w:sz w:val="24"/>
                <w:szCs w:val="24"/>
                <w:u w:val="none"/>
                <w:lang w:val="en-US" w:eastAsia="zh-CN" w:bidi="ar"/>
              </w:rPr>
              <w:t>外土壤(表层:0-20cm)</w:t>
            </w:r>
          </w:p>
        </w:tc>
        <w:tc>
          <w:tcPr>
            <w:tcW w:w="100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4"/>
                <w:szCs w:val="24"/>
                <w:u w:val="none"/>
              </w:rPr>
            </w:pP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8.04</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21.8</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0.054</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26</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0.29</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7</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35</w:t>
            </w:r>
          </w:p>
        </w:tc>
        <w:tc>
          <w:tcPr>
            <w:tcW w:w="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35</w:t>
            </w:r>
          </w:p>
        </w:tc>
      </w:tr>
      <w:tr>
        <w:tblPrEx>
          <w:tblCellMar>
            <w:top w:w="0" w:type="dxa"/>
            <w:left w:w="0" w:type="dxa"/>
            <w:bottom w:w="0" w:type="dxa"/>
            <w:right w:w="0" w:type="dxa"/>
          </w:tblCellMar>
        </w:tblPrEx>
        <w:trPr>
          <w:trHeight w:val="1025" w:hRule="atLeast"/>
        </w:trPr>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T3:厂界</w:t>
            </w:r>
            <w:r>
              <w:rPr>
                <w:rFonts w:hint="eastAsia" w:ascii="宋体" w:hAnsi="宋体" w:eastAsia="宋体" w:cs="宋体"/>
                <w:i w:val="0"/>
                <w:color w:val="0000FF"/>
                <w:kern w:val="0"/>
                <w:sz w:val="24"/>
                <w:szCs w:val="24"/>
                <w:u w:val="none"/>
                <w:lang w:val="en-US" w:eastAsia="zh-CN" w:bidi="ar"/>
              </w:rPr>
              <w:br w:type="textWrapping"/>
            </w:r>
            <w:r>
              <w:rPr>
                <w:rFonts w:hint="eastAsia" w:ascii="宋体" w:hAnsi="宋体" w:eastAsia="宋体" w:cs="宋体"/>
                <w:i w:val="0"/>
                <w:color w:val="0000FF"/>
                <w:kern w:val="0"/>
                <w:sz w:val="24"/>
                <w:szCs w:val="24"/>
                <w:u w:val="none"/>
                <w:lang w:val="en-US" w:eastAsia="zh-CN" w:bidi="ar"/>
              </w:rPr>
              <w:t>外土壤(表层:0-20cm)</w:t>
            </w:r>
          </w:p>
        </w:tc>
        <w:tc>
          <w:tcPr>
            <w:tcW w:w="100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FF"/>
                <w:sz w:val="24"/>
                <w:szCs w:val="24"/>
                <w:u w:val="none"/>
              </w:rPr>
            </w:pP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7.96</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21.8</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0.081</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25</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0.19</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7</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36</w:t>
            </w:r>
          </w:p>
        </w:tc>
        <w:tc>
          <w:tcPr>
            <w:tcW w:w="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30</w:t>
            </w:r>
          </w:p>
        </w:tc>
      </w:tr>
      <w:tr>
        <w:tblPrEx>
          <w:tblCellMar>
            <w:top w:w="0" w:type="dxa"/>
            <w:left w:w="0" w:type="dxa"/>
            <w:bottom w:w="0" w:type="dxa"/>
            <w:right w:w="0" w:type="dxa"/>
          </w:tblCellMar>
        </w:tblPrEx>
        <w:trPr>
          <w:trHeight w:val="342" w:hRule="atLeast"/>
        </w:trPr>
        <w:tc>
          <w:tcPr>
            <w:tcW w:w="233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筛选</w:t>
            </w:r>
            <w:r>
              <w:rPr>
                <w:rStyle w:val="25"/>
                <w:color w:val="0000FF"/>
                <w:sz w:val="24"/>
                <w:szCs w:val="24"/>
                <w:lang w:val="en-US" w:eastAsia="zh-CN" w:bidi="ar"/>
              </w:rPr>
              <w:t>值</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60</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38</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800</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65</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5.7</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18000</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900</w:t>
            </w:r>
          </w:p>
        </w:tc>
        <w:tc>
          <w:tcPr>
            <w:tcW w:w="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w:t>
            </w:r>
          </w:p>
        </w:tc>
      </w:tr>
      <w:tr>
        <w:tblPrEx>
          <w:tblCellMar>
            <w:top w:w="0" w:type="dxa"/>
            <w:left w:w="0" w:type="dxa"/>
            <w:bottom w:w="0" w:type="dxa"/>
            <w:right w:w="0" w:type="dxa"/>
          </w:tblCellMar>
        </w:tblPrEx>
        <w:trPr>
          <w:trHeight w:val="352" w:hRule="atLeast"/>
        </w:trPr>
        <w:tc>
          <w:tcPr>
            <w:tcW w:w="233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达标情况</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w:t>
            </w:r>
          </w:p>
        </w:tc>
        <w:tc>
          <w:tcPr>
            <w:tcW w:w="8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达标</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达标</w:t>
            </w:r>
          </w:p>
        </w:tc>
        <w:tc>
          <w:tcPr>
            <w:tcW w:w="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达标</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达标</w:t>
            </w:r>
          </w:p>
        </w:tc>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达标</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达标</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达标</w:t>
            </w:r>
          </w:p>
        </w:tc>
        <w:tc>
          <w:tcPr>
            <w:tcW w:w="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4"/>
                <w:szCs w:val="24"/>
                <w:u w:val="none"/>
              </w:rPr>
            </w:pPr>
            <w:r>
              <w:rPr>
                <w:rFonts w:hint="eastAsia" w:ascii="宋体" w:hAnsi="宋体" w:eastAsia="宋体" w:cs="宋体"/>
                <w:i w:val="0"/>
                <w:color w:val="0000FF"/>
                <w:kern w:val="0"/>
                <w:sz w:val="24"/>
                <w:szCs w:val="24"/>
                <w:u w:val="none"/>
                <w:lang w:val="en-US" w:eastAsia="zh-CN" w:bidi="ar"/>
              </w:rPr>
              <w:t>-</w:t>
            </w:r>
          </w:p>
        </w:tc>
      </w:tr>
    </w:tbl>
    <w:p>
      <w:pPr>
        <w:spacing w:line="360" w:lineRule="auto"/>
        <w:jc w:val="center"/>
        <w:rPr>
          <w:rFonts w:hint="eastAsia" w:ascii="Times New Roman" w:hAnsi="Times New Roman" w:eastAsia="宋体" w:cs="Times New Roman"/>
          <w:b/>
          <w:color w:val="0000FF"/>
          <w:szCs w:val="21"/>
          <w:lang w:bidi="ar"/>
        </w:rPr>
      </w:pPr>
      <w:r>
        <w:rPr>
          <w:rFonts w:hint="eastAsia" w:ascii="Times New Roman" w:hAnsi="Times New Roman" w:eastAsia="宋体" w:cs="Times New Roman"/>
          <w:b/>
          <w:color w:val="0000FF"/>
          <w:szCs w:val="21"/>
          <w:lang w:val="en-US" w:eastAsia="zh-CN" w:bidi="ar"/>
        </w:rPr>
        <w:t>表</w:t>
      </w:r>
      <w:r>
        <w:rPr>
          <w:rFonts w:hint="eastAsia" w:ascii="Times New Roman" w:hAnsi="Times New Roman" w:eastAsia="宋体" w:cs="Times New Roman"/>
          <w:b/>
          <w:color w:val="0000FF"/>
          <w:szCs w:val="21"/>
          <w:lang w:bidi="ar"/>
        </w:rPr>
        <w:t>4</w:t>
      </w:r>
      <w:r>
        <w:rPr>
          <w:rFonts w:hint="eastAsia" w:ascii="Times New Roman" w:hAnsi="Times New Roman" w:eastAsia="宋体" w:cs="Times New Roman"/>
          <w:b/>
          <w:color w:val="0000FF"/>
          <w:szCs w:val="21"/>
          <w:lang w:val="en-US" w:eastAsia="zh-CN" w:bidi="ar"/>
        </w:rPr>
        <w:t>.2</w:t>
      </w:r>
      <w:r>
        <w:rPr>
          <w:rFonts w:hint="eastAsia" w:ascii="Times New Roman" w:hAnsi="Times New Roman" w:eastAsia="宋体" w:cs="Times New Roman"/>
          <w:b/>
          <w:color w:val="0000FF"/>
          <w:szCs w:val="21"/>
          <w:lang w:bidi="ar"/>
        </w:rPr>
        <w:t>-</w:t>
      </w:r>
      <w:r>
        <w:rPr>
          <w:rFonts w:hint="eastAsia" w:ascii="Times New Roman" w:hAnsi="Times New Roman" w:eastAsia="宋体" w:cs="Times New Roman"/>
          <w:b/>
          <w:color w:val="0000FF"/>
          <w:szCs w:val="21"/>
          <w:lang w:val="en-US" w:eastAsia="zh-CN" w:bidi="ar"/>
        </w:rPr>
        <w:t xml:space="preserve">9  </w:t>
      </w:r>
      <w:r>
        <w:rPr>
          <w:rFonts w:hint="eastAsia" w:ascii="Times New Roman" w:hAnsi="Times New Roman" w:eastAsia="宋体" w:cs="Times New Roman"/>
          <w:b/>
          <w:color w:val="0000FF"/>
          <w:szCs w:val="21"/>
          <w:lang w:bidi="ar"/>
        </w:rPr>
        <w:t>土壤监测及评价结果（</w:t>
      </w:r>
      <w:r>
        <w:rPr>
          <w:rFonts w:hint="eastAsia" w:ascii="Times New Roman" w:hAnsi="Times New Roman" w:eastAsia="宋体" w:cs="Times New Roman"/>
          <w:b/>
          <w:color w:val="0000FF"/>
          <w:szCs w:val="21"/>
          <w:lang w:val="en-US" w:eastAsia="zh-CN" w:bidi="ar"/>
        </w:rPr>
        <w:t>T1</w:t>
      </w:r>
      <w:r>
        <w:rPr>
          <w:rFonts w:hint="eastAsia" w:ascii="Times New Roman" w:hAnsi="Times New Roman" w:eastAsia="宋体" w:cs="Times New Roman"/>
          <w:b/>
          <w:color w:val="0000FF"/>
          <w:szCs w:val="21"/>
          <w:lang w:bidi="ar"/>
        </w:rPr>
        <w:t>、</w:t>
      </w:r>
      <w:r>
        <w:rPr>
          <w:rFonts w:hint="eastAsia" w:ascii="Times New Roman" w:hAnsi="Times New Roman" w:eastAsia="宋体" w:cs="Times New Roman"/>
          <w:b/>
          <w:color w:val="0000FF"/>
          <w:szCs w:val="21"/>
          <w:lang w:val="en-US" w:eastAsia="zh-CN" w:bidi="ar"/>
        </w:rPr>
        <w:t>T2、T3</w:t>
      </w:r>
      <w:r>
        <w:rPr>
          <w:rFonts w:hint="eastAsia" w:ascii="Times New Roman" w:hAnsi="Times New Roman" w:eastAsia="宋体" w:cs="Times New Roman"/>
          <w:b/>
          <w:color w:val="0000FF"/>
          <w:szCs w:val="21"/>
          <w:lang w:bidi="ar"/>
        </w:rPr>
        <w:t>）单位：mg/kg</w:t>
      </w:r>
    </w:p>
    <w:p>
      <w:pPr>
        <w:pStyle w:val="7"/>
        <w:spacing w:before="90" w:line="364" w:lineRule="auto"/>
        <w:ind w:left="220" w:right="243" w:firstLine="480"/>
        <w:jc w:val="both"/>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rPr>
        <w:t>由检测结果表明，</w:t>
      </w:r>
      <w:bookmarkStart w:id="255" w:name="_Toc216670304"/>
      <w:r>
        <w:rPr>
          <w:color w:val="0000FF"/>
          <w:spacing w:val="-5"/>
        </w:rPr>
        <w:t>在项目占地范围内设</w:t>
      </w:r>
      <w:r>
        <w:rPr>
          <w:rFonts w:ascii="Times New Roman" w:eastAsia="Times New Roman"/>
          <w:color w:val="0000FF"/>
        </w:rPr>
        <w:t>3</w:t>
      </w:r>
      <w:r>
        <w:rPr>
          <w:color w:val="0000FF"/>
          <w:spacing w:val="-4"/>
        </w:rPr>
        <w:t>个表层样监测点。其中监测点</w:t>
      </w:r>
      <w:r>
        <w:rPr>
          <w:rFonts w:ascii="Times New Roman" w:eastAsia="Times New Roman"/>
          <w:color w:val="0000FF"/>
        </w:rPr>
        <w:t>1#</w:t>
      </w:r>
      <w:r>
        <w:rPr>
          <w:rFonts w:hint="eastAsia" w:ascii="Times New Roman" w:eastAsia="宋体"/>
          <w:color w:val="0000FF"/>
          <w:lang w:val="en-US" w:eastAsia="zh-CN"/>
        </w:rPr>
        <w:t>2#3#</w:t>
      </w:r>
      <w:r>
        <w:rPr>
          <w:color w:val="0000FF"/>
        </w:rPr>
        <w:t>检测《畜禽养殖产地评价规范》（</w:t>
      </w:r>
      <w:r>
        <w:rPr>
          <w:rFonts w:ascii="Times New Roman" w:eastAsia="Times New Roman"/>
          <w:color w:val="0000FF"/>
        </w:rPr>
        <w:t>HJ568-2010</w:t>
      </w:r>
      <w:r>
        <w:rPr>
          <w:color w:val="0000FF"/>
        </w:rPr>
        <w:t>）</w:t>
      </w:r>
      <w:r>
        <w:rPr>
          <w:color w:val="0000FF"/>
          <w:spacing w:val="-31"/>
        </w:rPr>
        <w:t>表</w:t>
      </w:r>
      <w:r>
        <w:rPr>
          <w:rFonts w:ascii="Times New Roman" w:eastAsia="Times New Roman"/>
          <w:color w:val="0000FF"/>
        </w:rPr>
        <w:t>4</w:t>
      </w:r>
      <w:r>
        <w:rPr>
          <w:color w:val="0000FF"/>
          <w:spacing w:val="-20"/>
        </w:rPr>
        <w:t>所列</w:t>
      </w:r>
      <w:r>
        <w:rPr>
          <w:rFonts w:ascii="Times New Roman" w:eastAsia="Times New Roman"/>
          <w:color w:val="0000FF"/>
        </w:rPr>
        <w:t>8</w:t>
      </w:r>
      <w:r>
        <w:rPr>
          <w:color w:val="0000FF"/>
          <w:spacing w:val="-10"/>
        </w:rPr>
        <w:t>项基本项及</w:t>
      </w:r>
      <w:r>
        <w:rPr>
          <w:rFonts w:ascii="Times New Roman" w:eastAsia="Times New Roman"/>
          <w:color w:val="0000FF"/>
        </w:rPr>
        <w:t>pH</w:t>
      </w:r>
      <w:r>
        <w:rPr>
          <w:color w:val="0000FF"/>
          <w:spacing w:val="-8"/>
        </w:rPr>
        <w:t>、共计</w:t>
      </w:r>
      <w:r>
        <w:rPr>
          <w:rFonts w:hint="eastAsia"/>
          <w:color w:val="0000FF"/>
          <w:spacing w:val="-8"/>
          <w:lang w:val="en-US" w:eastAsia="zh-CN"/>
        </w:rPr>
        <w:t>9</w:t>
      </w:r>
      <w:r>
        <w:rPr>
          <w:color w:val="0000FF"/>
          <w:spacing w:val="-8"/>
        </w:rPr>
        <w:t>项；</w:t>
      </w:r>
      <w:r>
        <w:rPr>
          <w:rFonts w:hint="eastAsia" w:ascii="Times New Roman" w:hAnsi="Times New Roman" w:eastAsia="宋体" w:cs="Times New Roman"/>
          <w:color w:val="0000FF"/>
          <w:sz w:val="24"/>
        </w:rPr>
        <w:t>土壤中所监测的各类因子检测值均低于《土壤环境质量建设用地土壤污染风险管控标准（试行）》（GB36600-2018）中第二类用地标准筛选值，项目区土壤现状环境质量满足《土壤环境质量建设用地土壤污染风险管控标准（试行）》（GB36600-2018）标准的要求。</w:t>
      </w:r>
      <w:bookmarkEnd w:id="255"/>
    </w:p>
    <w:p>
      <w:pPr>
        <w:pStyle w:val="5"/>
        <w:numPr>
          <w:ilvl w:val="2"/>
          <w:numId w:val="40"/>
        </w:numPr>
        <w:tabs>
          <w:tab w:val="left" w:pos="1241"/>
        </w:tabs>
        <w:spacing w:before="116" w:after="0" w:line="240" w:lineRule="auto"/>
        <w:ind w:left="1240" w:right="0" w:hanging="701"/>
        <w:jc w:val="left"/>
        <w:outlineLvl w:val="2"/>
      </w:pPr>
      <w:bookmarkStart w:id="256" w:name="4.2.5 生态环境现状调查与评价"/>
      <w:bookmarkEnd w:id="256"/>
      <w:bookmarkStart w:id="257" w:name="4.2.5 生态环境现状调查与评价"/>
      <w:bookmarkEnd w:id="257"/>
      <w:bookmarkStart w:id="258" w:name="_Toc10624"/>
      <w:r>
        <w:t>生态环境现状调查与评价</w:t>
      </w:r>
      <w:bookmarkEnd w:id="258"/>
    </w:p>
    <w:p>
      <w:pPr>
        <w:pStyle w:val="7"/>
        <w:spacing w:before="4"/>
        <w:ind w:left="0"/>
        <w:rPr>
          <w:b/>
          <w:sz w:val="21"/>
        </w:rPr>
      </w:pPr>
    </w:p>
    <w:p>
      <w:pPr>
        <w:pStyle w:val="18"/>
        <w:numPr>
          <w:ilvl w:val="3"/>
          <w:numId w:val="44"/>
        </w:numPr>
        <w:tabs>
          <w:tab w:val="left" w:pos="1320"/>
        </w:tabs>
        <w:spacing w:before="1" w:after="0" w:line="240" w:lineRule="auto"/>
        <w:ind w:left="1320" w:right="0" w:hanging="780"/>
        <w:jc w:val="left"/>
        <w:rPr>
          <w:sz w:val="24"/>
        </w:rPr>
      </w:pPr>
      <w:r>
        <w:rPr>
          <w:sz w:val="24"/>
        </w:rPr>
        <w:t>生态功能区划</w:t>
      </w:r>
    </w:p>
    <w:p>
      <w:pPr>
        <w:pStyle w:val="7"/>
        <w:spacing w:before="160" w:line="364" w:lineRule="auto"/>
        <w:ind w:right="577" w:firstLine="480"/>
        <w:jc w:val="both"/>
        <w:rPr>
          <w:rFonts w:hint="eastAsia"/>
          <w:color w:val="0000FF"/>
          <w:spacing w:val="-12"/>
          <w:lang w:val="en-US" w:eastAsia="zh-CN"/>
        </w:rPr>
      </w:pPr>
      <w:r>
        <w:rPr>
          <w:rFonts w:hint="eastAsia"/>
          <w:color w:val="0000FF"/>
          <w:spacing w:val="-12"/>
          <w:lang w:val="en-US" w:eastAsia="zh-CN"/>
        </w:rPr>
        <w:t>根据《新疆生态功能区划》，项目所在莎车县属于</w:t>
      </w:r>
      <w:r>
        <w:rPr>
          <w:rFonts w:hint="eastAsia"/>
          <w:color w:val="0000FF"/>
          <w:spacing w:val="-12"/>
        </w:rPr>
        <w:t>塔里木盆地暖温荒漠及绿洲农业生态区</w:t>
      </w:r>
      <w:r>
        <w:rPr>
          <w:rFonts w:hint="eastAsia"/>
          <w:color w:val="0000FF"/>
          <w:spacing w:val="-12"/>
          <w:lang w:val="en-US" w:eastAsia="zh-CN"/>
        </w:rPr>
        <w:t>，</w:t>
      </w:r>
      <w:r>
        <w:rPr>
          <w:rFonts w:hint="eastAsia"/>
          <w:color w:val="0000FF"/>
          <w:spacing w:val="-12"/>
        </w:rPr>
        <w:t>塔里木盆地西部、北部荒漠及绿洲农业生态亚区</w:t>
      </w:r>
      <w:r>
        <w:rPr>
          <w:rFonts w:hint="eastAsia"/>
          <w:color w:val="0000FF"/>
          <w:spacing w:val="-12"/>
          <w:lang w:val="en-US" w:eastAsia="zh-CN"/>
        </w:rPr>
        <w:t>，。</w:t>
      </w:r>
      <w:r>
        <w:rPr>
          <w:rFonts w:hint="eastAsia"/>
          <w:color w:val="0000FF"/>
          <w:spacing w:val="-12"/>
        </w:rPr>
        <w:t>该功能区主要的特征，见表</w:t>
      </w:r>
      <w:r>
        <w:rPr>
          <w:rFonts w:hint="eastAsia"/>
          <w:color w:val="0000FF"/>
          <w:spacing w:val="-12"/>
          <w:lang w:val="en-US" w:eastAsia="zh-CN"/>
        </w:rPr>
        <w:t>2.4.1.1。</w:t>
      </w:r>
    </w:p>
    <w:p>
      <w:pPr>
        <w:autoSpaceDE w:val="0"/>
        <w:autoSpaceDN w:val="0"/>
        <w:adjustRightInd w:val="0"/>
        <w:spacing w:line="392" w:lineRule="exact"/>
        <w:ind w:left="681"/>
        <w:jc w:val="center"/>
        <w:rPr>
          <w:rFonts w:hint="default"/>
          <w:color w:val="0000FF"/>
          <w:spacing w:val="-12"/>
          <w:lang w:val="en-US" w:eastAsia="zh-CN"/>
        </w:rPr>
      </w:pPr>
      <w:r>
        <w:rPr>
          <w:rFonts w:hint="eastAsia" w:ascii="宋体" w:hAnsi="宋体" w:eastAsia="宋体" w:cs="宋体"/>
          <w:color w:val="0000FF"/>
          <w:kern w:val="0"/>
          <w:sz w:val="20"/>
          <w:szCs w:val="20"/>
        </w:rPr>
        <w:t>表</w:t>
      </w:r>
      <w:r>
        <w:rPr>
          <w:rFonts w:hint="eastAsia" w:ascii="宋体" w:hAnsi="宋体" w:eastAsia="宋体" w:cs="宋体"/>
          <w:color w:val="0000FF"/>
          <w:kern w:val="0"/>
          <w:sz w:val="20"/>
          <w:szCs w:val="20"/>
          <w:lang w:val="en-US" w:eastAsia="zh-CN"/>
        </w:rPr>
        <w:t>2.4.1.1</w:t>
      </w:r>
      <w:r>
        <w:rPr>
          <w:rFonts w:hint="eastAsia" w:ascii="宋体" w:hAnsi="宋体" w:eastAsia="宋体" w:cs="宋体"/>
          <w:color w:val="0000FF"/>
          <w:kern w:val="0"/>
          <w:sz w:val="20"/>
          <w:szCs w:val="20"/>
        </w:rPr>
        <w:t>生态功能区主要特征</w:t>
      </w:r>
    </w:p>
    <w:tbl>
      <w:tblPr>
        <w:tblStyle w:val="15"/>
        <w:tblW w:w="8739" w:type="dxa"/>
        <w:jc w:val="center"/>
        <w:tblLayout w:type="autofit"/>
        <w:tblCellMar>
          <w:top w:w="0" w:type="dxa"/>
          <w:left w:w="0" w:type="dxa"/>
          <w:bottom w:w="0" w:type="dxa"/>
          <w:right w:w="0" w:type="dxa"/>
        </w:tblCellMar>
      </w:tblPr>
      <w:tblGrid>
        <w:gridCol w:w="2872"/>
        <w:gridCol w:w="5867"/>
      </w:tblGrid>
      <w:tr>
        <w:tblPrEx>
          <w:tblCellMar>
            <w:top w:w="0" w:type="dxa"/>
            <w:left w:w="0" w:type="dxa"/>
            <w:bottom w:w="0" w:type="dxa"/>
            <w:right w:w="0" w:type="dxa"/>
          </w:tblCellMar>
        </w:tblPrEx>
        <w:trPr>
          <w:trHeight w:val="668"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58" w:lineRule="exact"/>
              <w:ind w:firstLine="800" w:firstLineChars="400"/>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名称内容</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92" w:lineRule="exact"/>
              <w:ind w:left="681"/>
              <w:jc w:val="both"/>
              <w:rPr>
                <w:rFonts w:hint="eastAsia" w:ascii="宋体" w:hAnsi="宋体" w:eastAsia="宋体" w:cs="宋体"/>
                <w:color w:val="0000FF"/>
                <w:kern w:val="0"/>
                <w:sz w:val="20"/>
                <w:szCs w:val="20"/>
              </w:rPr>
            </w:pPr>
            <w:r>
              <w:rPr>
                <w:rFonts w:hint="eastAsia" w:ascii="宋体" w:hAnsi="宋体"/>
                <w:color w:val="0000FF"/>
              </w:rPr>
              <w:t>叶尔羌河平原绿洲农业及荒漠河岸林保护生态功能区</w:t>
            </w:r>
          </w:p>
        </w:tc>
      </w:tr>
      <w:tr>
        <w:tblPrEx>
          <w:tblCellMar>
            <w:top w:w="0" w:type="dxa"/>
            <w:left w:w="0" w:type="dxa"/>
            <w:bottom w:w="0" w:type="dxa"/>
            <w:right w:w="0" w:type="dxa"/>
          </w:tblCellMar>
        </w:tblPrEx>
        <w:trPr>
          <w:trHeight w:val="515"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9" w:lineRule="exact"/>
              <w:ind w:left="511"/>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主要生态服务功能</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59" w:lineRule="exact"/>
              <w:ind w:left="26"/>
              <w:jc w:val="center"/>
              <w:rPr>
                <w:rFonts w:hint="eastAsia" w:ascii="宋体" w:hAnsi="宋体" w:eastAsia="宋体" w:cs="宋体"/>
                <w:color w:val="0000FF"/>
                <w:kern w:val="0"/>
                <w:sz w:val="20"/>
                <w:szCs w:val="20"/>
              </w:rPr>
            </w:pPr>
            <w:r>
              <w:rPr>
                <w:rFonts w:hint="eastAsia" w:ascii="宋体" w:hAnsi="宋体"/>
                <w:color w:val="0000FF"/>
              </w:rPr>
              <w:t>农畜产品生产、荒漠化控制、油气资源开发、塔里木河水源补给</w:t>
            </w:r>
          </w:p>
        </w:tc>
      </w:tr>
      <w:tr>
        <w:tblPrEx>
          <w:tblCellMar>
            <w:top w:w="0" w:type="dxa"/>
            <w:left w:w="0" w:type="dxa"/>
            <w:bottom w:w="0" w:type="dxa"/>
            <w:right w:w="0" w:type="dxa"/>
          </w:tblCellMar>
        </w:tblPrEx>
        <w:trPr>
          <w:trHeight w:val="89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85" w:lineRule="exact"/>
              <w:ind w:left="511"/>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主要生态环境问题</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rFonts w:hint="eastAsia" w:ascii="宋体" w:hAnsi="宋体"/>
                <w:color w:val="0000FF"/>
              </w:rPr>
            </w:pPr>
            <w:r>
              <w:rPr>
                <w:rFonts w:hint="eastAsia" w:ascii="宋体" w:hAnsi="宋体"/>
                <w:color w:val="0000FF"/>
              </w:rPr>
              <w:t>土壤盐渍化、风沙危害、荒漠植被及胡杨林破坏、乱挖甘草、平原水库蒸发渗漏损失严重、油气开发污染环境、土壤环境质量下降</w:t>
            </w:r>
          </w:p>
          <w:p>
            <w:pPr>
              <w:autoSpaceDE w:val="0"/>
              <w:autoSpaceDN w:val="0"/>
              <w:adjustRightInd w:val="0"/>
              <w:spacing w:line="251" w:lineRule="exact"/>
              <w:ind w:left="26"/>
              <w:jc w:val="center"/>
              <w:rPr>
                <w:rFonts w:hint="eastAsia" w:ascii="宋体" w:hAnsi="宋体" w:eastAsia="宋体" w:cs="宋体"/>
                <w:color w:val="0000FF"/>
                <w:kern w:val="0"/>
                <w:sz w:val="20"/>
                <w:szCs w:val="20"/>
              </w:rPr>
            </w:pPr>
          </w:p>
        </w:tc>
      </w:tr>
      <w:tr>
        <w:tblPrEx>
          <w:tblCellMar>
            <w:top w:w="0" w:type="dxa"/>
            <w:left w:w="0" w:type="dxa"/>
            <w:bottom w:w="0" w:type="dxa"/>
            <w:right w:w="0" w:type="dxa"/>
          </w:tblCellMar>
        </w:tblPrEx>
        <w:trPr>
          <w:trHeight w:val="65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49" w:lineRule="exact"/>
              <w:ind w:firstLine="200" w:firstLineChars="100"/>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主要生态敏感因子、敏感程度</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249" w:lineRule="exact"/>
              <w:ind w:left="26"/>
              <w:jc w:val="center"/>
              <w:rPr>
                <w:rFonts w:hint="eastAsia" w:ascii="宋体" w:hAnsi="宋体" w:eastAsia="宋体" w:cs="宋体"/>
                <w:color w:val="0000FF"/>
                <w:kern w:val="0"/>
                <w:sz w:val="20"/>
                <w:szCs w:val="20"/>
              </w:rPr>
            </w:pPr>
            <w:r>
              <w:rPr>
                <w:rFonts w:hint="eastAsia" w:ascii="宋体" w:hAnsi="宋体"/>
                <w:color w:val="0000FF"/>
              </w:rPr>
              <w:t>生物多样性及其生境中度敏感，土地沙漠化中度敏感，土壤盐渍化轻度敏感</w:t>
            </w:r>
          </w:p>
        </w:tc>
      </w:tr>
      <w:tr>
        <w:tblPrEx>
          <w:tblCellMar>
            <w:top w:w="0" w:type="dxa"/>
            <w:left w:w="0" w:type="dxa"/>
            <w:bottom w:w="0" w:type="dxa"/>
            <w:right w:w="0" w:type="dxa"/>
          </w:tblCellMar>
        </w:tblPrEx>
        <w:trPr>
          <w:trHeight w:val="834"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1"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主要保护目标</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21" w:lineRule="exact"/>
              <w:rPr>
                <w:rFonts w:hint="eastAsia" w:ascii="宋体" w:hAnsi="宋体" w:eastAsia="宋体" w:cs="宋体"/>
                <w:color w:val="0000FF"/>
                <w:kern w:val="0"/>
                <w:sz w:val="20"/>
                <w:szCs w:val="20"/>
              </w:rPr>
            </w:pPr>
            <w:r>
              <w:rPr>
                <w:rFonts w:hint="eastAsia" w:ascii="宋体" w:hAnsi="宋体"/>
                <w:color w:val="0000FF"/>
              </w:rPr>
              <w:t>保护荒漠植被、保护荒漠河岸林、保护农田土壤环境质量</w:t>
            </w:r>
          </w:p>
        </w:tc>
      </w:tr>
      <w:tr>
        <w:tblPrEx>
          <w:tblCellMar>
            <w:top w:w="0" w:type="dxa"/>
            <w:left w:w="0" w:type="dxa"/>
            <w:bottom w:w="0" w:type="dxa"/>
            <w:right w:w="0" w:type="dxa"/>
          </w:tblCellMar>
        </w:tblPrEx>
        <w:trPr>
          <w:trHeight w:val="65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85"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主要保护措施</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522" w:lineRule="exact"/>
              <w:ind w:left="26"/>
              <w:jc w:val="center"/>
              <w:rPr>
                <w:rFonts w:hint="eastAsia" w:ascii="宋体" w:hAnsi="宋体" w:eastAsia="宋体" w:cs="宋体"/>
                <w:color w:val="0000FF"/>
                <w:kern w:val="0"/>
                <w:sz w:val="20"/>
                <w:szCs w:val="20"/>
              </w:rPr>
            </w:pPr>
            <w:r>
              <w:rPr>
                <w:rFonts w:hint="eastAsia" w:ascii="宋体" w:hAnsi="宋体"/>
                <w:color w:val="0000FF"/>
              </w:rPr>
              <w:t>适度开发地下水、增加向塔河输水量、退耕还林还草、废除部分平原水库、节水灌溉、加强农田投入品的使用管理</w:t>
            </w:r>
          </w:p>
        </w:tc>
      </w:tr>
      <w:tr>
        <w:tblPrEx>
          <w:tblCellMar>
            <w:top w:w="0" w:type="dxa"/>
            <w:left w:w="0" w:type="dxa"/>
            <w:bottom w:w="0" w:type="dxa"/>
            <w:right w:w="0" w:type="dxa"/>
          </w:tblCellMar>
        </w:tblPrEx>
        <w:trPr>
          <w:trHeight w:val="636" w:hRule="exact"/>
          <w:jc w:val="center"/>
        </w:trPr>
        <w:tc>
          <w:tcPr>
            <w:tcW w:w="287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61" w:lineRule="exact"/>
              <w:ind w:left="722"/>
              <w:jc w:val="both"/>
              <w:rPr>
                <w:rFonts w:hint="eastAsia" w:ascii="宋体" w:hAnsi="宋体" w:eastAsia="宋体" w:cs="宋体"/>
                <w:color w:val="0000FF"/>
                <w:kern w:val="0"/>
                <w:sz w:val="20"/>
                <w:szCs w:val="20"/>
              </w:rPr>
            </w:pPr>
            <w:r>
              <w:rPr>
                <w:rFonts w:hint="eastAsia" w:ascii="宋体" w:hAnsi="宋体" w:eastAsia="宋体" w:cs="宋体"/>
                <w:color w:val="0000FF"/>
                <w:kern w:val="0"/>
                <w:sz w:val="20"/>
                <w:szCs w:val="20"/>
              </w:rPr>
              <w:t>适宜发展方向</w:t>
            </w:r>
          </w:p>
        </w:tc>
        <w:tc>
          <w:tcPr>
            <w:tcW w:w="586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autoSpaceDE w:val="0"/>
              <w:autoSpaceDN w:val="0"/>
              <w:adjustRightInd w:val="0"/>
              <w:spacing w:line="361" w:lineRule="exact"/>
              <w:ind w:left="26"/>
              <w:jc w:val="center"/>
              <w:rPr>
                <w:rFonts w:hint="eastAsia" w:ascii="宋体" w:hAnsi="宋体" w:eastAsia="宋体" w:cs="宋体"/>
                <w:color w:val="0000FF"/>
                <w:kern w:val="0"/>
                <w:sz w:val="20"/>
                <w:szCs w:val="20"/>
              </w:rPr>
            </w:pPr>
            <w:r>
              <w:rPr>
                <w:rFonts w:hint="eastAsia" w:ascii="宋体" w:hAnsi="宋体"/>
                <w:color w:val="0000FF"/>
              </w:rPr>
              <w:t>建成粮食、经济作物、林果业基地，发展农区畜牧业</w:t>
            </w:r>
          </w:p>
        </w:tc>
      </w:tr>
    </w:tbl>
    <w:p>
      <w:pPr>
        <w:pStyle w:val="18"/>
        <w:numPr>
          <w:ilvl w:val="0"/>
          <w:numId w:val="0"/>
        </w:numPr>
        <w:tabs>
          <w:tab w:val="left" w:pos="1320"/>
        </w:tabs>
        <w:spacing w:before="1" w:after="0" w:line="240" w:lineRule="auto"/>
        <w:ind w:left="540" w:leftChars="0" w:right="0" w:rightChars="0"/>
        <w:jc w:val="left"/>
        <w:rPr>
          <w:sz w:val="24"/>
        </w:rPr>
      </w:pPr>
    </w:p>
    <w:p>
      <w:pPr>
        <w:pStyle w:val="7"/>
        <w:spacing w:before="82" w:line="364" w:lineRule="auto"/>
        <w:ind w:right="577" w:firstLine="480"/>
        <w:jc w:val="both"/>
        <w:rPr>
          <w:color w:val="0000FF"/>
        </w:rPr>
      </w:pPr>
      <w:r>
        <w:rPr>
          <w:color w:val="0000FF"/>
          <w:spacing w:val="-10"/>
        </w:rPr>
        <w:t>根据《关于全疆水土流失重点预防保护区、重点监督区、重点治理区划分的</w:t>
      </w:r>
      <w:r>
        <w:rPr>
          <w:color w:val="0000FF"/>
          <w:spacing w:val="-11"/>
        </w:rPr>
        <w:t>公告》，项目区属于</w:t>
      </w:r>
      <w:r>
        <w:rPr>
          <w:rFonts w:ascii="宋体" w:hAnsi="宋体" w:eastAsia="宋体" w:cs="宋体"/>
          <w:color w:val="0000FF"/>
          <w:sz w:val="24"/>
          <w:szCs w:val="24"/>
        </w:rPr>
        <w:t>塔里木河国家级水土流失重点预防区</w:t>
      </w:r>
      <w:r>
        <w:rPr>
          <w:color w:val="0000FF"/>
          <w:spacing w:val="-11"/>
        </w:rPr>
        <w:t>，需重点做好开发建设活动的</w:t>
      </w:r>
      <w:r>
        <w:rPr>
          <w:color w:val="0000FF"/>
        </w:rPr>
        <w:t>水土保持工作，防止因生产建设活动造成新的水土流失。</w:t>
      </w:r>
    </w:p>
    <w:p>
      <w:pPr>
        <w:pStyle w:val="18"/>
        <w:numPr>
          <w:ilvl w:val="3"/>
          <w:numId w:val="44"/>
        </w:numPr>
        <w:tabs>
          <w:tab w:val="left" w:pos="1320"/>
        </w:tabs>
        <w:spacing w:before="143" w:after="0" w:line="240" w:lineRule="auto"/>
        <w:ind w:left="1320" w:right="0" w:hanging="780"/>
        <w:jc w:val="left"/>
        <w:rPr>
          <w:sz w:val="24"/>
        </w:rPr>
      </w:pPr>
      <w:r>
        <w:rPr>
          <w:sz w:val="24"/>
        </w:rPr>
        <w:t>土壤类型及分布</w:t>
      </w:r>
    </w:p>
    <w:p>
      <w:pPr>
        <w:pStyle w:val="7"/>
        <w:spacing w:before="160" w:line="364" w:lineRule="auto"/>
        <w:ind w:right="457" w:firstLine="480"/>
      </w:pPr>
      <w:r>
        <w:rPr>
          <w:spacing w:val="-7"/>
        </w:rPr>
        <w:t>项目区气候极端干旱，植被极为稀疏，土壤发育较差，类型较为简单，广大</w:t>
      </w:r>
      <w:r>
        <w:rPr>
          <w:spacing w:val="-12"/>
        </w:rPr>
        <w:t>地区为风沙土所覆盖。这种土壤是在风成沙性母质上发育起来的，质地较粗，物</w:t>
      </w:r>
      <w:r>
        <w:rPr>
          <w:spacing w:val="-19"/>
        </w:rPr>
        <w:t>理性粘粒很少。因风蚀风积作用的交替进行，使土壤发育处于不断的复幼状况下，</w:t>
      </w:r>
      <w:r>
        <w:rPr>
          <w:spacing w:val="-6"/>
        </w:rPr>
        <w:t>加之植被稀疏生物作用微弱，有机物质积累很少，成土过程十分微弱，剖面层次</w:t>
      </w:r>
      <w:r>
        <w:rPr>
          <w:spacing w:val="-12"/>
        </w:rPr>
        <w:t>分化不明显，因此风沙土在很大程度上只具有风积沙沉积物岩性特征而缺乏其它</w:t>
      </w:r>
      <w:r>
        <w:rPr>
          <w:spacing w:val="-15"/>
        </w:rPr>
        <w:t>的诊断层和诊断特征。风沙土可分为流动风沙土、半固定风沙土和固定风沙土三个亚类。而本区域土壤类型以流动风沙土为主。</w:t>
      </w:r>
    </w:p>
    <w:p>
      <w:pPr>
        <w:pStyle w:val="7"/>
        <w:spacing w:before="4" w:line="364" w:lineRule="auto"/>
        <w:ind w:right="457" w:firstLine="480"/>
      </w:pPr>
      <w:r>
        <w:rPr>
          <w:spacing w:val="-17"/>
        </w:rPr>
        <w:t>流动风沙土：地表光裸无植被，偶见单个的沙生红柳。土壤剖面无发育层次，</w:t>
      </w:r>
      <w:r>
        <w:rPr>
          <w:spacing w:val="-6"/>
        </w:rPr>
        <w:t>只有干沙层和湿沙层之分。干沙层表面为沙波纹，疏松，无结构，灰黄色。湿沙</w:t>
      </w:r>
      <w:r>
        <w:rPr>
          <w:spacing w:val="-8"/>
        </w:rPr>
        <w:t>层为淡黄色，湿润，疏松。流动风沙土养分含量极低，有机质含量小于</w:t>
      </w:r>
      <w:r>
        <w:rPr>
          <w:rFonts w:ascii="Times New Roman" w:eastAsia="Times New Roman"/>
        </w:rPr>
        <w:t>1g/kg</w:t>
      </w:r>
      <w:r>
        <w:t>。</w:t>
      </w:r>
      <w:r>
        <w:rPr>
          <w:spacing w:val="-10"/>
        </w:rPr>
        <w:t>颗粒组成以</w:t>
      </w:r>
      <w:r>
        <w:rPr>
          <w:rFonts w:ascii="Times New Roman" w:eastAsia="Times New Roman"/>
        </w:rPr>
        <w:t>0.25</w:t>
      </w:r>
      <w:r>
        <w:t>～</w:t>
      </w:r>
      <w:r>
        <w:rPr>
          <w:rFonts w:ascii="Times New Roman" w:eastAsia="Times New Roman"/>
        </w:rPr>
        <w:t>1mm</w:t>
      </w:r>
      <w:r>
        <w:rPr>
          <w:spacing w:val="-8"/>
        </w:rPr>
        <w:t>的细砂粒极为主，干沙层自然含水量</w:t>
      </w:r>
      <w:r>
        <w:rPr>
          <w:rFonts w:ascii="Times New Roman" w:eastAsia="Times New Roman"/>
          <w:spacing w:val="-3"/>
        </w:rPr>
        <w:t>0.6</w:t>
      </w:r>
      <w:r>
        <w:rPr>
          <w:spacing w:val="-3"/>
        </w:rPr>
        <w:t>～</w:t>
      </w:r>
      <w:r>
        <w:rPr>
          <w:rFonts w:ascii="Times New Roman" w:eastAsia="Times New Roman"/>
          <w:spacing w:val="-3"/>
        </w:rPr>
        <w:t>1.1g/kg</w:t>
      </w:r>
      <w:r>
        <w:rPr>
          <w:spacing w:val="-2"/>
        </w:rPr>
        <w:t>，湿沙</w:t>
      </w:r>
      <w:r>
        <w:rPr>
          <w:spacing w:val="-32"/>
        </w:rPr>
        <w:t>层</w:t>
      </w:r>
      <w:r>
        <w:rPr>
          <w:rFonts w:ascii="Times New Roman" w:eastAsia="Times New Roman"/>
        </w:rPr>
        <w:t>14</w:t>
      </w:r>
      <w:r>
        <w:t>～</w:t>
      </w:r>
      <w:r>
        <w:rPr>
          <w:rFonts w:ascii="Times New Roman" w:eastAsia="Times New Roman"/>
        </w:rPr>
        <w:t>15g/kg</w:t>
      </w:r>
      <w:r>
        <w:t>。</w:t>
      </w:r>
    </w:p>
    <w:p>
      <w:pPr>
        <w:pStyle w:val="18"/>
        <w:numPr>
          <w:ilvl w:val="3"/>
          <w:numId w:val="45"/>
        </w:numPr>
        <w:tabs>
          <w:tab w:val="left" w:pos="1320"/>
        </w:tabs>
        <w:spacing w:before="3" w:after="0" w:line="240" w:lineRule="auto"/>
        <w:ind w:left="1320" w:right="0" w:hanging="780"/>
        <w:jc w:val="left"/>
        <w:rPr>
          <w:sz w:val="24"/>
        </w:rPr>
      </w:pPr>
      <w:r>
        <w:rPr>
          <w:sz w:val="24"/>
        </w:rPr>
        <w:t>土地利用现状</w:t>
      </w:r>
    </w:p>
    <w:p>
      <w:pPr>
        <w:pStyle w:val="7"/>
        <w:spacing w:before="161" w:line="364" w:lineRule="auto"/>
        <w:ind w:right="577" w:firstLine="480"/>
        <w:rPr>
          <w:rFonts w:hint="eastAsia" w:eastAsia="宋体"/>
          <w:lang w:eastAsia="zh-CN"/>
        </w:rPr>
      </w:pPr>
      <w:r>
        <w:rPr>
          <w:spacing w:val="-7"/>
        </w:rPr>
        <w:t>本项目为养殖场建设项目，土地利用类型为牧草地和水浇地，划拨为设施农</w:t>
      </w:r>
      <w:r>
        <w:rPr>
          <w:spacing w:val="-10"/>
        </w:rPr>
        <w:t>用地</w:t>
      </w:r>
      <w:r>
        <w:rPr>
          <w:rFonts w:hint="eastAsia"/>
          <w:spacing w:val="-10"/>
          <w:lang w:eastAsia="zh-CN"/>
        </w:rPr>
        <w:t>。</w:t>
      </w:r>
    </w:p>
    <w:p>
      <w:pPr>
        <w:pStyle w:val="7"/>
        <w:spacing w:before="1" w:line="364" w:lineRule="auto"/>
        <w:ind w:right="485" w:firstLine="480"/>
      </w:pPr>
      <w:r>
        <w:rPr>
          <w:spacing w:val="-9"/>
        </w:rPr>
        <w:t>总体来说，项目区处于</w:t>
      </w:r>
      <w:r>
        <w:rPr>
          <w:rFonts w:hint="eastAsia"/>
          <w:spacing w:val="-9"/>
          <w:lang w:val="en-US" w:eastAsia="zh-CN"/>
        </w:rPr>
        <w:t>喀尔苏沙漠边缘</w:t>
      </w:r>
      <w:r>
        <w:rPr>
          <w:spacing w:val="-9"/>
        </w:rPr>
        <w:t>，系典型的内陆干旱区，气候干</w:t>
      </w:r>
      <w:r>
        <w:rPr>
          <w:spacing w:val="-10"/>
        </w:rPr>
        <w:t>燥，外部环境十分恶劣，生态系统非常脆弱，沙漠化始终威胁着该地区的绿洲。</w:t>
      </w:r>
      <w:r>
        <w:rPr>
          <w:spacing w:val="-7"/>
        </w:rPr>
        <w:t>受沙漠气候的影响，形成春旱、风沙、土地盐碱三大自然灾害，风沙和土地沙化严重威胁着区域的生态环境。</w:t>
      </w:r>
    </w:p>
    <w:p>
      <w:pPr>
        <w:pStyle w:val="18"/>
        <w:numPr>
          <w:ilvl w:val="3"/>
          <w:numId w:val="45"/>
        </w:numPr>
        <w:tabs>
          <w:tab w:val="left" w:pos="1800"/>
        </w:tabs>
        <w:spacing w:before="3" w:after="0" w:line="240" w:lineRule="auto"/>
        <w:ind w:left="1800" w:right="0" w:hanging="780"/>
        <w:jc w:val="left"/>
        <w:rPr>
          <w:sz w:val="24"/>
        </w:rPr>
      </w:pPr>
      <w:r>
        <w:rPr>
          <w:sz w:val="24"/>
        </w:rPr>
        <w:t>植被现状</w:t>
      </w:r>
    </w:p>
    <w:p>
      <w:pPr>
        <w:pStyle w:val="7"/>
        <w:spacing w:before="160" w:line="364" w:lineRule="auto"/>
        <w:ind w:right="577" w:firstLine="480"/>
        <w:jc w:val="both"/>
        <w:rPr>
          <w:color w:val="0000FF"/>
        </w:rPr>
      </w:pPr>
      <w:r>
        <w:rPr>
          <w:color w:val="0000FF"/>
          <w:spacing w:val="-10"/>
        </w:rPr>
        <w:t>经现场勘查，用地范围内天然植被类型主要为盐化荒漠草甸，分布植物主要</w:t>
      </w:r>
      <w:r>
        <w:rPr>
          <w:color w:val="0000FF"/>
          <w:spacing w:val="-9"/>
        </w:rPr>
        <w:t>为骆驼刺、苦豆子等荒漠草甸小型灌木，区域植被种类稀少，且生长稀疏，植被</w:t>
      </w:r>
      <w:r>
        <w:rPr>
          <w:color w:val="0000FF"/>
        </w:rPr>
        <w:t>覆盖率＜</w:t>
      </w:r>
      <w:r>
        <w:rPr>
          <w:rFonts w:ascii="Times New Roman" w:eastAsia="Times New Roman"/>
          <w:color w:val="0000FF"/>
        </w:rPr>
        <w:t>5%</w:t>
      </w:r>
      <w:r>
        <w:rPr>
          <w:color w:val="0000FF"/>
        </w:rPr>
        <w:t>。项目区四周为</w:t>
      </w:r>
      <w:r>
        <w:rPr>
          <w:rFonts w:hint="eastAsia"/>
          <w:color w:val="0000FF"/>
          <w:lang w:val="en-US" w:eastAsia="zh-CN"/>
        </w:rPr>
        <w:t>荒地西侧1.6km处为萨依吾斯塘村</w:t>
      </w:r>
      <w:r>
        <w:rPr>
          <w:color w:val="0000FF"/>
        </w:rPr>
        <w:t>耕地，耕种作物主要为玉米饲草和苜蓿草。</w:t>
      </w:r>
    </w:p>
    <w:p>
      <w:pPr>
        <w:pStyle w:val="18"/>
        <w:numPr>
          <w:ilvl w:val="3"/>
          <w:numId w:val="45"/>
        </w:numPr>
        <w:tabs>
          <w:tab w:val="left" w:pos="1800"/>
        </w:tabs>
        <w:spacing w:before="2" w:after="0" w:line="240" w:lineRule="auto"/>
        <w:ind w:left="1800" w:right="0" w:hanging="780"/>
        <w:jc w:val="left"/>
        <w:rPr>
          <w:sz w:val="24"/>
        </w:rPr>
      </w:pPr>
      <w:r>
        <w:rPr>
          <w:sz w:val="24"/>
        </w:rPr>
        <w:t>动物资源现状</w:t>
      </w:r>
    </w:p>
    <w:p>
      <w:pPr>
        <w:pStyle w:val="7"/>
        <w:spacing w:before="160"/>
        <w:ind w:left="1020"/>
      </w:pPr>
      <w:r>
        <w:t>经现场勘查和资料查阅，项目所属区域主要栖息分布着一些耐旱的荒漠动</w:t>
      </w:r>
    </w:p>
    <w:p>
      <w:pPr>
        <w:pStyle w:val="7"/>
        <w:spacing w:before="143" w:line="364" w:lineRule="auto"/>
        <w:ind w:right="577"/>
      </w:pPr>
      <w:r>
        <w:rPr>
          <w:spacing w:val="-10"/>
        </w:rPr>
        <w:t>物，以鸟类、爬行动物和啮齿类动物为主，动物种类和数量较少，野生动物的栖</w:t>
      </w:r>
      <w:r>
        <w:t>息生境主要为荒漠。区域无大型哺乳动物和珍惜保护动物分布和活动。</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539" w:right="220" w:rightChars="100" w:firstLine="480" w:firstLineChars="200"/>
        <w:jc w:val="both"/>
        <w:textAlignment w:val="auto"/>
      </w:pPr>
      <w:r>
        <w:t>该区域未发现国家及自治区级重点保护的稀有动物及受保护的野生植物种群，也不存在野生动物栖息地及迁移路线，属于生态环境非敏感区。</w:t>
      </w:r>
      <w:bookmarkStart w:id="259" w:name="第五章  环境影响预测与评价"/>
      <w:bookmarkEnd w:id="259"/>
    </w:p>
    <w:p>
      <w:pPr>
        <w:pStyle w:val="3"/>
        <w:keepNext w:val="0"/>
        <w:keepLines w:val="0"/>
        <w:pageBreakBefore w:val="0"/>
        <w:widowControl w:val="0"/>
        <w:kinsoku/>
        <w:wordWrap/>
        <w:overflowPunct/>
        <w:topLinePunct w:val="0"/>
        <w:autoSpaceDE w:val="0"/>
        <w:autoSpaceDN w:val="0"/>
        <w:bidi w:val="0"/>
        <w:adjustRightInd/>
        <w:snapToGrid/>
        <w:ind w:right="34"/>
        <w:jc w:val="both"/>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both"/>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both"/>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both"/>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center"/>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center"/>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center"/>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center"/>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center"/>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center"/>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center"/>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center"/>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center"/>
        <w:textAlignment w:val="auto"/>
        <w:outlineLvl w:val="0"/>
      </w:pPr>
    </w:p>
    <w:p>
      <w:pPr>
        <w:pStyle w:val="3"/>
        <w:keepNext w:val="0"/>
        <w:keepLines w:val="0"/>
        <w:pageBreakBefore w:val="0"/>
        <w:widowControl w:val="0"/>
        <w:kinsoku/>
        <w:wordWrap/>
        <w:overflowPunct/>
        <w:topLinePunct w:val="0"/>
        <w:autoSpaceDE w:val="0"/>
        <w:autoSpaceDN w:val="0"/>
        <w:bidi w:val="0"/>
        <w:adjustRightInd/>
        <w:snapToGrid/>
        <w:ind w:right="34"/>
        <w:jc w:val="center"/>
        <w:textAlignment w:val="auto"/>
        <w:outlineLvl w:val="0"/>
      </w:pPr>
      <w:bookmarkStart w:id="260" w:name="_Toc29598"/>
      <w:r>
        <w:t>第五章</w:t>
      </w:r>
      <w:r>
        <w:rPr>
          <w:rFonts w:hint="eastAsia"/>
          <w:lang w:val="en-US" w:eastAsia="zh-CN"/>
        </w:rPr>
        <w:t xml:space="preserve">  </w:t>
      </w:r>
      <w:r>
        <w:t>环境影响预测与评价</w:t>
      </w:r>
      <w:bookmarkEnd w:id="260"/>
    </w:p>
    <w:p>
      <w:pPr>
        <w:pStyle w:val="4"/>
        <w:numPr>
          <w:ilvl w:val="1"/>
          <w:numId w:val="46"/>
        </w:numPr>
        <w:bidi w:val="0"/>
      </w:pPr>
      <w:bookmarkStart w:id="261" w:name="5.1 施工期环境影响预测与评价"/>
      <w:bookmarkEnd w:id="261"/>
      <w:bookmarkStart w:id="262" w:name="_bookmark25"/>
      <w:bookmarkEnd w:id="262"/>
      <w:bookmarkStart w:id="263" w:name="_Toc769"/>
      <w:r>
        <w:t>施工期环境影响预测与评价</w:t>
      </w:r>
      <w:bookmarkEnd w:id="263"/>
    </w:p>
    <w:p>
      <w:pPr>
        <w:pStyle w:val="5"/>
        <w:numPr>
          <w:ilvl w:val="2"/>
          <w:numId w:val="46"/>
        </w:numPr>
        <w:tabs>
          <w:tab w:val="left" w:pos="1241"/>
        </w:tabs>
        <w:spacing w:before="0" w:after="0" w:line="240" w:lineRule="auto"/>
        <w:ind w:left="1240" w:right="0" w:hanging="701"/>
        <w:jc w:val="left"/>
      </w:pPr>
      <w:bookmarkStart w:id="264" w:name="5.1.1 施工期污染源"/>
      <w:bookmarkEnd w:id="264"/>
      <w:bookmarkStart w:id="265" w:name="5.1.1 施工期污染源"/>
      <w:bookmarkEnd w:id="265"/>
      <w:r>
        <w:t>施工期污染源</w:t>
      </w:r>
    </w:p>
    <w:p>
      <w:pPr>
        <w:pStyle w:val="7"/>
        <w:spacing w:before="5"/>
        <w:ind w:left="0"/>
        <w:rPr>
          <w:b/>
          <w:sz w:val="21"/>
        </w:rPr>
      </w:pPr>
    </w:p>
    <w:p>
      <w:pPr>
        <w:pStyle w:val="7"/>
        <w:spacing w:line="364" w:lineRule="auto"/>
        <w:ind w:right="577" w:firstLine="480"/>
      </w:pPr>
      <w:r>
        <w:rPr>
          <w:spacing w:val="-6"/>
        </w:rPr>
        <w:t>本项目施工内容包括土建施工和设备安装调试，施工期间产生的污染主要有</w:t>
      </w:r>
      <w:r>
        <w:t>废气、废水、固体废物、噪声等几方面。</w:t>
      </w:r>
    </w:p>
    <w:p>
      <w:pPr>
        <w:pStyle w:val="18"/>
        <w:numPr>
          <w:ilvl w:val="3"/>
          <w:numId w:val="46"/>
        </w:numPr>
        <w:tabs>
          <w:tab w:val="left" w:pos="1621"/>
        </w:tabs>
        <w:spacing w:before="1" w:after="0" w:line="240" w:lineRule="auto"/>
        <w:ind w:left="1621" w:right="0" w:hanging="601"/>
        <w:jc w:val="left"/>
        <w:rPr>
          <w:sz w:val="24"/>
        </w:rPr>
      </w:pPr>
      <w:r>
        <w:rPr>
          <w:sz w:val="24"/>
        </w:rPr>
        <w:t>施工废气</w:t>
      </w:r>
    </w:p>
    <w:p>
      <w:pPr>
        <w:pStyle w:val="7"/>
        <w:spacing w:before="161" w:line="364" w:lineRule="auto"/>
        <w:ind w:right="485" w:firstLine="480"/>
        <w:jc w:val="both"/>
      </w:pPr>
      <w:r>
        <w:t>施工期的环境空气污染源主要为：施工作业面和施工交通运输产生的扬尘；场地平整形成的裸露地表、地基开挖、回填以及散状物料堆放等扬尘；推土机、挖掘机及交通工具释放的尾气。</w:t>
      </w:r>
    </w:p>
    <w:p>
      <w:pPr>
        <w:pStyle w:val="18"/>
        <w:numPr>
          <w:ilvl w:val="3"/>
          <w:numId w:val="46"/>
        </w:numPr>
        <w:tabs>
          <w:tab w:val="left" w:pos="1621"/>
        </w:tabs>
        <w:spacing w:before="1" w:after="0" w:line="240" w:lineRule="auto"/>
        <w:ind w:left="1621" w:right="0" w:hanging="601"/>
        <w:jc w:val="left"/>
        <w:rPr>
          <w:sz w:val="24"/>
        </w:rPr>
      </w:pPr>
      <w:r>
        <w:rPr>
          <w:sz w:val="24"/>
        </w:rPr>
        <w:t>施工期废水</w:t>
      </w:r>
    </w:p>
    <w:p>
      <w:pPr>
        <w:pStyle w:val="7"/>
        <w:spacing w:before="161" w:line="362" w:lineRule="auto"/>
        <w:ind w:right="577" w:firstLine="480"/>
      </w:pPr>
      <w:r>
        <w:rPr>
          <w:spacing w:val="-5"/>
        </w:rPr>
        <w:t>施工期水污染源主要为施工区的冲洗与设备清洗废水、施工队伍的生活污水</w:t>
      </w:r>
      <w:r>
        <w:rPr>
          <w:spacing w:val="-4"/>
          <w:position w:val="2"/>
        </w:rPr>
        <w:t>等。生活污水量较小，主要污染物为</w:t>
      </w:r>
      <w:r>
        <w:rPr>
          <w:rFonts w:ascii="Times New Roman" w:eastAsia="Times New Roman"/>
          <w:position w:val="2"/>
        </w:rPr>
        <w:t>SS</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CODcr</w:t>
      </w:r>
      <w:r>
        <w:rPr>
          <w:position w:val="2"/>
          <w:vertAlign w:val="baseline"/>
        </w:rPr>
        <w:t>等。</w:t>
      </w:r>
    </w:p>
    <w:p>
      <w:pPr>
        <w:pStyle w:val="18"/>
        <w:numPr>
          <w:ilvl w:val="3"/>
          <w:numId w:val="46"/>
        </w:numPr>
        <w:tabs>
          <w:tab w:val="left" w:pos="1621"/>
        </w:tabs>
        <w:spacing w:before="3" w:after="0" w:line="240" w:lineRule="auto"/>
        <w:ind w:left="1621" w:right="0" w:hanging="601"/>
        <w:jc w:val="left"/>
        <w:rPr>
          <w:sz w:val="24"/>
        </w:rPr>
      </w:pPr>
      <w:r>
        <w:rPr>
          <w:sz w:val="24"/>
        </w:rPr>
        <w:t>施工期固体废物</w:t>
      </w:r>
    </w:p>
    <w:p>
      <w:pPr>
        <w:pStyle w:val="7"/>
        <w:spacing w:before="160" w:line="364" w:lineRule="auto"/>
        <w:ind w:right="577" w:firstLine="480"/>
      </w:pPr>
      <w:r>
        <w:rPr>
          <w:spacing w:val="-7"/>
        </w:rPr>
        <w:t>施工期间产生的固体废物主要有：工程渣土、施工废物料和建筑垃圾、生活</w:t>
      </w:r>
      <w:r>
        <w:t>垃圾等。</w:t>
      </w:r>
    </w:p>
    <w:p>
      <w:pPr>
        <w:pStyle w:val="18"/>
        <w:numPr>
          <w:ilvl w:val="3"/>
          <w:numId w:val="46"/>
        </w:numPr>
        <w:tabs>
          <w:tab w:val="left" w:pos="1621"/>
        </w:tabs>
        <w:spacing w:before="2" w:after="0" w:line="240" w:lineRule="auto"/>
        <w:ind w:left="1621" w:right="0" w:hanging="601"/>
        <w:jc w:val="left"/>
        <w:rPr>
          <w:sz w:val="24"/>
        </w:rPr>
      </w:pPr>
      <w:r>
        <w:rPr>
          <w:sz w:val="24"/>
        </w:rPr>
        <w:t>施工期噪声</w:t>
      </w:r>
    </w:p>
    <w:p>
      <w:pPr>
        <w:pStyle w:val="7"/>
        <w:spacing w:before="160" w:line="364" w:lineRule="auto"/>
        <w:ind w:right="485" w:firstLine="480"/>
      </w:pPr>
      <w:r>
        <w:rPr>
          <w:spacing w:val="-5"/>
        </w:rPr>
        <w:t>施工期主要噪声源为各施工机械及运输车辆，噪声值在</w:t>
      </w:r>
      <w:r>
        <w:rPr>
          <w:rFonts w:ascii="Times New Roman" w:eastAsia="Times New Roman"/>
          <w:spacing w:val="-6"/>
        </w:rPr>
        <w:t>70-105dB</w:t>
      </w:r>
      <w:r>
        <w:rPr>
          <w:spacing w:val="-6"/>
        </w:rPr>
        <w:t>（</w:t>
      </w:r>
      <w:r>
        <w:rPr>
          <w:rFonts w:ascii="Times New Roman" w:eastAsia="Times New Roman"/>
          <w:spacing w:val="-6"/>
        </w:rPr>
        <w:t>A</w:t>
      </w:r>
      <w:r>
        <w:rPr>
          <w:spacing w:val="-6"/>
        </w:rPr>
        <w:t>）</w:t>
      </w:r>
      <w:r>
        <w:t>之间</w:t>
      </w:r>
      <w:r>
        <w:rPr>
          <w:spacing w:val="-1"/>
        </w:rPr>
        <w:t>本项目施工期施工内容主要包括场地平整、开挖土石方、打桩、构筑基础施工、</w:t>
      </w:r>
      <w:r>
        <w:rPr>
          <w:spacing w:val="-9"/>
        </w:rPr>
        <w:t>钢筋、砖混结构施工、管线施工及装修施工、场地清理等，施工期对环境的影响主要是扬尘、废水、施工噪声、建筑垃圾及生态影响等。</w:t>
      </w:r>
    </w:p>
    <w:p>
      <w:pPr>
        <w:pStyle w:val="5"/>
        <w:numPr>
          <w:ilvl w:val="2"/>
          <w:numId w:val="46"/>
        </w:numPr>
        <w:tabs>
          <w:tab w:val="left" w:pos="1241"/>
        </w:tabs>
        <w:spacing w:before="116" w:after="0" w:line="240" w:lineRule="auto"/>
        <w:ind w:left="1240" w:right="0" w:hanging="701"/>
        <w:jc w:val="left"/>
      </w:pPr>
      <w:bookmarkStart w:id="266" w:name="5.1.2 施工期大气环境影响分析"/>
      <w:bookmarkEnd w:id="266"/>
      <w:bookmarkStart w:id="267" w:name="5.1.2 施工期大气环境影响分析"/>
      <w:bookmarkEnd w:id="267"/>
      <w:r>
        <w:t>施工期大气环境影响分析</w:t>
      </w:r>
    </w:p>
    <w:p>
      <w:pPr>
        <w:pStyle w:val="7"/>
        <w:spacing w:before="7"/>
        <w:ind w:left="0"/>
        <w:rPr>
          <w:b/>
          <w:sz w:val="21"/>
        </w:rPr>
      </w:pPr>
    </w:p>
    <w:p>
      <w:pPr>
        <w:pStyle w:val="7"/>
        <w:spacing w:before="1"/>
      </w:pPr>
      <w:r>
        <w:rPr>
          <w:rFonts w:ascii="Times New Roman" w:eastAsia="Times New Roman"/>
        </w:rPr>
        <w:t>5.1.2.1</w:t>
      </w:r>
      <w:r>
        <w:t>施工扬尘</w:t>
      </w:r>
    </w:p>
    <w:p>
      <w:pPr>
        <w:pStyle w:val="7"/>
        <w:spacing w:before="160" w:line="364" w:lineRule="auto"/>
        <w:ind w:right="577" w:firstLine="480"/>
        <w:jc w:val="both"/>
      </w:pPr>
      <w:r>
        <w:rPr>
          <w:spacing w:val="-6"/>
        </w:rPr>
        <w:t>本项目施工期扬尘主要是主体工程、辅助工程、公用工程基础施工、环保工</w:t>
      </w:r>
      <w:r>
        <w:rPr>
          <w:spacing w:val="-2"/>
        </w:rPr>
        <w:t>程等的土建挖取土</w:t>
      </w:r>
      <w:r>
        <w:rPr>
          <w:spacing w:val="-3"/>
        </w:rPr>
        <w:t>（</w:t>
      </w:r>
      <w:r>
        <w:t>石</w:t>
      </w:r>
      <w:r>
        <w:rPr>
          <w:spacing w:val="-15"/>
        </w:rPr>
        <w:t>）</w:t>
      </w:r>
      <w:r>
        <w:rPr>
          <w:spacing w:val="-10"/>
        </w:rPr>
        <w:t>、推土、场地平整、施工沙石材料等的装卸、运输过程</w:t>
      </w:r>
      <w:r>
        <w:rPr>
          <w:spacing w:val="-5"/>
        </w:rPr>
        <w:t>中产生的扬尘以及土石方的临时堆放过程中产生的扬尘，施工扬尘产生与施工管</w:t>
      </w:r>
      <w:r>
        <w:rPr>
          <w:spacing w:val="-10"/>
        </w:rPr>
        <w:t>理、气象</w:t>
      </w:r>
      <w:r>
        <w:rPr>
          <w:spacing w:val="-3"/>
        </w:rPr>
        <w:t>（</w:t>
      </w:r>
      <w:r>
        <w:t>特别是风速</w:t>
      </w:r>
      <w:r>
        <w:rPr>
          <w:spacing w:val="-20"/>
        </w:rPr>
        <w:t>）</w:t>
      </w:r>
      <w:r>
        <w:rPr>
          <w:spacing w:val="-5"/>
        </w:rPr>
        <w:t>条件等密切相关，也与扬尘本身沉降速度有关。如遇干</w:t>
      </w:r>
    </w:p>
    <w:p>
      <w:pPr>
        <w:spacing w:after="0" w:line="364" w:lineRule="auto"/>
        <w:jc w:val="both"/>
        <w:sectPr>
          <w:footerReference r:id="rId21"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jc w:val="both"/>
      </w:pPr>
      <w:r>
        <w:rPr>
          <w:spacing w:val="-9"/>
        </w:rPr>
        <w:t>旱无雨季节，在大风时，施工扬尘将更严重。据有关调查显示，施工工地的扬尘</w:t>
      </w:r>
      <w:r>
        <w:rPr>
          <w:spacing w:val="-7"/>
        </w:rPr>
        <w:t>主要是由运输车辆行驶产生，与道路路面及车辆行驶速度有关，约占扬尘总量的</w:t>
      </w:r>
      <w:r>
        <w:rPr>
          <w:rFonts w:ascii="Times New Roman" w:eastAsia="Times New Roman"/>
        </w:rPr>
        <w:t>60%</w:t>
      </w:r>
      <w:r>
        <w:t>。在完全干燥情况下，可按经验公式计算：</w:t>
      </w:r>
    </w:p>
    <w:p>
      <w:pPr>
        <w:pStyle w:val="7"/>
        <w:ind w:left="2802"/>
        <w:rPr>
          <w:sz w:val="20"/>
        </w:rPr>
      </w:pPr>
      <w:r>
        <w:rPr>
          <w:sz w:val="20"/>
        </w:rPr>
        <w:drawing>
          <wp:inline distT="0" distB="0" distL="0" distR="0">
            <wp:extent cx="2414905" cy="502920"/>
            <wp:effectExtent l="0" t="0" r="0" b="0"/>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jpeg"/>
                    <pic:cNvPicPr>
                      <a:picLocks noChangeAspect="1"/>
                    </pic:cNvPicPr>
                  </pic:nvPicPr>
                  <pic:blipFill>
                    <a:blip r:embed="rId48" cstate="print"/>
                    <a:stretch>
                      <a:fillRect/>
                    </a:stretch>
                  </pic:blipFill>
                  <pic:spPr>
                    <a:xfrm>
                      <a:off x="0" y="0"/>
                      <a:ext cx="2415443" cy="502920"/>
                    </a:xfrm>
                    <a:prstGeom prst="rect">
                      <a:avLst/>
                    </a:prstGeom>
                  </pic:spPr>
                </pic:pic>
              </a:graphicData>
            </a:graphic>
          </wp:inline>
        </w:drawing>
      </w:r>
    </w:p>
    <w:p>
      <w:pPr>
        <w:pStyle w:val="7"/>
        <w:spacing w:before="146"/>
        <w:ind w:left="1020"/>
      </w:pPr>
      <w:r>
        <w:t>式中：</w:t>
      </w:r>
      <w:r>
        <w:rPr>
          <w:rFonts w:ascii="Times New Roman" w:hAnsi="Times New Roman" w:eastAsia="Times New Roman"/>
        </w:rPr>
        <w:t>Q</w:t>
      </w:r>
      <w:r>
        <w:t>——汽车行驶的扬尘，</w:t>
      </w:r>
      <w:r>
        <w:rPr>
          <w:rFonts w:ascii="Times New Roman" w:hAnsi="Times New Roman" w:eastAsia="Times New Roman"/>
        </w:rPr>
        <w:t>kg/km</w:t>
      </w:r>
      <w:r>
        <w:t>辆；</w:t>
      </w:r>
    </w:p>
    <w:p>
      <w:pPr>
        <w:pStyle w:val="7"/>
        <w:spacing w:before="160" w:line="364" w:lineRule="auto"/>
        <w:ind w:left="1740" w:right="5136"/>
      </w:pPr>
      <w:r>
        <w:rPr>
          <w:rFonts w:ascii="Times New Roman" w:hAnsi="Times New Roman" w:eastAsia="Times New Roman"/>
        </w:rPr>
        <w:t>v</w:t>
      </w:r>
      <w:r>
        <w:t>——汽车速度，</w:t>
      </w:r>
      <w:r>
        <w:rPr>
          <w:rFonts w:ascii="Times New Roman" w:hAnsi="Times New Roman" w:eastAsia="Times New Roman"/>
        </w:rPr>
        <w:t>km/h</w:t>
      </w:r>
      <w:r>
        <w:t>；</w:t>
      </w:r>
      <w:r>
        <w:rPr>
          <w:rFonts w:ascii="Times New Roman" w:hAnsi="Times New Roman" w:eastAsia="Times New Roman"/>
        </w:rPr>
        <w:t>W</w:t>
      </w:r>
      <w:r>
        <w:t>——汽车载重量，</w:t>
      </w:r>
      <w:r>
        <w:rPr>
          <w:rFonts w:ascii="Times New Roman" w:hAnsi="Times New Roman" w:eastAsia="Times New Roman"/>
        </w:rPr>
        <w:t>t</w:t>
      </w:r>
      <w:r>
        <w:t>；</w:t>
      </w:r>
    </w:p>
    <w:p>
      <w:pPr>
        <w:pStyle w:val="7"/>
        <w:spacing w:before="1"/>
        <w:ind w:left="1740"/>
      </w:pPr>
      <w:r>
        <w:rPr>
          <w:rFonts w:ascii="Times New Roman" w:hAnsi="Times New Roman" w:eastAsia="Times New Roman"/>
        </w:rPr>
        <w:t>P</w:t>
      </w:r>
      <w:r>
        <w:t>——道路表面粉尘量，</w:t>
      </w:r>
      <w:r>
        <w:rPr>
          <w:rFonts w:ascii="Times New Roman" w:hAnsi="Times New Roman" w:eastAsia="Times New Roman"/>
        </w:rPr>
        <w:t>kg/m</w:t>
      </w:r>
      <w:r>
        <w:rPr>
          <w:rFonts w:ascii="Times New Roman" w:hAnsi="Times New Roman" w:eastAsia="Times New Roman"/>
          <w:position w:val="8"/>
          <w:sz w:val="15"/>
        </w:rPr>
        <w:t>2</w:t>
      </w:r>
      <w:r>
        <w:t>。</w:t>
      </w:r>
    </w:p>
    <w:p>
      <w:pPr>
        <w:pStyle w:val="7"/>
        <w:spacing w:before="161" w:line="364" w:lineRule="auto"/>
        <w:ind w:right="455" w:firstLine="480"/>
      </w:pPr>
      <w:r>
        <w:rPr>
          <w:spacing w:val="-12"/>
        </w:rPr>
        <w:t>一辆载重</w:t>
      </w:r>
      <w:r>
        <w:rPr>
          <w:rFonts w:ascii="Times New Roman" w:eastAsia="Times New Roman"/>
        </w:rPr>
        <w:t>20t</w:t>
      </w:r>
      <w:r>
        <w:rPr>
          <w:spacing w:val="-13"/>
        </w:rPr>
        <w:t>的卡车，通过一段长度为</w:t>
      </w:r>
      <w:r>
        <w:rPr>
          <w:rFonts w:ascii="Times New Roman" w:eastAsia="Times New Roman"/>
        </w:rPr>
        <w:t>500m</w:t>
      </w:r>
      <w:r>
        <w:rPr>
          <w:spacing w:val="-9"/>
        </w:rPr>
        <w:t>的路面时，不同表面清洁程度，</w:t>
      </w:r>
      <w:r>
        <w:rPr>
          <w:spacing w:val="-4"/>
        </w:rPr>
        <w:t>不同行驶速度情况下产生的扬尘量如表</w:t>
      </w:r>
      <w:r>
        <w:rPr>
          <w:rFonts w:ascii="Times New Roman" w:eastAsia="Times New Roman"/>
        </w:rPr>
        <w:t>5.1-1</w:t>
      </w:r>
      <w:r>
        <w:t>所示。</w:t>
      </w:r>
    </w:p>
    <w:p>
      <w:pPr>
        <w:pStyle w:val="7"/>
        <w:bidi w:val="0"/>
        <w:jc w:val="center"/>
      </w:pPr>
      <w:r>
        <w:pict>
          <v:line id="_x0000_s1165" o:spid="_x0000_s1165" o:spt="20" style="position:absolute;left:0pt;margin-left:90.05pt;margin-top:19.8pt;height:31.45pt;width:115.6pt;mso-position-horizontal-relative:page;z-index:-270995456;mso-width-relative:page;mso-height-relative:page;" stroked="t" coordsize="21600,21600">
            <v:path arrowok="t"/>
            <v:fill focussize="0,0"/>
            <v:stroke weight="0.5pt" color="#000000"/>
            <v:imagedata o:title=""/>
            <o:lock v:ext="edit"/>
          </v:line>
        </w:pict>
      </w:r>
      <w:r>
        <w:t>表</w:t>
      </w:r>
      <w:r>
        <w:rPr>
          <w:rFonts w:ascii="Times New Roman" w:hAnsi="Times New Roman" w:eastAsia="Times New Roman"/>
        </w:rPr>
        <w:t>5.1-1</w:t>
      </w:r>
      <w:r>
        <w:rPr>
          <w:rFonts w:ascii="Times New Roman" w:hAnsi="Times New Roman" w:eastAsia="Times New Roman"/>
        </w:rPr>
        <w:tab/>
      </w:r>
      <w:r>
        <w:t>不同车速和地面清洁程度时的汽车扬尘单位：</w:t>
      </w:r>
      <w:r>
        <w:rPr>
          <w:rFonts w:ascii="Times New Roman" w:hAnsi="Times New Roman" w:eastAsia="Times New Roman"/>
        </w:rPr>
        <w:t>kg/km·</w:t>
      </w:r>
      <w:r>
        <w:t>辆</w:t>
      </w:r>
    </w:p>
    <w:tbl>
      <w:tblPr>
        <w:tblStyle w:val="15"/>
        <w:tblW w:w="0" w:type="auto"/>
        <w:tblInd w:w="5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7"/>
        <w:gridCol w:w="1143"/>
        <w:gridCol w:w="893"/>
        <w:gridCol w:w="1084"/>
        <w:gridCol w:w="843"/>
        <w:gridCol w:w="1008"/>
        <w:gridCol w:w="10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17" w:type="dxa"/>
          </w:tcPr>
          <w:p>
            <w:pPr>
              <w:pStyle w:val="19"/>
              <w:spacing w:before="21"/>
              <w:ind w:left="1148"/>
              <w:jc w:val="left"/>
              <w:rPr>
                <w:b/>
                <w:sz w:val="21"/>
              </w:rPr>
            </w:pPr>
            <w:r>
              <w:rPr>
                <w:rFonts w:ascii="Times New Roman" w:eastAsia="Times New Roman"/>
                <w:b/>
                <w:sz w:val="21"/>
              </w:rPr>
              <w:t>P</w:t>
            </w:r>
            <w:r>
              <w:rPr>
                <w:b/>
                <w:sz w:val="21"/>
              </w:rPr>
              <w:t>（</w:t>
            </w:r>
            <w:r>
              <w:rPr>
                <w:rFonts w:ascii="Times New Roman" w:eastAsia="Times New Roman"/>
                <w:b/>
                <w:sz w:val="21"/>
              </w:rPr>
              <w:t>kg/m</w:t>
            </w:r>
            <w:r>
              <w:rPr>
                <w:rFonts w:ascii="Times New Roman" w:eastAsia="Times New Roman"/>
                <w:b/>
                <w:position w:val="7"/>
                <w:sz w:val="13"/>
              </w:rPr>
              <w:t>2</w:t>
            </w:r>
            <w:r>
              <w:rPr>
                <w:b/>
                <w:sz w:val="21"/>
              </w:rPr>
              <w:t>）</w:t>
            </w:r>
          </w:p>
          <w:p>
            <w:pPr>
              <w:pStyle w:val="19"/>
              <w:spacing w:before="43"/>
              <w:ind w:left="4"/>
              <w:jc w:val="left"/>
              <w:rPr>
                <w:b/>
                <w:sz w:val="21"/>
              </w:rPr>
            </w:pPr>
            <w:r>
              <w:rPr>
                <w:b/>
                <w:sz w:val="21"/>
              </w:rPr>
              <w:t>车速（</w:t>
            </w:r>
            <w:r>
              <w:rPr>
                <w:rFonts w:ascii="Times New Roman" w:eastAsia="Times New Roman"/>
                <w:b/>
                <w:sz w:val="21"/>
              </w:rPr>
              <w:t>km/h</w:t>
            </w:r>
            <w:r>
              <w:rPr>
                <w:b/>
                <w:sz w:val="21"/>
              </w:rPr>
              <w:t>）</w:t>
            </w:r>
          </w:p>
        </w:tc>
        <w:tc>
          <w:tcPr>
            <w:tcW w:w="1143" w:type="dxa"/>
          </w:tcPr>
          <w:p>
            <w:pPr>
              <w:pStyle w:val="19"/>
              <w:spacing w:before="191"/>
              <w:ind w:left="261" w:right="252"/>
              <w:rPr>
                <w:rFonts w:ascii="Times New Roman"/>
                <w:b/>
                <w:sz w:val="21"/>
              </w:rPr>
            </w:pPr>
            <w:r>
              <w:rPr>
                <w:rFonts w:ascii="Times New Roman"/>
                <w:b/>
                <w:sz w:val="21"/>
              </w:rPr>
              <w:t>0.1</w:t>
            </w:r>
          </w:p>
        </w:tc>
        <w:tc>
          <w:tcPr>
            <w:tcW w:w="893" w:type="dxa"/>
          </w:tcPr>
          <w:p>
            <w:pPr>
              <w:pStyle w:val="19"/>
              <w:spacing w:before="191"/>
              <w:ind w:left="136" w:right="127"/>
              <w:rPr>
                <w:rFonts w:ascii="Times New Roman"/>
                <w:b/>
                <w:sz w:val="21"/>
              </w:rPr>
            </w:pPr>
            <w:r>
              <w:rPr>
                <w:rFonts w:ascii="Times New Roman"/>
                <w:b/>
                <w:sz w:val="21"/>
              </w:rPr>
              <w:t>0.2</w:t>
            </w:r>
          </w:p>
        </w:tc>
        <w:tc>
          <w:tcPr>
            <w:tcW w:w="1084" w:type="dxa"/>
          </w:tcPr>
          <w:p>
            <w:pPr>
              <w:pStyle w:val="19"/>
              <w:spacing w:before="191"/>
              <w:ind w:left="231" w:right="222"/>
              <w:rPr>
                <w:rFonts w:ascii="Times New Roman"/>
                <w:b/>
                <w:sz w:val="21"/>
              </w:rPr>
            </w:pPr>
            <w:r>
              <w:rPr>
                <w:rFonts w:ascii="Times New Roman"/>
                <w:b/>
                <w:sz w:val="21"/>
              </w:rPr>
              <w:t>0.3</w:t>
            </w:r>
          </w:p>
        </w:tc>
        <w:tc>
          <w:tcPr>
            <w:tcW w:w="843" w:type="dxa"/>
          </w:tcPr>
          <w:p>
            <w:pPr>
              <w:pStyle w:val="19"/>
              <w:spacing w:before="191"/>
              <w:ind w:left="110" w:right="103"/>
              <w:rPr>
                <w:rFonts w:ascii="Times New Roman"/>
                <w:b/>
                <w:sz w:val="21"/>
              </w:rPr>
            </w:pPr>
            <w:r>
              <w:rPr>
                <w:rFonts w:ascii="Times New Roman"/>
                <w:b/>
                <w:sz w:val="21"/>
              </w:rPr>
              <w:t>0.4</w:t>
            </w:r>
          </w:p>
        </w:tc>
        <w:tc>
          <w:tcPr>
            <w:tcW w:w="1008" w:type="dxa"/>
          </w:tcPr>
          <w:p>
            <w:pPr>
              <w:pStyle w:val="19"/>
              <w:spacing w:before="191"/>
              <w:ind w:left="193" w:right="184"/>
              <w:rPr>
                <w:rFonts w:ascii="Times New Roman"/>
                <w:b/>
                <w:sz w:val="21"/>
              </w:rPr>
            </w:pPr>
            <w:r>
              <w:rPr>
                <w:rFonts w:ascii="Times New Roman"/>
                <w:b/>
                <w:sz w:val="21"/>
              </w:rPr>
              <w:t>0.5</w:t>
            </w:r>
          </w:p>
        </w:tc>
        <w:tc>
          <w:tcPr>
            <w:tcW w:w="1021" w:type="dxa"/>
          </w:tcPr>
          <w:p>
            <w:pPr>
              <w:pStyle w:val="19"/>
              <w:spacing w:before="191"/>
              <w:ind w:left="53" w:right="43"/>
              <w:rPr>
                <w:rFonts w:ascii="Times New Roman"/>
                <w:b/>
                <w:sz w:val="21"/>
              </w:rPr>
            </w:pPr>
            <w:r>
              <w:rPr>
                <w:rFonts w:ascii="Times New Roman"/>
                <w:b/>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17" w:type="dxa"/>
          </w:tcPr>
          <w:p>
            <w:pPr>
              <w:pStyle w:val="19"/>
              <w:spacing w:before="49"/>
              <w:ind w:right="1094"/>
              <w:jc w:val="right"/>
              <w:rPr>
                <w:rFonts w:ascii="Times New Roman"/>
                <w:sz w:val="21"/>
              </w:rPr>
            </w:pPr>
            <w:r>
              <w:rPr>
                <w:rFonts w:ascii="Times New Roman"/>
                <w:w w:val="99"/>
                <w:sz w:val="21"/>
              </w:rPr>
              <w:t>5</w:t>
            </w:r>
          </w:p>
        </w:tc>
        <w:tc>
          <w:tcPr>
            <w:tcW w:w="1143" w:type="dxa"/>
          </w:tcPr>
          <w:p>
            <w:pPr>
              <w:pStyle w:val="19"/>
              <w:spacing w:before="49"/>
              <w:ind w:left="261" w:right="254"/>
              <w:rPr>
                <w:rFonts w:ascii="Times New Roman"/>
                <w:sz w:val="21"/>
              </w:rPr>
            </w:pPr>
            <w:r>
              <w:rPr>
                <w:rFonts w:ascii="Times New Roman"/>
                <w:sz w:val="21"/>
              </w:rPr>
              <w:t>0.0323</w:t>
            </w:r>
          </w:p>
        </w:tc>
        <w:tc>
          <w:tcPr>
            <w:tcW w:w="893" w:type="dxa"/>
          </w:tcPr>
          <w:p>
            <w:pPr>
              <w:pStyle w:val="19"/>
              <w:spacing w:before="49"/>
              <w:ind w:left="138" w:right="127"/>
              <w:rPr>
                <w:rFonts w:ascii="Times New Roman"/>
                <w:sz w:val="21"/>
              </w:rPr>
            </w:pPr>
            <w:r>
              <w:rPr>
                <w:rFonts w:ascii="Times New Roman"/>
                <w:sz w:val="21"/>
              </w:rPr>
              <w:t>0.0576</w:t>
            </w:r>
          </w:p>
        </w:tc>
        <w:tc>
          <w:tcPr>
            <w:tcW w:w="1084" w:type="dxa"/>
          </w:tcPr>
          <w:p>
            <w:pPr>
              <w:pStyle w:val="19"/>
              <w:spacing w:before="49"/>
              <w:ind w:left="231" w:right="224"/>
              <w:rPr>
                <w:rFonts w:ascii="Times New Roman"/>
                <w:sz w:val="21"/>
              </w:rPr>
            </w:pPr>
            <w:r>
              <w:rPr>
                <w:rFonts w:ascii="Times New Roman"/>
                <w:sz w:val="21"/>
              </w:rPr>
              <w:t>0.0946</w:t>
            </w:r>
          </w:p>
        </w:tc>
        <w:tc>
          <w:tcPr>
            <w:tcW w:w="843" w:type="dxa"/>
          </w:tcPr>
          <w:p>
            <w:pPr>
              <w:pStyle w:val="19"/>
              <w:spacing w:before="49"/>
              <w:ind w:left="112" w:right="103"/>
              <w:rPr>
                <w:rFonts w:ascii="Times New Roman"/>
                <w:sz w:val="21"/>
              </w:rPr>
            </w:pPr>
            <w:r>
              <w:rPr>
                <w:rFonts w:ascii="Times New Roman"/>
                <w:sz w:val="21"/>
              </w:rPr>
              <w:t>0.1427</w:t>
            </w:r>
          </w:p>
        </w:tc>
        <w:tc>
          <w:tcPr>
            <w:tcW w:w="1008" w:type="dxa"/>
          </w:tcPr>
          <w:p>
            <w:pPr>
              <w:pStyle w:val="19"/>
              <w:spacing w:before="49"/>
              <w:ind w:left="193" w:right="187"/>
              <w:rPr>
                <w:rFonts w:ascii="Times New Roman"/>
                <w:sz w:val="21"/>
              </w:rPr>
            </w:pPr>
            <w:r>
              <w:rPr>
                <w:rFonts w:ascii="Times New Roman"/>
                <w:sz w:val="21"/>
              </w:rPr>
              <w:t>0.1760</w:t>
            </w:r>
          </w:p>
        </w:tc>
        <w:tc>
          <w:tcPr>
            <w:tcW w:w="1021" w:type="dxa"/>
          </w:tcPr>
          <w:p>
            <w:pPr>
              <w:pStyle w:val="19"/>
              <w:spacing w:before="49"/>
              <w:ind w:left="53" w:right="45"/>
              <w:rPr>
                <w:rFonts w:ascii="Times New Roman"/>
                <w:sz w:val="21"/>
              </w:rPr>
            </w:pPr>
            <w:r>
              <w:rPr>
                <w:rFonts w:ascii="Times New Roman"/>
                <w:sz w:val="21"/>
              </w:rPr>
              <w:t>0.2393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17" w:type="dxa"/>
          </w:tcPr>
          <w:p>
            <w:pPr>
              <w:pStyle w:val="19"/>
              <w:spacing w:before="49"/>
              <w:ind w:right="1041"/>
              <w:jc w:val="right"/>
              <w:rPr>
                <w:rFonts w:ascii="Times New Roman"/>
                <w:sz w:val="21"/>
              </w:rPr>
            </w:pPr>
            <w:r>
              <w:rPr>
                <w:rFonts w:ascii="Times New Roman"/>
                <w:sz w:val="21"/>
              </w:rPr>
              <w:t>10</w:t>
            </w:r>
          </w:p>
        </w:tc>
        <w:tc>
          <w:tcPr>
            <w:tcW w:w="1143" w:type="dxa"/>
          </w:tcPr>
          <w:p>
            <w:pPr>
              <w:pStyle w:val="19"/>
              <w:spacing w:before="49"/>
              <w:ind w:left="261" w:right="254"/>
              <w:rPr>
                <w:rFonts w:ascii="Times New Roman"/>
                <w:sz w:val="21"/>
              </w:rPr>
            </w:pPr>
            <w:r>
              <w:rPr>
                <w:rFonts w:ascii="Times New Roman"/>
                <w:sz w:val="21"/>
              </w:rPr>
              <w:t>0.0716</w:t>
            </w:r>
          </w:p>
        </w:tc>
        <w:tc>
          <w:tcPr>
            <w:tcW w:w="893" w:type="dxa"/>
          </w:tcPr>
          <w:p>
            <w:pPr>
              <w:pStyle w:val="19"/>
              <w:spacing w:before="49"/>
              <w:ind w:left="138" w:right="127"/>
              <w:rPr>
                <w:rFonts w:ascii="Times New Roman"/>
                <w:sz w:val="21"/>
              </w:rPr>
            </w:pPr>
            <w:r>
              <w:rPr>
                <w:rFonts w:ascii="Times New Roman"/>
                <w:sz w:val="21"/>
              </w:rPr>
              <w:t>0.1253</w:t>
            </w:r>
          </w:p>
        </w:tc>
        <w:tc>
          <w:tcPr>
            <w:tcW w:w="1084" w:type="dxa"/>
          </w:tcPr>
          <w:p>
            <w:pPr>
              <w:pStyle w:val="19"/>
              <w:spacing w:before="49"/>
              <w:ind w:left="231" w:right="224"/>
              <w:rPr>
                <w:rFonts w:ascii="Times New Roman"/>
                <w:sz w:val="21"/>
              </w:rPr>
            </w:pPr>
            <w:r>
              <w:rPr>
                <w:rFonts w:ascii="Times New Roman"/>
                <w:sz w:val="21"/>
              </w:rPr>
              <w:t>0.1638</w:t>
            </w:r>
          </w:p>
        </w:tc>
        <w:tc>
          <w:tcPr>
            <w:tcW w:w="843" w:type="dxa"/>
          </w:tcPr>
          <w:p>
            <w:pPr>
              <w:pStyle w:val="19"/>
              <w:spacing w:before="49"/>
              <w:ind w:left="112" w:right="103"/>
              <w:rPr>
                <w:rFonts w:ascii="Times New Roman"/>
                <w:sz w:val="21"/>
              </w:rPr>
            </w:pPr>
            <w:r>
              <w:rPr>
                <w:rFonts w:ascii="Times New Roman"/>
                <w:sz w:val="21"/>
              </w:rPr>
              <w:t>0.2325</w:t>
            </w:r>
          </w:p>
        </w:tc>
        <w:tc>
          <w:tcPr>
            <w:tcW w:w="1008" w:type="dxa"/>
          </w:tcPr>
          <w:p>
            <w:pPr>
              <w:pStyle w:val="19"/>
              <w:spacing w:before="49"/>
              <w:ind w:left="193" w:right="187"/>
              <w:rPr>
                <w:rFonts w:ascii="Times New Roman"/>
                <w:sz w:val="21"/>
              </w:rPr>
            </w:pPr>
            <w:r>
              <w:rPr>
                <w:rFonts w:ascii="Times New Roman"/>
                <w:sz w:val="21"/>
              </w:rPr>
              <w:t>0.2231</w:t>
            </w:r>
          </w:p>
        </w:tc>
        <w:tc>
          <w:tcPr>
            <w:tcW w:w="1021" w:type="dxa"/>
          </w:tcPr>
          <w:p>
            <w:pPr>
              <w:pStyle w:val="19"/>
              <w:spacing w:before="49"/>
              <w:ind w:left="53" w:right="45"/>
              <w:rPr>
                <w:rFonts w:ascii="Times New Roman"/>
                <w:sz w:val="21"/>
              </w:rPr>
            </w:pPr>
            <w:r>
              <w:rPr>
                <w:rFonts w:ascii="Times New Roman"/>
                <w:sz w:val="21"/>
              </w:rPr>
              <w:t>0.4286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17" w:type="dxa"/>
          </w:tcPr>
          <w:p>
            <w:pPr>
              <w:pStyle w:val="19"/>
              <w:spacing w:before="50"/>
              <w:ind w:right="1041"/>
              <w:jc w:val="right"/>
              <w:rPr>
                <w:rFonts w:ascii="Times New Roman"/>
                <w:sz w:val="21"/>
              </w:rPr>
            </w:pPr>
            <w:r>
              <w:rPr>
                <w:rFonts w:ascii="Times New Roman"/>
                <w:sz w:val="21"/>
              </w:rPr>
              <w:t>15</w:t>
            </w:r>
          </w:p>
        </w:tc>
        <w:tc>
          <w:tcPr>
            <w:tcW w:w="1143" w:type="dxa"/>
          </w:tcPr>
          <w:p>
            <w:pPr>
              <w:pStyle w:val="19"/>
              <w:spacing w:before="50"/>
              <w:ind w:left="261" w:right="254"/>
              <w:rPr>
                <w:rFonts w:ascii="Times New Roman"/>
                <w:sz w:val="21"/>
              </w:rPr>
            </w:pPr>
            <w:r>
              <w:rPr>
                <w:rFonts w:ascii="Times New Roman"/>
                <w:sz w:val="21"/>
              </w:rPr>
              <w:t>0.1050</w:t>
            </w:r>
          </w:p>
        </w:tc>
        <w:tc>
          <w:tcPr>
            <w:tcW w:w="893" w:type="dxa"/>
          </w:tcPr>
          <w:p>
            <w:pPr>
              <w:pStyle w:val="19"/>
              <w:spacing w:before="50"/>
              <w:ind w:left="138" w:right="127"/>
              <w:rPr>
                <w:rFonts w:ascii="Times New Roman"/>
                <w:sz w:val="21"/>
              </w:rPr>
            </w:pPr>
            <w:r>
              <w:rPr>
                <w:rFonts w:ascii="Times New Roman"/>
                <w:sz w:val="21"/>
              </w:rPr>
              <w:t>0.1636</w:t>
            </w:r>
          </w:p>
        </w:tc>
        <w:tc>
          <w:tcPr>
            <w:tcW w:w="1084" w:type="dxa"/>
          </w:tcPr>
          <w:p>
            <w:pPr>
              <w:pStyle w:val="19"/>
              <w:spacing w:before="50"/>
              <w:ind w:left="231" w:right="224"/>
              <w:rPr>
                <w:rFonts w:ascii="Times New Roman"/>
                <w:sz w:val="21"/>
              </w:rPr>
            </w:pPr>
            <w:r>
              <w:rPr>
                <w:rFonts w:ascii="Times New Roman"/>
                <w:sz w:val="21"/>
              </w:rPr>
              <w:t>0.2342</w:t>
            </w:r>
          </w:p>
        </w:tc>
        <w:tc>
          <w:tcPr>
            <w:tcW w:w="843" w:type="dxa"/>
          </w:tcPr>
          <w:p>
            <w:pPr>
              <w:pStyle w:val="19"/>
              <w:spacing w:before="50"/>
              <w:ind w:left="112" w:right="103"/>
              <w:rPr>
                <w:rFonts w:ascii="Times New Roman"/>
                <w:sz w:val="21"/>
              </w:rPr>
            </w:pPr>
            <w:r>
              <w:rPr>
                <w:rFonts w:ascii="Times New Roman"/>
                <w:sz w:val="21"/>
              </w:rPr>
              <w:t>0.3603</w:t>
            </w:r>
          </w:p>
        </w:tc>
        <w:tc>
          <w:tcPr>
            <w:tcW w:w="1008" w:type="dxa"/>
          </w:tcPr>
          <w:p>
            <w:pPr>
              <w:pStyle w:val="19"/>
              <w:spacing w:before="50"/>
              <w:ind w:left="193" w:right="187"/>
              <w:rPr>
                <w:rFonts w:ascii="Times New Roman"/>
                <w:sz w:val="21"/>
              </w:rPr>
            </w:pPr>
            <w:r>
              <w:rPr>
                <w:rFonts w:ascii="Times New Roman"/>
                <w:sz w:val="21"/>
              </w:rPr>
              <w:t>0.4314</w:t>
            </w:r>
          </w:p>
        </w:tc>
        <w:tc>
          <w:tcPr>
            <w:tcW w:w="1021" w:type="dxa"/>
          </w:tcPr>
          <w:p>
            <w:pPr>
              <w:pStyle w:val="19"/>
              <w:spacing w:before="50"/>
              <w:ind w:left="53" w:right="45"/>
              <w:rPr>
                <w:rFonts w:ascii="Times New Roman"/>
                <w:sz w:val="21"/>
              </w:rPr>
            </w:pPr>
            <w:r>
              <w:rPr>
                <w:rFonts w:ascii="Times New Roman"/>
                <w:sz w:val="21"/>
              </w:rPr>
              <w:t>0.6878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17" w:type="dxa"/>
          </w:tcPr>
          <w:p>
            <w:pPr>
              <w:pStyle w:val="19"/>
              <w:spacing w:before="48"/>
              <w:ind w:right="1041"/>
              <w:jc w:val="right"/>
              <w:rPr>
                <w:rFonts w:ascii="Times New Roman"/>
                <w:sz w:val="21"/>
              </w:rPr>
            </w:pPr>
            <w:r>
              <w:rPr>
                <w:rFonts w:ascii="Times New Roman"/>
                <w:sz w:val="21"/>
              </w:rPr>
              <w:t>20</w:t>
            </w:r>
          </w:p>
        </w:tc>
        <w:tc>
          <w:tcPr>
            <w:tcW w:w="1143" w:type="dxa"/>
          </w:tcPr>
          <w:p>
            <w:pPr>
              <w:pStyle w:val="19"/>
              <w:spacing w:before="48"/>
              <w:ind w:left="261" w:right="254"/>
              <w:rPr>
                <w:rFonts w:ascii="Times New Roman"/>
                <w:sz w:val="21"/>
              </w:rPr>
            </w:pPr>
            <w:r>
              <w:rPr>
                <w:rFonts w:ascii="Times New Roman"/>
                <w:sz w:val="21"/>
              </w:rPr>
              <w:t>0.1433</w:t>
            </w:r>
          </w:p>
        </w:tc>
        <w:tc>
          <w:tcPr>
            <w:tcW w:w="893" w:type="dxa"/>
          </w:tcPr>
          <w:p>
            <w:pPr>
              <w:pStyle w:val="19"/>
              <w:spacing w:before="48"/>
              <w:ind w:left="138" w:right="127"/>
              <w:rPr>
                <w:rFonts w:ascii="Times New Roman"/>
                <w:sz w:val="21"/>
              </w:rPr>
            </w:pPr>
            <w:r>
              <w:rPr>
                <w:rFonts w:ascii="Times New Roman"/>
                <w:sz w:val="21"/>
              </w:rPr>
              <w:t>0.2105</w:t>
            </w:r>
          </w:p>
        </w:tc>
        <w:tc>
          <w:tcPr>
            <w:tcW w:w="1084" w:type="dxa"/>
          </w:tcPr>
          <w:p>
            <w:pPr>
              <w:pStyle w:val="19"/>
              <w:spacing w:before="48"/>
              <w:ind w:left="231" w:right="224"/>
              <w:rPr>
                <w:rFonts w:ascii="Times New Roman"/>
                <w:sz w:val="21"/>
              </w:rPr>
            </w:pPr>
            <w:r>
              <w:rPr>
                <w:rFonts w:ascii="Times New Roman"/>
                <w:sz w:val="21"/>
              </w:rPr>
              <w:t>0.2741</w:t>
            </w:r>
          </w:p>
        </w:tc>
        <w:tc>
          <w:tcPr>
            <w:tcW w:w="843" w:type="dxa"/>
          </w:tcPr>
          <w:p>
            <w:pPr>
              <w:pStyle w:val="19"/>
              <w:spacing w:before="48"/>
              <w:ind w:left="112" w:right="103"/>
              <w:rPr>
                <w:rFonts w:ascii="Times New Roman"/>
                <w:sz w:val="21"/>
              </w:rPr>
            </w:pPr>
            <w:r>
              <w:rPr>
                <w:rFonts w:ascii="Times New Roman"/>
                <w:sz w:val="21"/>
              </w:rPr>
              <w:t>0.4204</w:t>
            </w:r>
          </w:p>
        </w:tc>
        <w:tc>
          <w:tcPr>
            <w:tcW w:w="1008" w:type="dxa"/>
          </w:tcPr>
          <w:p>
            <w:pPr>
              <w:pStyle w:val="19"/>
              <w:spacing w:before="48"/>
              <w:ind w:left="193" w:right="187"/>
              <w:rPr>
                <w:rFonts w:ascii="Times New Roman"/>
                <w:sz w:val="21"/>
              </w:rPr>
            </w:pPr>
            <w:r>
              <w:rPr>
                <w:rFonts w:ascii="Times New Roman"/>
                <w:sz w:val="21"/>
              </w:rPr>
              <w:t>0.5828</w:t>
            </w:r>
          </w:p>
        </w:tc>
        <w:tc>
          <w:tcPr>
            <w:tcW w:w="1021" w:type="dxa"/>
          </w:tcPr>
          <w:p>
            <w:pPr>
              <w:pStyle w:val="19"/>
              <w:spacing w:before="48"/>
              <w:ind w:left="53" w:right="45"/>
              <w:rPr>
                <w:rFonts w:ascii="Times New Roman"/>
                <w:sz w:val="21"/>
              </w:rPr>
            </w:pPr>
            <w:r>
              <w:rPr>
                <w:rFonts w:ascii="Times New Roman"/>
                <w:sz w:val="21"/>
              </w:rPr>
              <w:t>0.8471</w:t>
            </w:r>
          </w:p>
        </w:tc>
      </w:tr>
    </w:tbl>
    <w:p>
      <w:pPr>
        <w:pStyle w:val="7"/>
        <w:spacing w:before="6"/>
        <w:ind w:left="0"/>
        <w:rPr>
          <w:b/>
          <w:sz w:val="18"/>
        </w:rPr>
      </w:pPr>
    </w:p>
    <w:p>
      <w:pPr>
        <w:pStyle w:val="7"/>
        <w:spacing w:line="364" w:lineRule="auto"/>
        <w:ind w:right="485" w:firstLine="480"/>
      </w:pPr>
      <w:r>
        <w:t>由表</w:t>
      </w:r>
      <w:r>
        <w:rPr>
          <w:rFonts w:ascii="Times New Roman" w:eastAsia="Times New Roman"/>
        </w:rPr>
        <w:t>5.1-1</w:t>
      </w:r>
      <w:r>
        <w:t>可见，在同样路面清洁情况下，车速越快，扬尘量越大；而在同样车速情况下，路面清洁度越差，则扬尘量越大。根据类比调查，一般情况下，施工场地、施工道路在自然风作用下产生的扬尘所影响的范围在</w:t>
      </w:r>
      <w:r>
        <w:rPr>
          <w:rFonts w:ascii="Times New Roman" w:eastAsia="Times New Roman"/>
        </w:rPr>
        <w:t>100m</w:t>
      </w:r>
      <w:r>
        <w:t>以内。</w:t>
      </w:r>
    </w:p>
    <w:p>
      <w:pPr>
        <w:pStyle w:val="7"/>
        <w:spacing w:before="2" w:line="364" w:lineRule="auto"/>
        <w:ind w:right="577" w:firstLine="480"/>
      </w:pPr>
      <w:r>
        <w:rPr>
          <w:spacing w:val="-7"/>
        </w:rPr>
        <w:t>抑制扬尘的一个简洁有效的措施是洒水。如果在施工期内对车辆行驶的路面</w:t>
      </w:r>
      <w:r>
        <w:rPr>
          <w:spacing w:val="-6"/>
        </w:rPr>
        <w:t>实施洒水抑尘，每天洒水</w:t>
      </w:r>
      <w:r>
        <w:rPr>
          <w:rFonts w:ascii="Times New Roman" w:eastAsia="Times New Roman"/>
        </w:rPr>
        <w:t>4-5</w:t>
      </w:r>
      <w:r>
        <w:rPr>
          <w:spacing w:val="-7"/>
        </w:rPr>
        <w:t>次，可使扬尘减少</w:t>
      </w:r>
      <w:r>
        <w:rPr>
          <w:rFonts w:ascii="Times New Roman" w:eastAsia="Times New Roman"/>
        </w:rPr>
        <w:t>70%</w:t>
      </w:r>
      <w:r>
        <w:t>左右。</w:t>
      </w:r>
    </w:p>
    <w:p>
      <w:pPr>
        <w:pStyle w:val="7"/>
        <w:spacing w:before="1" w:line="364" w:lineRule="auto"/>
        <w:ind w:right="577" w:firstLine="480"/>
        <w:jc w:val="both"/>
        <w:rPr>
          <w:color w:val="0000FF"/>
        </w:rPr>
      </w:pPr>
      <w:r>
        <w:rPr>
          <w:color w:val="0000FF"/>
          <w:spacing w:val="-4"/>
        </w:rPr>
        <w:t>本项目主要大气环境敏感点在项目区西侧</w:t>
      </w:r>
      <w:r>
        <w:rPr>
          <w:rFonts w:hint="eastAsia" w:ascii="Times New Roman" w:eastAsia="宋体"/>
          <w:color w:val="0000FF"/>
          <w:lang w:val="en-US" w:eastAsia="zh-CN"/>
        </w:rPr>
        <w:t>1.6</w:t>
      </w:r>
      <w:r>
        <w:rPr>
          <w:rFonts w:ascii="Times New Roman" w:eastAsia="Times New Roman"/>
          <w:color w:val="0000FF"/>
        </w:rPr>
        <w:t>km</w:t>
      </w:r>
      <w:r>
        <w:rPr>
          <w:color w:val="0000FF"/>
          <w:spacing w:val="-12"/>
        </w:rPr>
        <w:t>以外，车辆引起的路面扬尘</w:t>
      </w:r>
      <w:r>
        <w:rPr>
          <w:color w:val="0000FF"/>
          <w:spacing w:val="-6"/>
        </w:rPr>
        <w:t>主要影响区域在施工区以及运输途径路面，对大气环境敏感点影响较小，建议建</w:t>
      </w:r>
      <w:r>
        <w:rPr>
          <w:color w:val="0000FF"/>
          <w:spacing w:val="-5"/>
        </w:rPr>
        <w:t>设单位在项目区车辆途径路面采取洒水降尘防尘措施，减小运输扬尘对项目区及</w:t>
      </w:r>
      <w:r>
        <w:rPr>
          <w:color w:val="0000FF"/>
        </w:rPr>
        <w:t>周边环境影响。</w:t>
      </w:r>
    </w:p>
    <w:p>
      <w:pPr>
        <w:pStyle w:val="7"/>
        <w:spacing w:before="3" w:line="364" w:lineRule="auto"/>
        <w:ind w:right="577" w:firstLine="480"/>
        <w:jc w:val="both"/>
      </w:pPr>
      <w:r>
        <w:rPr>
          <w:spacing w:val="-5"/>
        </w:rPr>
        <w:t>施工扬尘的另一种重要产生方式是建筑材料的露天堆放和搅拌作业，这类扬</w:t>
      </w:r>
      <w:r>
        <w:rPr>
          <w:spacing w:val="-6"/>
        </w:rPr>
        <w:t>尘的主要特点是受作业时风速大小的影响显著。因此，禁止在大风天气时进行此</w:t>
      </w:r>
      <w:r>
        <w:rPr>
          <w:spacing w:val="-4"/>
        </w:rPr>
        <w:t>类作业以及减少建筑材料的露天堆放是抑制这类扬尘的一种很有效的手段。对水</w:t>
      </w:r>
      <w:r>
        <w:rPr>
          <w:spacing w:val="-10"/>
        </w:rPr>
        <w:t>泥、粉煤灰等细颗粒散体材料在运输、储存时采取遮盖、密封的措施，防止和减</w:t>
      </w:r>
    </w:p>
    <w:p>
      <w:pPr>
        <w:spacing w:after="0" w:line="364" w:lineRule="auto"/>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少飞扬。</w:t>
      </w:r>
    </w:p>
    <w:p>
      <w:pPr>
        <w:pStyle w:val="7"/>
        <w:spacing w:before="160" w:line="364" w:lineRule="auto"/>
        <w:ind w:right="575" w:firstLine="480"/>
      </w:pPr>
      <w:r>
        <w:rPr>
          <w:spacing w:val="-7"/>
        </w:rPr>
        <w:t>针对施工期扬尘，根据《防治城市扬尘污染技术规范》</w:t>
      </w:r>
      <w:r>
        <w:t>（</w:t>
      </w:r>
      <w:r>
        <w:rPr>
          <w:rFonts w:ascii="Times New Roman" w:eastAsia="Times New Roman"/>
        </w:rPr>
        <w:t xml:space="preserve">HJ/T </w:t>
      </w:r>
      <w:r>
        <w:rPr>
          <w:rFonts w:ascii="Times New Roman" w:eastAsia="Times New Roman"/>
          <w:spacing w:val="-3"/>
        </w:rPr>
        <w:t>393-2007</w:t>
      </w:r>
      <w:r>
        <w:rPr>
          <w:spacing w:val="-3"/>
        </w:rPr>
        <w:t>）</w:t>
      </w:r>
      <w:r>
        <w:rPr>
          <w:spacing w:val="-14"/>
        </w:rPr>
        <w:t>中</w:t>
      </w:r>
      <w:r>
        <w:t>有关规定要求，本环评要求加强对施工工地扬尘污染的管理与控制。</w:t>
      </w:r>
    </w:p>
    <w:p>
      <w:pPr>
        <w:pStyle w:val="7"/>
        <w:spacing w:before="1"/>
      </w:pPr>
      <w:r>
        <w:rPr>
          <w:rFonts w:ascii="Times New Roman" w:eastAsia="Times New Roman"/>
        </w:rPr>
        <w:t>5.1.1.2</w:t>
      </w:r>
      <w:r>
        <w:t>燃油机械及机动车废气</w:t>
      </w:r>
    </w:p>
    <w:p>
      <w:pPr>
        <w:pStyle w:val="7"/>
        <w:spacing w:before="161" w:line="364" w:lineRule="auto"/>
        <w:ind w:right="577" w:firstLine="480"/>
        <w:jc w:val="both"/>
      </w:pPr>
      <w:r>
        <w:rPr>
          <w:spacing w:val="11"/>
        </w:rPr>
        <w:t>施工期主要是施工机械以及运输车辆排放的尾气，尾气中主要污染物有</w:t>
      </w:r>
      <w:r>
        <w:rPr>
          <w:rFonts w:ascii="Times New Roman" w:eastAsia="Times New Roman"/>
          <w:position w:val="2"/>
        </w:rPr>
        <w:t>THC</w:t>
      </w:r>
      <w:r>
        <w:rPr>
          <w:position w:val="2"/>
        </w:rPr>
        <w:t>、颗粒物、</w:t>
      </w:r>
      <w:r>
        <w:rPr>
          <w:rFonts w:ascii="Times New Roman" w:eastAsia="Times New Roman"/>
          <w:position w:val="2"/>
        </w:rPr>
        <w:t>CO</w:t>
      </w:r>
      <w:r>
        <w:rPr>
          <w:position w:val="2"/>
        </w:rPr>
        <w:t>、</w:t>
      </w:r>
      <w:r>
        <w:rPr>
          <w:rFonts w:ascii="Times New Roman" w:eastAsia="Times New Roman"/>
          <w:position w:val="2"/>
        </w:rPr>
        <w:t>NO</w:t>
      </w:r>
      <w:r>
        <w:rPr>
          <w:rFonts w:ascii="Times New Roman" w:eastAsia="Times New Roman"/>
          <w:position w:val="2"/>
          <w:vertAlign w:val="subscript"/>
        </w:rPr>
        <w:t>2</w:t>
      </w:r>
      <w:r>
        <w:rPr>
          <w:position w:val="2"/>
          <w:vertAlign w:val="baseline"/>
        </w:rPr>
        <w:t>等。但由于车辆主要在施工现场范围内活动，尾气呈</w:t>
      </w:r>
      <w:r>
        <w:rPr>
          <w:spacing w:val="-9"/>
          <w:vertAlign w:val="baseline"/>
        </w:rPr>
        <w:t>面源污染形式，车辆排气高度较低，尾气扩散范围不大，加之项目区较为平坦开</w:t>
      </w:r>
      <w:r>
        <w:rPr>
          <w:spacing w:val="-11"/>
          <w:vertAlign w:val="baseline"/>
        </w:rPr>
        <w:t>阔，尾气扩散条件良好，另外，施工机械及车辆为非连续行驶状态，污染物排放</w:t>
      </w:r>
      <w:r>
        <w:rPr>
          <w:vertAlign w:val="baseline"/>
        </w:rPr>
        <w:t>时间及排放量也相对较小，因此施工机械以及运输车辆尾气对周围区域影响较小。</w:t>
      </w:r>
    </w:p>
    <w:p>
      <w:pPr>
        <w:pStyle w:val="5"/>
        <w:numPr>
          <w:ilvl w:val="2"/>
          <w:numId w:val="46"/>
        </w:numPr>
        <w:tabs>
          <w:tab w:val="left" w:pos="1241"/>
        </w:tabs>
        <w:spacing w:before="113" w:after="0" w:line="240" w:lineRule="auto"/>
        <w:ind w:left="1240" w:right="0" w:hanging="701"/>
        <w:jc w:val="left"/>
      </w:pPr>
      <w:bookmarkStart w:id="268" w:name="5.1.3 施工期水环境影响分析"/>
      <w:bookmarkEnd w:id="268"/>
      <w:bookmarkStart w:id="269" w:name="5.1.3 施工期水环境影响分析"/>
      <w:bookmarkEnd w:id="269"/>
      <w:r>
        <w:t>施工期水环境影响分析</w:t>
      </w:r>
    </w:p>
    <w:p>
      <w:pPr>
        <w:pStyle w:val="7"/>
        <w:spacing w:before="7"/>
        <w:ind w:left="0"/>
        <w:rPr>
          <w:b/>
          <w:sz w:val="21"/>
        </w:rPr>
      </w:pPr>
    </w:p>
    <w:p>
      <w:pPr>
        <w:pStyle w:val="7"/>
        <w:spacing w:line="364" w:lineRule="auto"/>
        <w:ind w:right="577" w:firstLine="480"/>
      </w:pPr>
      <w:r>
        <w:rPr>
          <w:spacing w:val="-7"/>
        </w:rPr>
        <w:t>施工期废水来源于施工场地的工程废水，施工场地不设施工营地无施工人员</w:t>
      </w:r>
      <w:r>
        <w:t>生活污水产生。</w:t>
      </w:r>
    </w:p>
    <w:p>
      <w:pPr>
        <w:pStyle w:val="7"/>
        <w:spacing w:before="1" w:line="364" w:lineRule="auto"/>
        <w:ind w:right="455" w:firstLine="480"/>
      </w:pPr>
      <w:r>
        <w:rPr>
          <w:spacing w:val="-13"/>
        </w:rPr>
        <w:t>施工废水主要主要是指在制砂浆、混凝土养护等作业中，多余或泄漏的废水，</w:t>
      </w:r>
      <w:r>
        <w:rPr>
          <w:spacing w:val="-9"/>
        </w:rPr>
        <w:t>以及清洗模板、机具、车辆设备、场地卫生等排放的污水。主要污染因子为</w:t>
      </w:r>
      <w:r>
        <w:rPr>
          <w:rFonts w:ascii="Times New Roman" w:eastAsia="Times New Roman"/>
          <w:spacing w:val="-6"/>
        </w:rPr>
        <w:t>SS</w:t>
      </w:r>
      <w:r>
        <w:rPr>
          <w:spacing w:val="-6"/>
        </w:rPr>
        <w:t>，</w:t>
      </w:r>
      <w:r>
        <w:rPr>
          <w:spacing w:val="-7"/>
        </w:rPr>
        <w:t>含一定量的泥沙、少量水泥和油污，随工程进度不同产生情况不同，也与操作人</w:t>
      </w:r>
      <w:r>
        <w:rPr>
          <w:spacing w:val="-17"/>
        </w:rPr>
        <w:t>员的经验、素质等因素有关，产生量与排放量较难估算。废水中含固体杂质较多，</w:t>
      </w:r>
      <w:r>
        <w:t>以泥沙为主，施工期废水水量不大，一般产生不了径流，形成不了有组织排水，</w:t>
      </w:r>
      <w:r>
        <w:rPr>
          <w:spacing w:val="-5"/>
        </w:rPr>
        <w:t>这部分废水在施工现场因自然蒸发、渗漏等原因而消耗，但若不经处理或处理不</w:t>
      </w:r>
      <w:r>
        <w:rPr>
          <w:spacing w:val="-12"/>
        </w:rPr>
        <w:t>当直接外排，同样危害环境。因此要求建设项目的工地应设置简易沉淀池沉淀后回用于生产，项目产生的施工废水均不外排。</w:t>
      </w:r>
    </w:p>
    <w:p>
      <w:pPr>
        <w:pStyle w:val="7"/>
        <w:spacing w:before="5" w:line="364" w:lineRule="auto"/>
        <w:ind w:right="577" w:firstLine="480"/>
      </w:pPr>
      <w:r>
        <w:rPr>
          <w:spacing w:val="-10"/>
        </w:rPr>
        <w:t>因此，通过以上措施可保证施工期废水无乱排现象，项目施工期产生的废水</w:t>
      </w:r>
      <w:r>
        <w:t>对周围水环境的影响较小。</w:t>
      </w:r>
    </w:p>
    <w:p>
      <w:pPr>
        <w:pStyle w:val="7"/>
        <w:spacing w:before="1" w:line="364" w:lineRule="auto"/>
        <w:ind w:right="577" w:firstLine="480"/>
        <w:jc w:val="both"/>
      </w:pPr>
      <w:r>
        <w:rPr>
          <w:spacing w:val="-7"/>
        </w:rPr>
        <w:t>本项目施工人员为当地居民，施工场地内不设置施工营地，无施工人员生活</w:t>
      </w:r>
      <w:r>
        <w:rPr>
          <w:spacing w:val="-10"/>
        </w:rPr>
        <w:t>污水产生，施工场地设置可设置临时移动式环保公厕容纳施工人员粪污，不会对</w:t>
      </w:r>
      <w:r>
        <w:t>环境造成明显影响。</w:t>
      </w:r>
    </w:p>
    <w:p>
      <w:pPr>
        <w:pStyle w:val="5"/>
        <w:numPr>
          <w:ilvl w:val="2"/>
          <w:numId w:val="46"/>
        </w:numPr>
        <w:tabs>
          <w:tab w:val="left" w:pos="1241"/>
        </w:tabs>
        <w:spacing w:before="116" w:after="0" w:line="240" w:lineRule="auto"/>
        <w:ind w:left="1240" w:right="0" w:hanging="701"/>
        <w:jc w:val="left"/>
      </w:pPr>
      <w:bookmarkStart w:id="270" w:name="5.1.4 施工期声环境影响分析"/>
      <w:bookmarkEnd w:id="270"/>
      <w:bookmarkStart w:id="271" w:name="5.1.4 施工期声环境影响分析"/>
      <w:bookmarkEnd w:id="271"/>
      <w:r>
        <w:t>施工期声环境影响分析</w:t>
      </w:r>
    </w:p>
    <w:p>
      <w:pPr>
        <w:pStyle w:val="7"/>
        <w:spacing w:before="7"/>
        <w:ind w:left="0"/>
        <w:rPr>
          <w:b/>
          <w:sz w:val="21"/>
        </w:rPr>
      </w:pPr>
    </w:p>
    <w:p>
      <w:pPr>
        <w:pStyle w:val="7"/>
        <w:ind w:left="1020"/>
      </w:pPr>
      <w:r>
        <w:t>由工程分析可知，本项目施工噪声主要来源于土方阶段、基础施工阶段、主</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485"/>
      </w:pPr>
      <w:r>
        <w:rPr>
          <w:spacing w:val="-1"/>
        </w:rPr>
        <w:t>体结构阶段、装修阶段施工中各类施工机械和运输车辆，施工噪声具有阶段性、</w:t>
      </w:r>
      <w:r>
        <w:rPr>
          <w:spacing w:val="-8"/>
        </w:rPr>
        <w:t>临时性和不固定性，不同的施工设备产生的噪声不同。在多台机械设备同时作业</w:t>
      </w:r>
      <w:r>
        <w:rPr>
          <w:spacing w:val="-22"/>
        </w:rPr>
        <w:t>时，各台设备产生的噪声会产生叠加，根据类比调查，叠加后的噪声增值约为</w:t>
      </w:r>
      <w:r>
        <w:rPr>
          <w:rFonts w:ascii="Times New Roman" w:eastAsia="Times New Roman"/>
        </w:rPr>
        <w:t>3</w:t>
      </w:r>
      <w:r>
        <w:t>～</w:t>
      </w:r>
      <w:r>
        <w:rPr>
          <w:rFonts w:ascii="Times New Roman" w:eastAsia="Times New Roman"/>
        </w:rPr>
        <w:t>8dB</w:t>
      </w:r>
      <w:r>
        <w:rPr>
          <w:spacing w:val="-2"/>
        </w:rPr>
        <w:t>，施工机械和运输车辆的单体声功率级一般均在</w:t>
      </w:r>
      <w:r>
        <w:rPr>
          <w:rFonts w:ascii="Times New Roman" w:eastAsia="Times New Roman"/>
        </w:rPr>
        <w:t>100dB</w:t>
      </w:r>
      <w:r>
        <w:t>（</w:t>
      </w:r>
      <w:r>
        <w:rPr>
          <w:rFonts w:ascii="Times New Roman" w:eastAsia="Times New Roman"/>
        </w:rPr>
        <w:t>A</w:t>
      </w:r>
      <w:r>
        <w:t>）以上，其中声</w:t>
      </w:r>
      <w:r>
        <w:rPr>
          <w:spacing w:val="-7"/>
        </w:rPr>
        <w:t>级最大的是打桩机，声级可达到</w:t>
      </w:r>
      <w:r>
        <w:rPr>
          <w:rFonts w:ascii="Times New Roman" w:eastAsia="Times New Roman"/>
          <w:spacing w:val="-3"/>
        </w:rPr>
        <w:t>120dB</w:t>
      </w:r>
      <w:r>
        <w:rPr>
          <w:spacing w:val="-5"/>
        </w:rPr>
        <w:t>，施工机械主要有推土机、挖掘机、打桩机、装载机、振捣棒、电锯等。</w:t>
      </w:r>
    </w:p>
    <w:p>
      <w:pPr>
        <w:pStyle w:val="18"/>
        <w:numPr>
          <w:ilvl w:val="3"/>
          <w:numId w:val="47"/>
        </w:numPr>
        <w:tabs>
          <w:tab w:val="left" w:pos="1320"/>
        </w:tabs>
        <w:spacing w:before="3" w:after="0" w:line="240" w:lineRule="auto"/>
        <w:ind w:left="1320" w:right="0" w:hanging="780"/>
        <w:jc w:val="left"/>
        <w:rPr>
          <w:sz w:val="24"/>
        </w:rPr>
      </w:pPr>
      <w:r>
        <w:rPr>
          <w:sz w:val="24"/>
        </w:rPr>
        <w:t>噪声影响预测</w:t>
      </w:r>
    </w:p>
    <w:p>
      <w:pPr>
        <w:pStyle w:val="7"/>
        <w:spacing w:before="161" w:line="364" w:lineRule="auto"/>
        <w:ind w:right="577" w:firstLine="480"/>
      </w:pPr>
      <w:r>
        <w:rPr>
          <w:spacing w:val="-6"/>
        </w:rPr>
        <w:t>根据施工现场噪声源的特点和周围环境状况，选择声源在半自由空间的距离</w:t>
      </w:r>
      <w:r>
        <w:t>衰减模式。</w:t>
      </w:r>
    </w:p>
    <w:p>
      <w:pPr>
        <w:pStyle w:val="7"/>
        <w:spacing w:before="1"/>
        <w:ind w:left="1020"/>
      </w:pPr>
      <w:r>
        <w:t>计算公式：</w:t>
      </w:r>
    </w:p>
    <w:p>
      <w:pPr>
        <w:pStyle w:val="18"/>
        <w:numPr>
          <w:ilvl w:val="4"/>
          <w:numId w:val="47"/>
        </w:numPr>
        <w:tabs>
          <w:tab w:val="left" w:pos="1621"/>
        </w:tabs>
        <w:spacing w:before="161" w:after="0" w:line="240" w:lineRule="auto"/>
        <w:ind w:left="1621" w:right="0" w:hanging="601"/>
        <w:jc w:val="left"/>
        <w:rPr>
          <w:sz w:val="24"/>
        </w:rPr>
      </w:pPr>
      <w:r>
        <w:rPr>
          <w:sz w:val="24"/>
        </w:rPr>
        <w:t>噪声衰减</w:t>
      </w:r>
    </w:p>
    <w:p>
      <w:pPr>
        <w:pStyle w:val="7"/>
        <w:ind w:left="0"/>
        <w:rPr>
          <w:sz w:val="8"/>
        </w:rPr>
      </w:pPr>
    </w:p>
    <w:p>
      <w:pPr>
        <w:spacing w:before="88"/>
        <w:ind w:left="500" w:right="40" w:firstLine="0"/>
        <w:jc w:val="center"/>
        <w:rPr>
          <w:rFonts w:ascii="Times New Roman" w:hAnsi="Times New Roman"/>
          <w:sz w:val="24"/>
        </w:rPr>
      </w:pPr>
      <w:r>
        <w:rPr>
          <w:rFonts w:ascii="Times New Roman" w:hAnsi="Times New Roman"/>
          <w:i/>
          <w:spacing w:val="3"/>
          <w:sz w:val="24"/>
        </w:rPr>
        <w:t>L</w:t>
      </w:r>
      <w:r>
        <w:rPr>
          <w:rFonts w:ascii="Times New Roman" w:hAnsi="Times New Roman"/>
          <w:i/>
          <w:spacing w:val="3"/>
          <w:position w:val="-5"/>
          <w:sz w:val="14"/>
        </w:rPr>
        <w:t>A</w:t>
      </w:r>
      <w:r>
        <w:rPr>
          <w:rFonts w:ascii="Times New Roman" w:hAnsi="Times New Roman"/>
          <w:spacing w:val="5"/>
          <w:sz w:val="24"/>
        </w:rPr>
        <w:t>(</w:t>
      </w:r>
      <w:r>
        <w:rPr>
          <w:rFonts w:ascii="Times New Roman" w:hAnsi="Times New Roman"/>
          <w:i/>
          <w:spacing w:val="5"/>
          <w:sz w:val="24"/>
        </w:rPr>
        <w:t>r</w:t>
      </w:r>
      <w:r>
        <w:rPr>
          <w:rFonts w:ascii="Times New Roman" w:hAnsi="Times New Roman"/>
          <w:spacing w:val="5"/>
          <w:sz w:val="24"/>
        </w:rPr>
        <w:t>)</w:t>
      </w:r>
      <w:r>
        <w:rPr>
          <w:rFonts w:ascii="Symbol" w:hAnsi="Symbol"/>
          <w:sz w:val="24"/>
        </w:rPr>
        <w:t></w:t>
      </w:r>
      <w:r>
        <w:rPr>
          <w:rFonts w:ascii="Times New Roman" w:hAnsi="Times New Roman"/>
          <w:i/>
          <w:spacing w:val="-8"/>
          <w:sz w:val="24"/>
        </w:rPr>
        <w:t>L</w:t>
      </w:r>
      <w:r>
        <w:rPr>
          <w:rFonts w:ascii="Times New Roman" w:hAnsi="Times New Roman"/>
          <w:i/>
          <w:spacing w:val="-8"/>
          <w:position w:val="-5"/>
          <w:sz w:val="14"/>
        </w:rPr>
        <w:t>W</w:t>
      </w:r>
      <w:r>
        <w:rPr>
          <w:rFonts w:ascii="Times New Roman" w:hAnsi="Times New Roman"/>
          <w:position w:val="-5"/>
          <w:sz w:val="14"/>
        </w:rPr>
        <w:t>(</w:t>
      </w:r>
      <w:r>
        <w:rPr>
          <w:rFonts w:ascii="Times New Roman" w:hAnsi="Times New Roman"/>
          <w:i/>
          <w:position w:val="-5"/>
          <w:sz w:val="14"/>
        </w:rPr>
        <w:t>A</w:t>
      </w:r>
      <w:r>
        <w:rPr>
          <w:rFonts w:ascii="Times New Roman" w:hAnsi="Times New Roman"/>
          <w:position w:val="-5"/>
          <w:sz w:val="14"/>
        </w:rPr>
        <w:t>)</w:t>
      </w:r>
      <w:r>
        <w:rPr>
          <w:rFonts w:ascii="Symbol" w:hAnsi="Symbol"/>
          <w:sz w:val="24"/>
        </w:rPr>
        <w:t></w:t>
      </w:r>
      <w:r>
        <w:rPr>
          <w:rFonts w:ascii="Times New Roman" w:hAnsi="Times New Roman"/>
          <w:spacing w:val="2"/>
          <w:sz w:val="24"/>
        </w:rPr>
        <w:t>20log</w:t>
      </w:r>
      <w:r>
        <w:rPr>
          <w:rFonts w:ascii="Symbol" w:hAnsi="Symbol"/>
          <w:i/>
          <w:spacing w:val="2"/>
          <w:sz w:val="25"/>
        </w:rPr>
        <w:t></w:t>
      </w:r>
      <w:r>
        <w:rPr>
          <w:rFonts w:ascii="Symbol" w:hAnsi="Symbol"/>
          <w:spacing w:val="2"/>
          <w:sz w:val="24"/>
        </w:rPr>
        <w:t></w:t>
      </w:r>
      <w:r>
        <w:rPr>
          <w:rFonts w:ascii="Times New Roman" w:hAnsi="Times New Roman"/>
          <w:sz w:val="24"/>
        </w:rPr>
        <w:t>8</w:t>
      </w:r>
    </w:p>
    <w:p>
      <w:pPr>
        <w:pStyle w:val="7"/>
        <w:spacing w:before="5"/>
        <w:ind w:left="0"/>
        <w:rPr>
          <w:rFonts w:ascii="Times New Roman"/>
          <w:sz w:val="15"/>
        </w:rPr>
      </w:pPr>
    </w:p>
    <w:p>
      <w:pPr>
        <w:pStyle w:val="7"/>
        <w:spacing w:before="74" w:line="364" w:lineRule="auto"/>
        <w:ind w:left="1740" w:right="2513" w:hanging="720"/>
      </w:pPr>
      <w:r>
        <w:t>式中：</w:t>
      </w:r>
      <w:r>
        <w:rPr>
          <w:rFonts w:ascii="Times New Roman" w:eastAsia="Times New Roman"/>
        </w:rPr>
        <w:t>LA</w:t>
      </w:r>
      <w:r>
        <w:t>（</w:t>
      </w:r>
      <w:r>
        <w:rPr>
          <w:rFonts w:ascii="Times New Roman" w:eastAsia="Times New Roman"/>
        </w:rPr>
        <w:t>r</w:t>
      </w:r>
      <w:r>
        <w:t>）：</w:t>
      </w:r>
      <w:r>
        <w:rPr>
          <w:spacing w:val="-15"/>
        </w:rPr>
        <w:t>距声源</w:t>
      </w:r>
      <w:r>
        <w:rPr>
          <w:rFonts w:hint="eastAsia"/>
          <w:spacing w:val="-15"/>
          <w:lang w:val="en-US" w:eastAsia="zh-CN"/>
        </w:rPr>
        <w:t xml:space="preserve"> </w:t>
      </w:r>
      <w:r>
        <w:rPr>
          <w:rFonts w:ascii="Times New Roman" w:eastAsia="Times New Roman"/>
        </w:rPr>
        <w:t>r</w:t>
      </w:r>
      <w:r>
        <w:rPr>
          <w:spacing w:val="-9"/>
        </w:rPr>
        <w:t>处的等效声级</w:t>
      </w:r>
      <w:r>
        <w:rPr>
          <w:rFonts w:ascii="Times New Roman" w:eastAsia="Times New Roman"/>
          <w:spacing w:val="-4"/>
        </w:rPr>
        <w:t>dB</w:t>
      </w:r>
      <w:r>
        <w:rPr>
          <w:spacing w:val="-4"/>
        </w:rPr>
        <w:t>（</w:t>
      </w:r>
      <w:r>
        <w:rPr>
          <w:rFonts w:ascii="Times New Roman" w:eastAsia="Times New Roman"/>
          <w:spacing w:val="-4"/>
        </w:rPr>
        <w:t>A</w:t>
      </w:r>
      <w:r>
        <w:rPr>
          <w:spacing w:val="-4"/>
        </w:rPr>
        <w:t>）；</w:t>
      </w:r>
      <w:r>
        <w:rPr>
          <w:rFonts w:ascii="Times New Roman" w:eastAsia="Times New Roman"/>
          <w:spacing w:val="-4"/>
        </w:rPr>
        <w:t>LW</w:t>
      </w:r>
      <w:r>
        <w:rPr>
          <w:spacing w:val="-4"/>
        </w:rPr>
        <w:t>（</w:t>
      </w:r>
      <w:r>
        <w:rPr>
          <w:rFonts w:ascii="Times New Roman" w:eastAsia="Times New Roman"/>
          <w:spacing w:val="-4"/>
        </w:rPr>
        <w:t>A</w:t>
      </w:r>
      <w:r>
        <w:rPr>
          <w:spacing w:val="-4"/>
        </w:rPr>
        <w:t>）：</w:t>
      </w:r>
      <w:r>
        <w:rPr>
          <w:spacing w:val="-7"/>
        </w:rPr>
        <w:t>噪声源的声功率级</w:t>
      </w:r>
      <w:r>
        <w:rPr>
          <w:rFonts w:ascii="Times New Roman" w:eastAsia="Times New Roman"/>
        </w:rPr>
        <w:t>dB</w:t>
      </w:r>
      <w:r>
        <w:t>（</w:t>
      </w:r>
      <w:r>
        <w:rPr>
          <w:rFonts w:ascii="Times New Roman" w:eastAsia="Times New Roman"/>
        </w:rPr>
        <w:t>A</w:t>
      </w:r>
      <w:r>
        <w:t>）；</w:t>
      </w:r>
    </w:p>
    <w:p>
      <w:pPr>
        <w:pStyle w:val="7"/>
        <w:spacing w:line="393" w:lineRule="exact"/>
        <w:ind w:left="1746"/>
      </w:pPr>
      <w:r>
        <w:rPr>
          <w:rFonts w:ascii="Symbol" w:hAnsi="Symbol" w:eastAsia="Symbol"/>
          <w:i/>
          <w:position w:val="10"/>
          <w:sz w:val="25"/>
        </w:rPr>
        <w:t></w:t>
      </w:r>
      <w:r>
        <w:t>：噪声源距受声点的距离</w:t>
      </w:r>
      <w:r>
        <w:rPr>
          <w:rFonts w:ascii="Times New Roman" w:hAnsi="Times New Roman" w:eastAsia="Times New Roman"/>
        </w:rPr>
        <w:t>m</w:t>
      </w:r>
      <w:r>
        <w:t>；</w:t>
      </w:r>
    </w:p>
    <w:p>
      <w:pPr>
        <w:pStyle w:val="18"/>
        <w:numPr>
          <w:ilvl w:val="4"/>
          <w:numId w:val="47"/>
        </w:numPr>
        <w:tabs>
          <w:tab w:val="left" w:pos="1621"/>
        </w:tabs>
        <w:spacing w:before="233" w:after="0" w:line="240" w:lineRule="auto"/>
        <w:ind w:left="1621" w:right="0" w:hanging="601"/>
        <w:jc w:val="left"/>
        <w:rPr>
          <w:sz w:val="24"/>
        </w:rPr>
      </w:pPr>
      <w:r>
        <w:rPr>
          <w:sz w:val="24"/>
        </w:rPr>
        <w:t>噪声影响预测</w:t>
      </w:r>
    </w:p>
    <w:p>
      <w:pPr>
        <w:pStyle w:val="7"/>
        <w:spacing w:before="160"/>
        <w:ind w:left="1020"/>
      </w:pPr>
      <w:r>
        <w:t>工程施工不同距离的噪声预测值见表</w:t>
      </w:r>
      <w:r>
        <w:rPr>
          <w:rFonts w:ascii="Times New Roman" w:eastAsia="Times New Roman"/>
        </w:rPr>
        <w:t>5.1-2</w:t>
      </w:r>
      <w:r>
        <w:t>。</w:t>
      </w:r>
    </w:p>
    <w:p>
      <w:pPr>
        <w:pStyle w:val="7"/>
        <w:spacing w:before="9"/>
        <w:ind w:left="0"/>
        <w:rPr>
          <w:sz w:val="18"/>
        </w:rPr>
      </w:pPr>
    </w:p>
    <w:p>
      <w:pPr>
        <w:pStyle w:val="7"/>
        <w:bidi w:val="0"/>
        <w:jc w:val="center"/>
      </w:pPr>
      <w:r>
        <w:t>表</w:t>
      </w:r>
      <w:r>
        <w:rPr>
          <w:rFonts w:ascii="Times New Roman" w:eastAsia="Times New Roman"/>
        </w:rPr>
        <w:t>5.1-2</w:t>
      </w:r>
      <w:r>
        <w:rPr>
          <w:rFonts w:ascii="Times New Roman" w:eastAsia="Times New Roman"/>
        </w:rPr>
        <w:tab/>
      </w:r>
      <w:r>
        <w:t>施工阶段噪声预测值</w:t>
      </w:r>
    </w:p>
    <w:tbl>
      <w:tblPr>
        <w:tblStyle w:val="15"/>
        <w:tblW w:w="0" w:type="auto"/>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1223"/>
        <w:gridCol w:w="701"/>
        <w:gridCol w:w="666"/>
        <w:gridCol w:w="821"/>
        <w:gridCol w:w="804"/>
        <w:gridCol w:w="628"/>
        <w:gridCol w:w="763"/>
        <w:gridCol w:w="593"/>
        <w:gridCol w:w="709"/>
        <w:gridCol w:w="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45" w:type="dxa"/>
            <w:vMerge w:val="restart"/>
          </w:tcPr>
          <w:p>
            <w:pPr>
              <w:pStyle w:val="19"/>
              <w:spacing w:before="5"/>
              <w:jc w:val="left"/>
              <w:rPr>
                <w:b/>
                <w:sz w:val="16"/>
              </w:rPr>
            </w:pPr>
          </w:p>
          <w:p>
            <w:pPr>
              <w:pStyle w:val="19"/>
              <w:ind w:left="111"/>
              <w:jc w:val="left"/>
              <w:rPr>
                <w:b/>
                <w:sz w:val="21"/>
              </w:rPr>
            </w:pPr>
            <w:r>
              <w:rPr>
                <w:b/>
                <w:sz w:val="21"/>
              </w:rPr>
              <w:t>序号</w:t>
            </w:r>
          </w:p>
        </w:tc>
        <w:tc>
          <w:tcPr>
            <w:tcW w:w="1223" w:type="dxa"/>
            <w:vMerge w:val="restart"/>
          </w:tcPr>
          <w:p>
            <w:pPr>
              <w:pStyle w:val="19"/>
              <w:spacing w:before="5"/>
              <w:jc w:val="left"/>
              <w:rPr>
                <w:b/>
                <w:sz w:val="16"/>
              </w:rPr>
            </w:pPr>
          </w:p>
          <w:p>
            <w:pPr>
              <w:pStyle w:val="19"/>
              <w:ind w:left="191"/>
              <w:jc w:val="left"/>
              <w:rPr>
                <w:b/>
                <w:sz w:val="21"/>
              </w:rPr>
            </w:pPr>
            <w:r>
              <w:rPr>
                <w:b/>
                <w:sz w:val="21"/>
              </w:rPr>
              <w:t>施工机械</w:t>
            </w:r>
          </w:p>
        </w:tc>
        <w:tc>
          <w:tcPr>
            <w:tcW w:w="6404" w:type="dxa"/>
            <w:gridSpan w:val="9"/>
          </w:tcPr>
          <w:p>
            <w:pPr>
              <w:pStyle w:val="19"/>
              <w:tabs>
                <w:tab w:val="left" w:pos="3249"/>
              </w:tabs>
              <w:spacing w:before="35"/>
              <w:ind w:left="21"/>
              <w:rPr>
                <w:b/>
                <w:sz w:val="21"/>
              </w:rPr>
            </w:pPr>
            <w:r>
              <w:rPr>
                <w:b/>
                <w:sz w:val="21"/>
              </w:rPr>
              <w:t>离施工现场噪声源距离（</w:t>
            </w:r>
            <w:r>
              <w:rPr>
                <w:rFonts w:ascii="Times New Roman" w:eastAsia="Times New Roman"/>
                <w:b/>
                <w:sz w:val="21"/>
              </w:rPr>
              <w:t>m</w:t>
            </w:r>
            <w:r>
              <w:rPr>
                <w:b/>
                <w:sz w:val="21"/>
              </w:rPr>
              <w:t>）</w:t>
            </w:r>
            <w:r>
              <w:rPr>
                <w:b/>
                <w:sz w:val="21"/>
              </w:rPr>
              <w:tab/>
            </w:r>
            <w:r>
              <w:rPr>
                <w:rFonts w:ascii="Times New Roman" w:eastAsia="Times New Roman"/>
                <w:b/>
                <w:sz w:val="21"/>
              </w:rPr>
              <w:t>dB</w:t>
            </w:r>
            <w:r>
              <w:rPr>
                <w:b/>
                <w:sz w:val="21"/>
              </w:rPr>
              <w:t>（</w:t>
            </w:r>
            <w:r>
              <w:rPr>
                <w:rFonts w:ascii="Times New Roman" w:eastAsia="Times New Roman"/>
                <w:b/>
                <w:sz w:val="21"/>
              </w:rPr>
              <w:t>A</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vMerge w:val="continue"/>
            <w:tcBorders>
              <w:top w:val="nil"/>
            </w:tcBorders>
          </w:tcPr>
          <w:p>
            <w:pPr>
              <w:rPr>
                <w:sz w:val="2"/>
                <w:szCs w:val="2"/>
              </w:rPr>
            </w:pPr>
          </w:p>
        </w:tc>
        <w:tc>
          <w:tcPr>
            <w:tcW w:w="1223" w:type="dxa"/>
            <w:vMerge w:val="continue"/>
            <w:tcBorders>
              <w:top w:val="nil"/>
            </w:tcBorders>
          </w:tcPr>
          <w:p>
            <w:pPr>
              <w:rPr>
                <w:sz w:val="2"/>
                <w:szCs w:val="2"/>
              </w:rPr>
            </w:pPr>
          </w:p>
        </w:tc>
        <w:tc>
          <w:tcPr>
            <w:tcW w:w="701" w:type="dxa"/>
          </w:tcPr>
          <w:p>
            <w:pPr>
              <w:pStyle w:val="19"/>
              <w:spacing w:before="50"/>
              <w:ind w:left="9"/>
              <w:rPr>
                <w:rFonts w:ascii="Times New Roman"/>
                <w:b/>
                <w:sz w:val="21"/>
              </w:rPr>
            </w:pPr>
            <w:r>
              <w:rPr>
                <w:rFonts w:ascii="Times New Roman"/>
                <w:b/>
                <w:w w:val="99"/>
                <w:sz w:val="21"/>
              </w:rPr>
              <w:t>1</w:t>
            </w:r>
          </w:p>
        </w:tc>
        <w:tc>
          <w:tcPr>
            <w:tcW w:w="666" w:type="dxa"/>
          </w:tcPr>
          <w:p>
            <w:pPr>
              <w:pStyle w:val="19"/>
              <w:spacing w:before="50"/>
              <w:ind w:left="22" w:right="13"/>
              <w:rPr>
                <w:rFonts w:ascii="Times New Roman"/>
                <w:b/>
                <w:sz w:val="21"/>
              </w:rPr>
            </w:pPr>
            <w:r>
              <w:rPr>
                <w:rFonts w:ascii="Times New Roman"/>
                <w:b/>
                <w:sz w:val="21"/>
              </w:rPr>
              <w:t>10</w:t>
            </w:r>
          </w:p>
        </w:tc>
        <w:tc>
          <w:tcPr>
            <w:tcW w:w="821" w:type="dxa"/>
          </w:tcPr>
          <w:p>
            <w:pPr>
              <w:pStyle w:val="19"/>
              <w:spacing w:before="50"/>
              <w:ind w:left="73" w:right="63"/>
              <w:rPr>
                <w:rFonts w:ascii="Times New Roman"/>
                <w:b/>
                <w:sz w:val="21"/>
              </w:rPr>
            </w:pPr>
            <w:r>
              <w:rPr>
                <w:rFonts w:ascii="Times New Roman"/>
                <w:b/>
                <w:sz w:val="21"/>
              </w:rPr>
              <w:t>20</w:t>
            </w:r>
          </w:p>
        </w:tc>
        <w:tc>
          <w:tcPr>
            <w:tcW w:w="804" w:type="dxa"/>
          </w:tcPr>
          <w:p>
            <w:pPr>
              <w:pStyle w:val="19"/>
              <w:spacing w:before="50"/>
              <w:ind w:left="38" w:right="30"/>
              <w:rPr>
                <w:rFonts w:ascii="Times New Roman"/>
                <w:b/>
                <w:sz w:val="21"/>
              </w:rPr>
            </w:pPr>
            <w:r>
              <w:rPr>
                <w:rFonts w:ascii="Times New Roman"/>
                <w:b/>
                <w:sz w:val="21"/>
              </w:rPr>
              <w:t>30</w:t>
            </w:r>
          </w:p>
        </w:tc>
        <w:tc>
          <w:tcPr>
            <w:tcW w:w="628" w:type="dxa"/>
          </w:tcPr>
          <w:p>
            <w:pPr>
              <w:pStyle w:val="19"/>
              <w:spacing w:before="50"/>
              <w:ind w:left="31" w:right="20"/>
              <w:rPr>
                <w:rFonts w:ascii="Times New Roman"/>
                <w:b/>
                <w:sz w:val="21"/>
              </w:rPr>
            </w:pPr>
            <w:r>
              <w:rPr>
                <w:rFonts w:ascii="Times New Roman"/>
                <w:b/>
                <w:sz w:val="21"/>
              </w:rPr>
              <w:t>40</w:t>
            </w:r>
          </w:p>
        </w:tc>
        <w:tc>
          <w:tcPr>
            <w:tcW w:w="763" w:type="dxa"/>
          </w:tcPr>
          <w:p>
            <w:pPr>
              <w:pStyle w:val="19"/>
              <w:spacing w:before="50"/>
              <w:ind w:left="69" w:right="62"/>
              <w:rPr>
                <w:rFonts w:ascii="Times New Roman"/>
                <w:b/>
                <w:sz w:val="21"/>
              </w:rPr>
            </w:pPr>
            <w:r>
              <w:rPr>
                <w:rFonts w:ascii="Times New Roman"/>
                <w:b/>
                <w:sz w:val="21"/>
              </w:rPr>
              <w:t>50</w:t>
            </w:r>
          </w:p>
        </w:tc>
        <w:tc>
          <w:tcPr>
            <w:tcW w:w="593" w:type="dxa"/>
          </w:tcPr>
          <w:p>
            <w:pPr>
              <w:pStyle w:val="19"/>
              <w:spacing w:before="50"/>
              <w:ind w:left="138"/>
              <w:jc w:val="left"/>
              <w:rPr>
                <w:rFonts w:ascii="Times New Roman"/>
                <w:b/>
                <w:sz w:val="21"/>
              </w:rPr>
            </w:pPr>
            <w:r>
              <w:rPr>
                <w:rFonts w:ascii="Times New Roman"/>
                <w:b/>
                <w:sz w:val="21"/>
              </w:rPr>
              <w:t>100</w:t>
            </w:r>
          </w:p>
        </w:tc>
        <w:tc>
          <w:tcPr>
            <w:tcW w:w="709" w:type="dxa"/>
          </w:tcPr>
          <w:p>
            <w:pPr>
              <w:pStyle w:val="19"/>
              <w:spacing w:before="50"/>
              <w:ind w:left="9"/>
              <w:rPr>
                <w:rFonts w:ascii="Times New Roman"/>
                <w:b/>
                <w:sz w:val="21"/>
              </w:rPr>
            </w:pPr>
            <w:r>
              <w:rPr>
                <w:rFonts w:ascii="Times New Roman"/>
                <w:b/>
                <w:sz w:val="21"/>
              </w:rPr>
              <w:t>150</w:t>
            </w:r>
          </w:p>
        </w:tc>
        <w:tc>
          <w:tcPr>
            <w:tcW w:w="719" w:type="dxa"/>
          </w:tcPr>
          <w:p>
            <w:pPr>
              <w:pStyle w:val="19"/>
              <w:spacing w:before="50"/>
              <w:ind w:left="76" w:right="65"/>
              <w:rPr>
                <w:rFonts w:ascii="Times New Roman"/>
                <w:b/>
                <w:sz w:val="21"/>
              </w:rPr>
            </w:pPr>
            <w:r>
              <w:rPr>
                <w:rFonts w:ascii="Times New Roman"/>
                <w:b/>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9"/>
              <w:spacing w:before="48"/>
              <w:ind w:left="269"/>
              <w:jc w:val="left"/>
              <w:rPr>
                <w:rFonts w:ascii="Times New Roman"/>
                <w:sz w:val="21"/>
              </w:rPr>
            </w:pPr>
            <w:r>
              <w:rPr>
                <w:rFonts w:ascii="Times New Roman"/>
                <w:w w:val="99"/>
                <w:sz w:val="21"/>
              </w:rPr>
              <w:t>1</w:t>
            </w:r>
          </w:p>
        </w:tc>
        <w:tc>
          <w:tcPr>
            <w:tcW w:w="1223" w:type="dxa"/>
          </w:tcPr>
          <w:p>
            <w:pPr>
              <w:pStyle w:val="19"/>
              <w:spacing w:before="34"/>
              <w:ind w:left="65" w:right="56"/>
              <w:rPr>
                <w:sz w:val="21"/>
              </w:rPr>
            </w:pPr>
            <w:r>
              <w:rPr>
                <w:sz w:val="21"/>
              </w:rPr>
              <w:t>推土机</w:t>
            </w:r>
          </w:p>
        </w:tc>
        <w:tc>
          <w:tcPr>
            <w:tcW w:w="701" w:type="dxa"/>
          </w:tcPr>
          <w:p>
            <w:pPr>
              <w:pStyle w:val="19"/>
              <w:spacing w:before="48"/>
              <w:ind w:left="13" w:right="2"/>
              <w:rPr>
                <w:rFonts w:ascii="Times New Roman"/>
                <w:sz w:val="21"/>
              </w:rPr>
            </w:pPr>
            <w:r>
              <w:rPr>
                <w:rFonts w:ascii="Times New Roman"/>
                <w:sz w:val="21"/>
              </w:rPr>
              <w:t>115</w:t>
            </w:r>
          </w:p>
        </w:tc>
        <w:tc>
          <w:tcPr>
            <w:tcW w:w="666" w:type="dxa"/>
          </w:tcPr>
          <w:p>
            <w:pPr>
              <w:pStyle w:val="19"/>
              <w:spacing w:before="48"/>
              <w:ind w:left="22" w:right="13"/>
              <w:rPr>
                <w:rFonts w:ascii="Times New Roman"/>
                <w:sz w:val="21"/>
              </w:rPr>
            </w:pPr>
            <w:r>
              <w:rPr>
                <w:rFonts w:ascii="Times New Roman"/>
                <w:sz w:val="21"/>
              </w:rPr>
              <w:t>88</w:t>
            </w:r>
          </w:p>
        </w:tc>
        <w:tc>
          <w:tcPr>
            <w:tcW w:w="821" w:type="dxa"/>
          </w:tcPr>
          <w:p>
            <w:pPr>
              <w:pStyle w:val="19"/>
              <w:spacing w:before="48"/>
              <w:ind w:left="73" w:right="63"/>
              <w:rPr>
                <w:rFonts w:ascii="Times New Roman"/>
                <w:sz w:val="21"/>
              </w:rPr>
            </w:pPr>
            <w:r>
              <w:rPr>
                <w:rFonts w:ascii="Times New Roman"/>
                <w:sz w:val="21"/>
              </w:rPr>
              <w:t>81.4</w:t>
            </w:r>
          </w:p>
        </w:tc>
        <w:tc>
          <w:tcPr>
            <w:tcW w:w="804" w:type="dxa"/>
          </w:tcPr>
          <w:p>
            <w:pPr>
              <w:pStyle w:val="19"/>
              <w:spacing w:before="48"/>
              <w:ind w:left="38" w:right="30"/>
              <w:rPr>
                <w:rFonts w:ascii="Times New Roman"/>
                <w:sz w:val="21"/>
              </w:rPr>
            </w:pPr>
            <w:r>
              <w:rPr>
                <w:rFonts w:ascii="Times New Roman"/>
                <w:sz w:val="21"/>
              </w:rPr>
              <w:t>77.8</w:t>
            </w:r>
          </w:p>
        </w:tc>
        <w:tc>
          <w:tcPr>
            <w:tcW w:w="628" w:type="dxa"/>
          </w:tcPr>
          <w:p>
            <w:pPr>
              <w:pStyle w:val="19"/>
              <w:spacing w:before="48"/>
              <w:ind w:left="31" w:right="20"/>
              <w:rPr>
                <w:rFonts w:ascii="Times New Roman"/>
                <w:sz w:val="21"/>
              </w:rPr>
            </w:pPr>
            <w:r>
              <w:rPr>
                <w:rFonts w:ascii="Times New Roman"/>
                <w:sz w:val="21"/>
              </w:rPr>
              <w:t>75</w:t>
            </w:r>
          </w:p>
        </w:tc>
        <w:tc>
          <w:tcPr>
            <w:tcW w:w="763" w:type="dxa"/>
          </w:tcPr>
          <w:p>
            <w:pPr>
              <w:pStyle w:val="19"/>
              <w:spacing w:before="48"/>
              <w:ind w:left="72" w:right="60"/>
              <w:rPr>
                <w:rFonts w:ascii="Times New Roman"/>
                <w:sz w:val="21"/>
              </w:rPr>
            </w:pPr>
            <w:r>
              <w:rPr>
                <w:rFonts w:ascii="Times New Roman"/>
                <w:sz w:val="21"/>
              </w:rPr>
              <w:t>73.2</w:t>
            </w:r>
          </w:p>
        </w:tc>
        <w:tc>
          <w:tcPr>
            <w:tcW w:w="593" w:type="dxa"/>
          </w:tcPr>
          <w:p>
            <w:pPr>
              <w:pStyle w:val="19"/>
              <w:spacing w:before="48"/>
              <w:ind w:left="191"/>
              <w:jc w:val="left"/>
              <w:rPr>
                <w:rFonts w:ascii="Times New Roman"/>
                <w:sz w:val="21"/>
              </w:rPr>
            </w:pPr>
            <w:r>
              <w:rPr>
                <w:rFonts w:ascii="Times New Roman"/>
                <w:sz w:val="21"/>
              </w:rPr>
              <w:t>67</w:t>
            </w:r>
          </w:p>
        </w:tc>
        <w:tc>
          <w:tcPr>
            <w:tcW w:w="709" w:type="dxa"/>
          </w:tcPr>
          <w:p>
            <w:pPr>
              <w:pStyle w:val="19"/>
              <w:spacing w:before="48"/>
              <w:ind w:left="9"/>
              <w:rPr>
                <w:rFonts w:ascii="Times New Roman"/>
                <w:sz w:val="21"/>
              </w:rPr>
            </w:pPr>
            <w:r>
              <w:rPr>
                <w:rFonts w:ascii="Times New Roman"/>
                <w:sz w:val="21"/>
              </w:rPr>
              <w:t>63.6</w:t>
            </w:r>
          </w:p>
        </w:tc>
        <w:tc>
          <w:tcPr>
            <w:tcW w:w="719" w:type="dxa"/>
          </w:tcPr>
          <w:p>
            <w:pPr>
              <w:pStyle w:val="19"/>
              <w:spacing w:before="48"/>
              <w:ind w:left="71" w:right="65"/>
              <w:rPr>
                <w:rFonts w:ascii="Times New Roman"/>
                <w:sz w:val="21"/>
              </w:rPr>
            </w:pPr>
            <w:r>
              <w:rPr>
                <w:rFonts w:ascii="Times New Roman"/>
                <w:sz w:val="21"/>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9"/>
              <w:spacing w:before="48"/>
              <w:ind w:left="269"/>
              <w:jc w:val="left"/>
              <w:rPr>
                <w:rFonts w:ascii="Times New Roman"/>
                <w:sz w:val="21"/>
              </w:rPr>
            </w:pPr>
            <w:r>
              <w:rPr>
                <w:rFonts w:ascii="Times New Roman"/>
                <w:w w:val="99"/>
                <w:sz w:val="21"/>
              </w:rPr>
              <w:t>2</w:t>
            </w:r>
          </w:p>
        </w:tc>
        <w:tc>
          <w:tcPr>
            <w:tcW w:w="1223" w:type="dxa"/>
          </w:tcPr>
          <w:p>
            <w:pPr>
              <w:pStyle w:val="19"/>
              <w:spacing w:before="34"/>
              <w:ind w:left="65" w:right="56"/>
              <w:rPr>
                <w:sz w:val="21"/>
              </w:rPr>
            </w:pPr>
            <w:r>
              <w:rPr>
                <w:sz w:val="21"/>
              </w:rPr>
              <w:t>装载机</w:t>
            </w:r>
          </w:p>
        </w:tc>
        <w:tc>
          <w:tcPr>
            <w:tcW w:w="701" w:type="dxa"/>
          </w:tcPr>
          <w:p>
            <w:pPr>
              <w:pStyle w:val="19"/>
              <w:spacing w:before="48"/>
              <w:ind w:left="13" w:right="4"/>
              <w:rPr>
                <w:rFonts w:ascii="Times New Roman"/>
                <w:sz w:val="21"/>
              </w:rPr>
            </w:pPr>
            <w:r>
              <w:rPr>
                <w:rFonts w:ascii="Times New Roman"/>
                <w:sz w:val="21"/>
              </w:rPr>
              <w:t>105</w:t>
            </w:r>
          </w:p>
        </w:tc>
        <w:tc>
          <w:tcPr>
            <w:tcW w:w="666" w:type="dxa"/>
          </w:tcPr>
          <w:p>
            <w:pPr>
              <w:pStyle w:val="19"/>
              <w:spacing w:before="48"/>
              <w:ind w:left="22" w:right="13"/>
              <w:rPr>
                <w:rFonts w:ascii="Times New Roman"/>
                <w:sz w:val="21"/>
              </w:rPr>
            </w:pPr>
            <w:r>
              <w:rPr>
                <w:rFonts w:ascii="Times New Roman"/>
                <w:sz w:val="21"/>
              </w:rPr>
              <w:t>78</w:t>
            </w:r>
          </w:p>
        </w:tc>
        <w:tc>
          <w:tcPr>
            <w:tcW w:w="821" w:type="dxa"/>
          </w:tcPr>
          <w:p>
            <w:pPr>
              <w:pStyle w:val="19"/>
              <w:spacing w:before="48"/>
              <w:ind w:left="73" w:right="63"/>
              <w:rPr>
                <w:rFonts w:ascii="Times New Roman"/>
                <w:sz w:val="21"/>
              </w:rPr>
            </w:pPr>
            <w:r>
              <w:rPr>
                <w:rFonts w:ascii="Times New Roman"/>
                <w:sz w:val="21"/>
              </w:rPr>
              <w:t>71.4</w:t>
            </w:r>
          </w:p>
        </w:tc>
        <w:tc>
          <w:tcPr>
            <w:tcW w:w="804" w:type="dxa"/>
          </w:tcPr>
          <w:p>
            <w:pPr>
              <w:pStyle w:val="19"/>
              <w:spacing w:before="48"/>
              <w:ind w:left="38" w:right="30"/>
              <w:rPr>
                <w:rFonts w:ascii="Times New Roman"/>
                <w:sz w:val="21"/>
              </w:rPr>
            </w:pPr>
            <w:r>
              <w:rPr>
                <w:rFonts w:ascii="Times New Roman"/>
                <w:sz w:val="21"/>
              </w:rPr>
              <w:t>67.8</w:t>
            </w:r>
          </w:p>
        </w:tc>
        <w:tc>
          <w:tcPr>
            <w:tcW w:w="628" w:type="dxa"/>
          </w:tcPr>
          <w:p>
            <w:pPr>
              <w:pStyle w:val="19"/>
              <w:spacing w:before="48"/>
              <w:ind w:left="31" w:right="20"/>
              <w:rPr>
                <w:rFonts w:ascii="Times New Roman"/>
                <w:sz w:val="21"/>
              </w:rPr>
            </w:pPr>
            <w:r>
              <w:rPr>
                <w:rFonts w:ascii="Times New Roman"/>
                <w:sz w:val="21"/>
              </w:rPr>
              <w:t>65</w:t>
            </w:r>
          </w:p>
        </w:tc>
        <w:tc>
          <w:tcPr>
            <w:tcW w:w="763" w:type="dxa"/>
          </w:tcPr>
          <w:p>
            <w:pPr>
              <w:pStyle w:val="19"/>
              <w:spacing w:before="48"/>
              <w:ind w:left="72" w:right="60"/>
              <w:rPr>
                <w:rFonts w:ascii="Times New Roman"/>
                <w:sz w:val="21"/>
              </w:rPr>
            </w:pPr>
            <w:r>
              <w:rPr>
                <w:rFonts w:ascii="Times New Roman"/>
                <w:sz w:val="21"/>
              </w:rPr>
              <w:t>63.2</w:t>
            </w:r>
          </w:p>
        </w:tc>
        <w:tc>
          <w:tcPr>
            <w:tcW w:w="593" w:type="dxa"/>
          </w:tcPr>
          <w:p>
            <w:pPr>
              <w:pStyle w:val="19"/>
              <w:spacing w:before="48"/>
              <w:ind w:left="191"/>
              <w:jc w:val="left"/>
              <w:rPr>
                <w:rFonts w:ascii="Times New Roman"/>
                <w:sz w:val="21"/>
              </w:rPr>
            </w:pPr>
            <w:r>
              <w:rPr>
                <w:rFonts w:ascii="Times New Roman"/>
                <w:sz w:val="21"/>
              </w:rPr>
              <w:t>57</w:t>
            </w:r>
          </w:p>
        </w:tc>
        <w:tc>
          <w:tcPr>
            <w:tcW w:w="709" w:type="dxa"/>
          </w:tcPr>
          <w:p>
            <w:pPr>
              <w:pStyle w:val="19"/>
              <w:spacing w:before="48"/>
              <w:ind w:left="9"/>
              <w:rPr>
                <w:rFonts w:ascii="Times New Roman"/>
                <w:sz w:val="21"/>
              </w:rPr>
            </w:pPr>
            <w:r>
              <w:rPr>
                <w:rFonts w:ascii="Times New Roman"/>
                <w:sz w:val="21"/>
              </w:rPr>
              <w:t>53.6</w:t>
            </w:r>
          </w:p>
        </w:tc>
        <w:tc>
          <w:tcPr>
            <w:tcW w:w="719" w:type="dxa"/>
          </w:tcPr>
          <w:p>
            <w:pPr>
              <w:pStyle w:val="19"/>
              <w:spacing w:before="48"/>
              <w:ind w:left="71" w:right="65"/>
              <w:rPr>
                <w:rFonts w:ascii="Times New Roman"/>
                <w:sz w:val="21"/>
              </w:rPr>
            </w:pPr>
            <w:r>
              <w:rPr>
                <w:rFonts w:ascii="Times New Roman"/>
                <w:sz w:val="21"/>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9"/>
              <w:spacing w:before="48"/>
              <w:ind w:left="269"/>
              <w:jc w:val="left"/>
              <w:rPr>
                <w:rFonts w:ascii="Times New Roman"/>
                <w:sz w:val="21"/>
              </w:rPr>
            </w:pPr>
            <w:r>
              <w:rPr>
                <w:rFonts w:ascii="Times New Roman"/>
                <w:w w:val="99"/>
                <w:sz w:val="21"/>
              </w:rPr>
              <w:t>3</w:t>
            </w:r>
          </w:p>
        </w:tc>
        <w:tc>
          <w:tcPr>
            <w:tcW w:w="1223" w:type="dxa"/>
          </w:tcPr>
          <w:p>
            <w:pPr>
              <w:pStyle w:val="19"/>
              <w:spacing w:before="35"/>
              <w:ind w:left="65" w:right="56"/>
              <w:rPr>
                <w:sz w:val="21"/>
              </w:rPr>
            </w:pPr>
            <w:r>
              <w:rPr>
                <w:sz w:val="21"/>
              </w:rPr>
              <w:t>挖掘机</w:t>
            </w:r>
          </w:p>
        </w:tc>
        <w:tc>
          <w:tcPr>
            <w:tcW w:w="701" w:type="dxa"/>
          </w:tcPr>
          <w:p>
            <w:pPr>
              <w:pStyle w:val="19"/>
              <w:spacing w:before="48"/>
              <w:ind w:left="13" w:right="4"/>
              <w:rPr>
                <w:rFonts w:ascii="Times New Roman"/>
                <w:sz w:val="21"/>
              </w:rPr>
            </w:pPr>
            <w:r>
              <w:rPr>
                <w:rFonts w:ascii="Times New Roman"/>
                <w:sz w:val="21"/>
              </w:rPr>
              <w:t>100</w:t>
            </w:r>
          </w:p>
        </w:tc>
        <w:tc>
          <w:tcPr>
            <w:tcW w:w="666" w:type="dxa"/>
          </w:tcPr>
          <w:p>
            <w:pPr>
              <w:pStyle w:val="19"/>
              <w:spacing w:before="48"/>
              <w:ind w:left="22" w:right="13"/>
              <w:rPr>
                <w:rFonts w:ascii="Times New Roman"/>
                <w:sz w:val="21"/>
              </w:rPr>
            </w:pPr>
            <w:r>
              <w:rPr>
                <w:rFonts w:ascii="Times New Roman"/>
                <w:sz w:val="21"/>
              </w:rPr>
              <w:t>73</w:t>
            </w:r>
          </w:p>
        </w:tc>
        <w:tc>
          <w:tcPr>
            <w:tcW w:w="821" w:type="dxa"/>
          </w:tcPr>
          <w:p>
            <w:pPr>
              <w:pStyle w:val="19"/>
              <w:spacing w:before="48"/>
              <w:ind w:left="73" w:right="63"/>
              <w:rPr>
                <w:rFonts w:ascii="Times New Roman"/>
                <w:sz w:val="21"/>
              </w:rPr>
            </w:pPr>
            <w:r>
              <w:rPr>
                <w:rFonts w:ascii="Times New Roman"/>
                <w:sz w:val="21"/>
              </w:rPr>
              <w:t>66.4</w:t>
            </w:r>
          </w:p>
        </w:tc>
        <w:tc>
          <w:tcPr>
            <w:tcW w:w="804" w:type="dxa"/>
          </w:tcPr>
          <w:p>
            <w:pPr>
              <w:pStyle w:val="19"/>
              <w:spacing w:before="48"/>
              <w:ind w:left="38" w:right="30"/>
              <w:rPr>
                <w:rFonts w:ascii="Times New Roman"/>
                <w:sz w:val="21"/>
              </w:rPr>
            </w:pPr>
            <w:r>
              <w:rPr>
                <w:rFonts w:ascii="Times New Roman"/>
                <w:sz w:val="21"/>
              </w:rPr>
              <w:t>62.8</w:t>
            </w:r>
          </w:p>
        </w:tc>
        <w:tc>
          <w:tcPr>
            <w:tcW w:w="628" w:type="dxa"/>
          </w:tcPr>
          <w:p>
            <w:pPr>
              <w:pStyle w:val="19"/>
              <w:spacing w:before="48"/>
              <w:ind w:left="31" w:right="20"/>
              <w:rPr>
                <w:rFonts w:ascii="Times New Roman"/>
                <w:sz w:val="21"/>
              </w:rPr>
            </w:pPr>
            <w:r>
              <w:rPr>
                <w:rFonts w:ascii="Times New Roman"/>
                <w:sz w:val="21"/>
              </w:rPr>
              <w:t>60</w:t>
            </w:r>
          </w:p>
        </w:tc>
        <w:tc>
          <w:tcPr>
            <w:tcW w:w="763" w:type="dxa"/>
          </w:tcPr>
          <w:p>
            <w:pPr>
              <w:pStyle w:val="19"/>
              <w:spacing w:before="48"/>
              <w:ind w:left="72" w:right="60"/>
              <w:rPr>
                <w:rFonts w:ascii="Times New Roman"/>
                <w:sz w:val="21"/>
              </w:rPr>
            </w:pPr>
            <w:r>
              <w:rPr>
                <w:rFonts w:ascii="Times New Roman"/>
                <w:sz w:val="21"/>
              </w:rPr>
              <w:t>58.2</w:t>
            </w:r>
          </w:p>
        </w:tc>
        <w:tc>
          <w:tcPr>
            <w:tcW w:w="593" w:type="dxa"/>
          </w:tcPr>
          <w:p>
            <w:pPr>
              <w:pStyle w:val="19"/>
              <w:spacing w:before="48"/>
              <w:ind w:left="191"/>
              <w:jc w:val="left"/>
              <w:rPr>
                <w:rFonts w:ascii="Times New Roman"/>
                <w:sz w:val="21"/>
              </w:rPr>
            </w:pPr>
            <w:r>
              <w:rPr>
                <w:rFonts w:ascii="Times New Roman"/>
                <w:sz w:val="21"/>
              </w:rPr>
              <w:t>52</w:t>
            </w:r>
          </w:p>
        </w:tc>
        <w:tc>
          <w:tcPr>
            <w:tcW w:w="709" w:type="dxa"/>
          </w:tcPr>
          <w:p>
            <w:pPr>
              <w:pStyle w:val="19"/>
              <w:spacing w:before="48"/>
              <w:ind w:left="9"/>
              <w:rPr>
                <w:rFonts w:ascii="Times New Roman"/>
                <w:sz w:val="21"/>
              </w:rPr>
            </w:pPr>
            <w:r>
              <w:rPr>
                <w:rFonts w:ascii="Times New Roman"/>
                <w:sz w:val="21"/>
              </w:rPr>
              <w:t>48.6</w:t>
            </w:r>
          </w:p>
        </w:tc>
        <w:tc>
          <w:tcPr>
            <w:tcW w:w="719" w:type="dxa"/>
          </w:tcPr>
          <w:p>
            <w:pPr>
              <w:pStyle w:val="19"/>
              <w:spacing w:before="48"/>
              <w:ind w:left="71" w:right="65"/>
              <w:rPr>
                <w:rFonts w:ascii="Times New Roman"/>
                <w:sz w:val="21"/>
              </w:rPr>
            </w:pPr>
            <w:r>
              <w:rPr>
                <w:rFonts w:ascii="Times New Roman"/>
                <w:sz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9"/>
              <w:spacing w:before="49"/>
              <w:ind w:left="269"/>
              <w:jc w:val="left"/>
              <w:rPr>
                <w:rFonts w:ascii="Times New Roman"/>
                <w:sz w:val="21"/>
              </w:rPr>
            </w:pPr>
            <w:r>
              <w:rPr>
                <w:rFonts w:ascii="Times New Roman"/>
                <w:w w:val="99"/>
                <w:sz w:val="21"/>
              </w:rPr>
              <w:t>4</w:t>
            </w:r>
          </w:p>
        </w:tc>
        <w:tc>
          <w:tcPr>
            <w:tcW w:w="1223" w:type="dxa"/>
          </w:tcPr>
          <w:p>
            <w:pPr>
              <w:pStyle w:val="19"/>
              <w:spacing w:before="35"/>
              <w:ind w:left="65" w:right="58"/>
              <w:rPr>
                <w:sz w:val="21"/>
              </w:rPr>
            </w:pPr>
            <w:r>
              <w:rPr>
                <w:sz w:val="21"/>
              </w:rPr>
              <w:t>自卸卡车</w:t>
            </w:r>
          </w:p>
        </w:tc>
        <w:tc>
          <w:tcPr>
            <w:tcW w:w="701" w:type="dxa"/>
          </w:tcPr>
          <w:p>
            <w:pPr>
              <w:pStyle w:val="19"/>
              <w:spacing w:before="49"/>
              <w:ind w:left="13" w:right="4"/>
              <w:rPr>
                <w:rFonts w:ascii="Times New Roman"/>
                <w:sz w:val="21"/>
              </w:rPr>
            </w:pPr>
            <w:r>
              <w:rPr>
                <w:rFonts w:ascii="Times New Roman"/>
                <w:sz w:val="21"/>
              </w:rPr>
              <w:t>100</w:t>
            </w:r>
          </w:p>
        </w:tc>
        <w:tc>
          <w:tcPr>
            <w:tcW w:w="666" w:type="dxa"/>
          </w:tcPr>
          <w:p>
            <w:pPr>
              <w:pStyle w:val="19"/>
              <w:spacing w:before="49"/>
              <w:ind w:left="22" w:right="13"/>
              <w:rPr>
                <w:rFonts w:ascii="Times New Roman"/>
                <w:sz w:val="21"/>
              </w:rPr>
            </w:pPr>
            <w:r>
              <w:rPr>
                <w:rFonts w:ascii="Times New Roman"/>
                <w:sz w:val="21"/>
              </w:rPr>
              <w:t>73</w:t>
            </w:r>
          </w:p>
        </w:tc>
        <w:tc>
          <w:tcPr>
            <w:tcW w:w="821" w:type="dxa"/>
          </w:tcPr>
          <w:p>
            <w:pPr>
              <w:pStyle w:val="19"/>
              <w:spacing w:before="49"/>
              <w:ind w:left="73" w:right="63"/>
              <w:rPr>
                <w:rFonts w:ascii="Times New Roman"/>
                <w:sz w:val="21"/>
              </w:rPr>
            </w:pPr>
            <w:r>
              <w:rPr>
                <w:rFonts w:ascii="Times New Roman"/>
                <w:sz w:val="21"/>
              </w:rPr>
              <w:t>66.4</w:t>
            </w:r>
          </w:p>
        </w:tc>
        <w:tc>
          <w:tcPr>
            <w:tcW w:w="804" w:type="dxa"/>
          </w:tcPr>
          <w:p>
            <w:pPr>
              <w:pStyle w:val="19"/>
              <w:spacing w:before="49"/>
              <w:ind w:left="38" w:right="30"/>
              <w:rPr>
                <w:rFonts w:ascii="Times New Roman"/>
                <w:sz w:val="21"/>
              </w:rPr>
            </w:pPr>
            <w:r>
              <w:rPr>
                <w:rFonts w:ascii="Times New Roman"/>
                <w:sz w:val="21"/>
              </w:rPr>
              <w:t>62.8</w:t>
            </w:r>
          </w:p>
        </w:tc>
        <w:tc>
          <w:tcPr>
            <w:tcW w:w="628" w:type="dxa"/>
          </w:tcPr>
          <w:p>
            <w:pPr>
              <w:pStyle w:val="19"/>
              <w:spacing w:before="49"/>
              <w:ind w:left="31" w:right="20"/>
              <w:rPr>
                <w:rFonts w:ascii="Times New Roman"/>
                <w:sz w:val="21"/>
              </w:rPr>
            </w:pPr>
            <w:r>
              <w:rPr>
                <w:rFonts w:ascii="Times New Roman"/>
                <w:sz w:val="21"/>
              </w:rPr>
              <w:t>60</w:t>
            </w:r>
          </w:p>
        </w:tc>
        <w:tc>
          <w:tcPr>
            <w:tcW w:w="763" w:type="dxa"/>
          </w:tcPr>
          <w:p>
            <w:pPr>
              <w:pStyle w:val="19"/>
              <w:spacing w:before="49"/>
              <w:ind w:left="72" w:right="60"/>
              <w:rPr>
                <w:rFonts w:ascii="Times New Roman"/>
                <w:sz w:val="21"/>
              </w:rPr>
            </w:pPr>
            <w:r>
              <w:rPr>
                <w:rFonts w:ascii="Times New Roman"/>
                <w:sz w:val="21"/>
              </w:rPr>
              <w:t>58.2</w:t>
            </w:r>
          </w:p>
        </w:tc>
        <w:tc>
          <w:tcPr>
            <w:tcW w:w="593" w:type="dxa"/>
          </w:tcPr>
          <w:p>
            <w:pPr>
              <w:pStyle w:val="19"/>
              <w:spacing w:before="49"/>
              <w:ind w:left="191"/>
              <w:jc w:val="left"/>
              <w:rPr>
                <w:rFonts w:ascii="Times New Roman"/>
                <w:sz w:val="21"/>
              </w:rPr>
            </w:pPr>
            <w:r>
              <w:rPr>
                <w:rFonts w:ascii="Times New Roman"/>
                <w:sz w:val="21"/>
              </w:rPr>
              <w:t>52</w:t>
            </w:r>
          </w:p>
        </w:tc>
        <w:tc>
          <w:tcPr>
            <w:tcW w:w="709" w:type="dxa"/>
          </w:tcPr>
          <w:p>
            <w:pPr>
              <w:pStyle w:val="19"/>
              <w:spacing w:before="49"/>
              <w:ind w:left="9"/>
              <w:rPr>
                <w:rFonts w:ascii="Times New Roman"/>
                <w:sz w:val="21"/>
              </w:rPr>
            </w:pPr>
            <w:r>
              <w:rPr>
                <w:rFonts w:ascii="Times New Roman"/>
                <w:sz w:val="21"/>
              </w:rPr>
              <w:t>48.6</w:t>
            </w:r>
          </w:p>
        </w:tc>
        <w:tc>
          <w:tcPr>
            <w:tcW w:w="719" w:type="dxa"/>
          </w:tcPr>
          <w:p>
            <w:pPr>
              <w:pStyle w:val="19"/>
              <w:spacing w:before="49"/>
              <w:ind w:left="71" w:right="65"/>
              <w:rPr>
                <w:rFonts w:ascii="Times New Roman"/>
                <w:sz w:val="21"/>
              </w:rPr>
            </w:pPr>
            <w:r>
              <w:rPr>
                <w:rFonts w:ascii="Times New Roman"/>
                <w:sz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9"/>
              <w:spacing w:before="49"/>
              <w:ind w:left="269"/>
              <w:jc w:val="left"/>
              <w:rPr>
                <w:rFonts w:ascii="Times New Roman"/>
                <w:sz w:val="21"/>
              </w:rPr>
            </w:pPr>
            <w:r>
              <w:rPr>
                <w:rFonts w:ascii="Times New Roman"/>
                <w:w w:val="99"/>
                <w:sz w:val="21"/>
              </w:rPr>
              <w:t>5</w:t>
            </w:r>
          </w:p>
        </w:tc>
        <w:tc>
          <w:tcPr>
            <w:tcW w:w="1223" w:type="dxa"/>
          </w:tcPr>
          <w:p>
            <w:pPr>
              <w:pStyle w:val="19"/>
              <w:spacing w:before="35"/>
              <w:ind w:left="65" w:right="56"/>
              <w:rPr>
                <w:sz w:val="21"/>
              </w:rPr>
            </w:pPr>
            <w:r>
              <w:rPr>
                <w:sz w:val="21"/>
              </w:rPr>
              <w:t>打桩机</w:t>
            </w:r>
          </w:p>
        </w:tc>
        <w:tc>
          <w:tcPr>
            <w:tcW w:w="701" w:type="dxa"/>
          </w:tcPr>
          <w:p>
            <w:pPr>
              <w:pStyle w:val="19"/>
              <w:spacing w:before="49"/>
              <w:ind w:left="13" w:right="4"/>
              <w:rPr>
                <w:rFonts w:ascii="Times New Roman"/>
                <w:sz w:val="21"/>
              </w:rPr>
            </w:pPr>
            <w:r>
              <w:rPr>
                <w:rFonts w:ascii="Times New Roman"/>
                <w:sz w:val="21"/>
              </w:rPr>
              <w:t>120</w:t>
            </w:r>
          </w:p>
        </w:tc>
        <w:tc>
          <w:tcPr>
            <w:tcW w:w="666" w:type="dxa"/>
          </w:tcPr>
          <w:p>
            <w:pPr>
              <w:pStyle w:val="19"/>
              <w:spacing w:before="49"/>
              <w:ind w:left="22" w:right="13"/>
              <w:rPr>
                <w:rFonts w:ascii="Times New Roman"/>
                <w:sz w:val="21"/>
              </w:rPr>
            </w:pPr>
            <w:r>
              <w:rPr>
                <w:rFonts w:ascii="Times New Roman"/>
                <w:sz w:val="21"/>
              </w:rPr>
              <w:t>93</w:t>
            </w:r>
          </w:p>
        </w:tc>
        <w:tc>
          <w:tcPr>
            <w:tcW w:w="821" w:type="dxa"/>
          </w:tcPr>
          <w:p>
            <w:pPr>
              <w:pStyle w:val="19"/>
              <w:spacing w:before="49"/>
              <w:ind w:left="73" w:right="63"/>
              <w:rPr>
                <w:rFonts w:ascii="Times New Roman"/>
                <w:sz w:val="21"/>
              </w:rPr>
            </w:pPr>
            <w:r>
              <w:rPr>
                <w:rFonts w:ascii="Times New Roman"/>
                <w:sz w:val="21"/>
              </w:rPr>
              <w:t>86.4</w:t>
            </w:r>
          </w:p>
        </w:tc>
        <w:tc>
          <w:tcPr>
            <w:tcW w:w="804" w:type="dxa"/>
          </w:tcPr>
          <w:p>
            <w:pPr>
              <w:pStyle w:val="19"/>
              <w:spacing w:before="49"/>
              <w:ind w:left="38" w:right="30"/>
              <w:rPr>
                <w:rFonts w:ascii="Times New Roman"/>
                <w:sz w:val="21"/>
              </w:rPr>
            </w:pPr>
            <w:r>
              <w:rPr>
                <w:rFonts w:ascii="Times New Roman"/>
                <w:sz w:val="21"/>
              </w:rPr>
              <w:t>82.8</w:t>
            </w:r>
          </w:p>
        </w:tc>
        <w:tc>
          <w:tcPr>
            <w:tcW w:w="628" w:type="dxa"/>
          </w:tcPr>
          <w:p>
            <w:pPr>
              <w:pStyle w:val="19"/>
              <w:spacing w:before="49"/>
              <w:ind w:left="31" w:right="20"/>
              <w:rPr>
                <w:rFonts w:ascii="Times New Roman"/>
                <w:sz w:val="21"/>
              </w:rPr>
            </w:pPr>
            <w:r>
              <w:rPr>
                <w:rFonts w:ascii="Times New Roman"/>
                <w:sz w:val="21"/>
              </w:rPr>
              <w:t>80</w:t>
            </w:r>
          </w:p>
        </w:tc>
        <w:tc>
          <w:tcPr>
            <w:tcW w:w="763" w:type="dxa"/>
          </w:tcPr>
          <w:p>
            <w:pPr>
              <w:pStyle w:val="19"/>
              <w:spacing w:before="49"/>
              <w:ind w:left="72" w:right="60"/>
              <w:rPr>
                <w:rFonts w:ascii="Times New Roman"/>
                <w:sz w:val="21"/>
              </w:rPr>
            </w:pPr>
            <w:r>
              <w:rPr>
                <w:rFonts w:ascii="Times New Roman"/>
                <w:sz w:val="21"/>
              </w:rPr>
              <w:t>78.2</w:t>
            </w:r>
          </w:p>
        </w:tc>
        <w:tc>
          <w:tcPr>
            <w:tcW w:w="593" w:type="dxa"/>
          </w:tcPr>
          <w:p>
            <w:pPr>
              <w:pStyle w:val="19"/>
              <w:spacing w:before="49"/>
              <w:ind w:left="191"/>
              <w:jc w:val="left"/>
              <w:rPr>
                <w:rFonts w:ascii="Times New Roman"/>
                <w:sz w:val="21"/>
              </w:rPr>
            </w:pPr>
            <w:r>
              <w:rPr>
                <w:rFonts w:ascii="Times New Roman"/>
                <w:sz w:val="21"/>
              </w:rPr>
              <w:t>72</w:t>
            </w:r>
          </w:p>
        </w:tc>
        <w:tc>
          <w:tcPr>
            <w:tcW w:w="709" w:type="dxa"/>
          </w:tcPr>
          <w:p>
            <w:pPr>
              <w:pStyle w:val="19"/>
              <w:spacing w:before="49"/>
              <w:ind w:left="9"/>
              <w:rPr>
                <w:rFonts w:ascii="Times New Roman"/>
                <w:sz w:val="21"/>
              </w:rPr>
            </w:pPr>
            <w:r>
              <w:rPr>
                <w:rFonts w:ascii="Times New Roman"/>
                <w:sz w:val="21"/>
              </w:rPr>
              <w:t>68.6</w:t>
            </w:r>
          </w:p>
        </w:tc>
        <w:tc>
          <w:tcPr>
            <w:tcW w:w="719" w:type="dxa"/>
          </w:tcPr>
          <w:p>
            <w:pPr>
              <w:pStyle w:val="19"/>
              <w:spacing w:before="49"/>
              <w:ind w:left="71" w:right="65"/>
              <w:rPr>
                <w:rFonts w:ascii="Times New Roman"/>
                <w:sz w:val="21"/>
              </w:rPr>
            </w:pPr>
            <w:r>
              <w:rPr>
                <w:rFonts w:ascii="Times New Roman"/>
                <w:sz w:val="21"/>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9"/>
              <w:spacing w:before="50"/>
              <w:ind w:left="269"/>
              <w:jc w:val="left"/>
              <w:rPr>
                <w:rFonts w:ascii="Times New Roman"/>
                <w:sz w:val="21"/>
              </w:rPr>
            </w:pPr>
            <w:r>
              <w:rPr>
                <w:rFonts w:ascii="Times New Roman"/>
                <w:w w:val="99"/>
                <w:sz w:val="21"/>
              </w:rPr>
              <w:t>6</w:t>
            </w:r>
          </w:p>
        </w:tc>
        <w:tc>
          <w:tcPr>
            <w:tcW w:w="1223" w:type="dxa"/>
          </w:tcPr>
          <w:p>
            <w:pPr>
              <w:pStyle w:val="19"/>
              <w:spacing w:before="36"/>
              <w:ind w:left="65" w:right="56"/>
              <w:rPr>
                <w:sz w:val="21"/>
              </w:rPr>
            </w:pPr>
            <w:r>
              <w:rPr>
                <w:sz w:val="21"/>
              </w:rPr>
              <w:t>空压机</w:t>
            </w:r>
          </w:p>
        </w:tc>
        <w:tc>
          <w:tcPr>
            <w:tcW w:w="701" w:type="dxa"/>
          </w:tcPr>
          <w:p>
            <w:pPr>
              <w:pStyle w:val="19"/>
              <w:spacing w:before="50"/>
              <w:ind w:left="13" w:right="2"/>
              <w:rPr>
                <w:rFonts w:ascii="Times New Roman"/>
                <w:sz w:val="21"/>
              </w:rPr>
            </w:pPr>
            <w:r>
              <w:rPr>
                <w:rFonts w:ascii="Times New Roman"/>
                <w:sz w:val="21"/>
              </w:rPr>
              <w:t>110</w:t>
            </w:r>
          </w:p>
        </w:tc>
        <w:tc>
          <w:tcPr>
            <w:tcW w:w="666" w:type="dxa"/>
          </w:tcPr>
          <w:p>
            <w:pPr>
              <w:pStyle w:val="19"/>
              <w:spacing w:before="50"/>
              <w:ind w:left="22" w:right="13"/>
              <w:rPr>
                <w:rFonts w:ascii="Times New Roman"/>
                <w:sz w:val="21"/>
              </w:rPr>
            </w:pPr>
            <w:r>
              <w:rPr>
                <w:rFonts w:ascii="Times New Roman"/>
                <w:sz w:val="21"/>
              </w:rPr>
              <w:t>83</w:t>
            </w:r>
          </w:p>
        </w:tc>
        <w:tc>
          <w:tcPr>
            <w:tcW w:w="821" w:type="dxa"/>
          </w:tcPr>
          <w:p>
            <w:pPr>
              <w:pStyle w:val="19"/>
              <w:spacing w:before="50"/>
              <w:ind w:left="73" w:right="63"/>
              <w:rPr>
                <w:rFonts w:ascii="Times New Roman"/>
                <w:sz w:val="21"/>
              </w:rPr>
            </w:pPr>
            <w:r>
              <w:rPr>
                <w:rFonts w:ascii="Times New Roman"/>
                <w:sz w:val="21"/>
              </w:rPr>
              <w:t>76.4</w:t>
            </w:r>
          </w:p>
        </w:tc>
        <w:tc>
          <w:tcPr>
            <w:tcW w:w="804" w:type="dxa"/>
          </w:tcPr>
          <w:p>
            <w:pPr>
              <w:pStyle w:val="19"/>
              <w:spacing w:before="50"/>
              <w:ind w:left="38" w:right="30"/>
              <w:rPr>
                <w:rFonts w:ascii="Times New Roman"/>
                <w:sz w:val="21"/>
              </w:rPr>
            </w:pPr>
            <w:r>
              <w:rPr>
                <w:rFonts w:ascii="Times New Roman"/>
                <w:sz w:val="21"/>
              </w:rPr>
              <w:t>72.8</w:t>
            </w:r>
          </w:p>
        </w:tc>
        <w:tc>
          <w:tcPr>
            <w:tcW w:w="628" w:type="dxa"/>
          </w:tcPr>
          <w:p>
            <w:pPr>
              <w:pStyle w:val="19"/>
              <w:spacing w:before="50"/>
              <w:ind w:left="31" w:right="20"/>
              <w:rPr>
                <w:rFonts w:ascii="Times New Roman"/>
                <w:sz w:val="21"/>
              </w:rPr>
            </w:pPr>
            <w:r>
              <w:rPr>
                <w:rFonts w:ascii="Times New Roman"/>
                <w:sz w:val="21"/>
              </w:rPr>
              <w:t>70</w:t>
            </w:r>
          </w:p>
        </w:tc>
        <w:tc>
          <w:tcPr>
            <w:tcW w:w="763" w:type="dxa"/>
          </w:tcPr>
          <w:p>
            <w:pPr>
              <w:pStyle w:val="19"/>
              <w:spacing w:before="50"/>
              <w:ind w:left="72" w:right="60"/>
              <w:rPr>
                <w:rFonts w:ascii="Times New Roman"/>
                <w:sz w:val="21"/>
              </w:rPr>
            </w:pPr>
            <w:r>
              <w:rPr>
                <w:rFonts w:ascii="Times New Roman"/>
                <w:sz w:val="21"/>
              </w:rPr>
              <w:t>68.2</w:t>
            </w:r>
          </w:p>
        </w:tc>
        <w:tc>
          <w:tcPr>
            <w:tcW w:w="593" w:type="dxa"/>
          </w:tcPr>
          <w:p>
            <w:pPr>
              <w:pStyle w:val="19"/>
              <w:spacing w:before="50"/>
              <w:ind w:left="191"/>
              <w:jc w:val="left"/>
              <w:rPr>
                <w:rFonts w:ascii="Times New Roman"/>
                <w:sz w:val="21"/>
              </w:rPr>
            </w:pPr>
            <w:r>
              <w:rPr>
                <w:rFonts w:ascii="Times New Roman"/>
                <w:sz w:val="21"/>
              </w:rPr>
              <w:t>62</w:t>
            </w:r>
          </w:p>
        </w:tc>
        <w:tc>
          <w:tcPr>
            <w:tcW w:w="709" w:type="dxa"/>
          </w:tcPr>
          <w:p>
            <w:pPr>
              <w:pStyle w:val="19"/>
              <w:spacing w:before="50"/>
              <w:ind w:left="9"/>
              <w:rPr>
                <w:rFonts w:ascii="Times New Roman"/>
                <w:sz w:val="21"/>
              </w:rPr>
            </w:pPr>
            <w:r>
              <w:rPr>
                <w:rFonts w:ascii="Times New Roman"/>
                <w:sz w:val="21"/>
              </w:rPr>
              <w:t>58.6</w:t>
            </w:r>
          </w:p>
        </w:tc>
        <w:tc>
          <w:tcPr>
            <w:tcW w:w="719" w:type="dxa"/>
          </w:tcPr>
          <w:p>
            <w:pPr>
              <w:pStyle w:val="19"/>
              <w:spacing w:before="50"/>
              <w:ind w:left="71" w:right="65"/>
              <w:rPr>
                <w:rFonts w:ascii="Times New Roman"/>
                <w:sz w:val="21"/>
              </w:rPr>
            </w:pPr>
            <w:r>
              <w:rPr>
                <w:rFonts w:ascii="Times New Roman"/>
                <w:sz w:val="21"/>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9"/>
              <w:spacing w:before="48"/>
              <w:ind w:left="269"/>
              <w:jc w:val="left"/>
              <w:rPr>
                <w:rFonts w:ascii="Times New Roman"/>
                <w:sz w:val="21"/>
              </w:rPr>
            </w:pPr>
            <w:r>
              <w:rPr>
                <w:rFonts w:ascii="Times New Roman"/>
                <w:w w:val="99"/>
                <w:sz w:val="21"/>
              </w:rPr>
              <w:t>7</w:t>
            </w:r>
          </w:p>
        </w:tc>
        <w:tc>
          <w:tcPr>
            <w:tcW w:w="1223" w:type="dxa"/>
          </w:tcPr>
          <w:p>
            <w:pPr>
              <w:pStyle w:val="19"/>
              <w:spacing w:before="34"/>
              <w:ind w:left="65" w:right="58"/>
              <w:rPr>
                <w:sz w:val="21"/>
              </w:rPr>
            </w:pPr>
            <w:r>
              <w:rPr>
                <w:sz w:val="21"/>
              </w:rPr>
              <w:t>电锯、电刨</w:t>
            </w:r>
          </w:p>
        </w:tc>
        <w:tc>
          <w:tcPr>
            <w:tcW w:w="701" w:type="dxa"/>
          </w:tcPr>
          <w:p>
            <w:pPr>
              <w:pStyle w:val="19"/>
              <w:spacing w:before="48"/>
              <w:ind w:left="13" w:right="2"/>
              <w:rPr>
                <w:rFonts w:ascii="Times New Roman"/>
                <w:sz w:val="21"/>
              </w:rPr>
            </w:pPr>
            <w:r>
              <w:rPr>
                <w:rFonts w:ascii="Times New Roman"/>
                <w:sz w:val="21"/>
              </w:rPr>
              <w:t>115</w:t>
            </w:r>
          </w:p>
        </w:tc>
        <w:tc>
          <w:tcPr>
            <w:tcW w:w="666" w:type="dxa"/>
          </w:tcPr>
          <w:p>
            <w:pPr>
              <w:pStyle w:val="19"/>
              <w:spacing w:before="48"/>
              <w:ind w:left="22" w:right="13"/>
              <w:rPr>
                <w:rFonts w:ascii="Times New Roman"/>
                <w:sz w:val="21"/>
              </w:rPr>
            </w:pPr>
            <w:r>
              <w:rPr>
                <w:rFonts w:ascii="Times New Roman"/>
                <w:sz w:val="21"/>
              </w:rPr>
              <w:t>88</w:t>
            </w:r>
          </w:p>
        </w:tc>
        <w:tc>
          <w:tcPr>
            <w:tcW w:w="821" w:type="dxa"/>
          </w:tcPr>
          <w:p>
            <w:pPr>
              <w:pStyle w:val="19"/>
              <w:spacing w:before="48"/>
              <w:ind w:left="73" w:right="63"/>
              <w:rPr>
                <w:rFonts w:ascii="Times New Roman"/>
                <w:sz w:val="21"/>
              </w:rPr>
            </w:pPr>
            <w:r>
              <w:rPr>
                <w:rFonts w:ascii="Times New Roman"/>
                <w:sz w:val="21"/>
              </w:rPr>
              <w:t>81.4</w:t>
            </w:r>
          </w:p>
        </w:tc>
        <w:tc>
          <w:tcPr>
            <w:tcW w:w="804" w:type="dxa"/>
          </w:tcPr>
          <w:p>
            <w:pPr>
              <w:pStyle w:val="19"/>
              <w:spacing w:before="48"/>
              <w:ind w:left="38" w:right="30"/>
              <w:rPr>
                <w:rFonts w:ascii="Times New Roman"/>
                <w:sz w:val="21"/>
              </w:rPr>
            </w:pPr>
            <w:r>
              <w:rPr>
                <w:rFonts w:ascii="Times New Roman"/>
                <w:sz w:val="21"/>
              </w:rPr>
              <w:t>77.8</w:t>
            </w:r>
          </w:p>
        </w:tc>
        <w:tc>
          <w:tcPr>
            <w:tcW w:w="628" w:type="dxa"/>
          </w:tcPr>
          <w:p>
            <w:pPr>
              <w:pStyle w:val="19"/>
              <w:spacing w:before="48"/>
              <w:ind w:left="31" w:right="20"/>
              <w:rPr>
                <w:rFonts w:ascii="Times New Roman"/>
                <w:sz w:val="21"/>
              </w:rPr>
            </w:pPr>
            <w:r>
              <w:rPr>
                <w:rFonts w:ascii="Times New Roman"/>
                <w:sz w:val="21"/>
              </w:rPr>
              <w:t>75</w:t>
            </w:r>
          </w:p>
        </w:tc>
        <w:tc>
          <w:tcPr>
            <w:tcW w:w="763" w:type="dxa"/>
          </w:tcPr>
          <w:p>
            <w:pPr>
              <w:pStyle w:val="19"/>
              <w:spacing w:before="48"/>
              <w:ind w:left="72" w:right="60"/>
              <w:rPr>
                <w:rFonts w:ascii="Times New Roman"/>
                <w:sz w:val="21"/>
              </w:rPr>
            </w:pPr>
            <w:r>
              <w:rPr>
                <w:rFonts w:ascii="Times New Roman"/>
                <w:sz w:val="21"/>
              </w:rPr>
              <w:t>73.2</w:t>
            </w:r>
          </w:p>
        </w:tc>
        <w:tc>
          <w:tcPr>
            <w:tcW w:w="593" w:type="dxa"/>
          </w:tcPr>
          <w:p>
            <w:pPr>
              <w:pStyle w:val="19"/>
              <w:spacing w:before="48"/>
              <w:ind w:left="191"/>
              <w:jc w:val="left"/>
              <w:rPr>
                <w:rFonts w:ascii="Times New Roman"/>
                <w:sz w:val="21"/>
              </w:rPr>
            </w:pPr>
            <w:r>
              <w:rPr>
                <w:rFonts w:ascii="Times New Roman"/>
                <w:sz w:val="21"/>
              </w:rPr>
              <w:t>67</w:t>
            </w:r>
          </w:p>
        </w:tc>
        <w:tc>
          <w:tcPr>
            <w:tcW w:w="709" w:type="dxa"/>
          </w:tcPr>
          <w:p>
            <w:pPr>
              <w:pStyle w:val="19"/>
              <w:spacing w:before="48"/>
              <w:ind w:left="9"/>
              <w:rPr>
                <w:rFonts w:ascii="Times New Roman"/>
                <w:sz w:val="21"/>
              </w:rPr>
            </w:pPr>
            <w:r>
              <w:rPr>
                <w:rFonts w:ascii="Times New Roman"/>
                <w:sz w:val="21"/>
              </w:rPr>
              <w:t>63.6</w:t>
            </w:r>
          </w:p>
        </w:tc>
        <w:tc>
          <w:tcPr>
            <w:tcW w:w="719" w:type="dxa"/>
          </w:tcPr>
          <w:p>
            <w:pPr>
              <w:pStyle w:val="19"/>
              <w:spacing w:before="48"/>
              <w:ind w:left="71" w:right="65"/>
              <w:rPr>
                <w:rFonts w:ascii="Times New Roman"/>
                <w:sz w:val="21"/>
              </w:rPr>
            </w:pPr>
            <w:r>
              <w:rPr>
                <w:rFonts w:ascii="Times New Roman"/>
                <w:sz w:val="21"/>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9"/>
              <w:spacing w:before="48"/>
              <w:ind w:left="269"/>
              <w:jc w:val="left"/>
              <w:rPr>
                <w:rFonts w:ascii="Times New Roman"/>
                <w:sz w:val="21"/>
              </w:rPr>
            </w:pPr>
            <w:r>
              <w:rPr>
                <w:rFonts w:ascii="Times New Roman"/>
                <w:w w:val="99"/>
                <w:sz w:val="21"/>
              </w:rPr>
              <w:t>8</w:t>
            </w:r>
          </w:p>
        </w:tc>
        <w:tc>
          <w:tcPr>
            <w:tcW w:w="1223" w:type="dxa"/>
          </w:tcPr>
          <w:p>
            <w:pPr>
              <w:pStyle w:val="19"/>
              <w:spacing w:before="34"/>
              <w:ind w:left="65" w:right="56"/>
              <w:rPr>
                <w:sz w:val="21"/>
              </w:rPr>
            </w:pPr>
            <w:r>
              <w:rPr>
                <w:sz w:val="21"/>
              </w:rPr>
              <w:t>振捣棒</w:t>
            </w:r>
          </w:p>
        </w:tc>
        <w:tc>
          <w:tcPr>
            <w:tcW w:w="701" w:type="dxa"/>
          </w:tcPr>
          <w:p>
            <w:pPr>
              <w:pStyle w:val="19"/>
              <w:spacing w:before="48"/>
              <w:ind w:left="13" w:right="4"/>
              <w:rPr>
                <w:rFonts w:ascii="Times New Roman"/>
                <w:sz w:val="21"/>
              </w:rPr>
            </w:pPr>
            <w:r>
              <w:rPr>
                <w:rFonts w:ascii="Times New Roman"/>
                <w:sz w:val="21"/>
              </w:rPr>
              <w:t>100</w:t>
            </w:r>
          </w:p>
        </w:tc>
        <w:tc>
          <w:tcPr>
            <w:tcW w:w="666" w:type="dxa"/>
          </w:tcPr>
          <w:p>
            <w:pPr>
              <w:pStyle w:val="19"/>
              <w:spacing w:before="48"/>
              <w:ind w:left="22" w:right="13"/>
              <w:rPr>
                <w:rFonts w:ascii="Times New Roman"/>
                <w:sz w:val="21"/>
              </w:rPr>
            </w:pPr>
            <w:r>
              <w:rPr>
                <w:rFonts w:ascii="Times New Roman"/>
                <w:sz w:val="21"/>
              </w:rPr>
              <w:t>73</w:t>
            </w:r>
          </w:p>
        </w:tc>
        <w:tc>
          <w:tcPr>
            <w:tcW w:w="821" w:type="dxa"/>
          </w:tcPr>
          <w:p>
            <w:pPr>
              <w:pStyle w:val="19"/>
              <w:spacing w:before="48"/>
              <w:ind w:left="73" w:right="63"/>
              <w:rPr>
                <w:rFonts w:ascii="Times New Roman"/>
                <w:sz w:val="21"/>
              </w:rPr>
            </w:pPr>
            <w:r>
              <w:rPr>
                <w:rFonts w:ascii="Times New Roman"/>
                <w:sz w:val="21"/>
              </w:rPr>
              <w:t>66.4</w:t>
            </w:r>
          </w:p>
        </w:tc>
        <w:tc>
          <w:tcPr>
            <w:tcW w:w="804" w:type="dxa"/>
          </w:tcPr>
          <w:p>
            <w:pPr>
              <w:pStyle w:val="19"/>
              <w:spacing w:before="48"/>
              <w:ind w:left="38" w:right="30"/>
              <w:rPr>
                <w:rFonts w:ascii="Times New Roman"/>
                <w:sz w:val="21"/>
              </w:rPr>
            </w:pPr>
            <w:r>
              <w:rPr>
                <w:rFonts w:ascii="Times New Roman"/>
                <w:sz w:val="21"/>
              </w:rPr>
              <w:t>62.8</w:t>
            </w:r>
          </w:p>
        </w:tc>
        <w:tc>
          <w:tcPr>
            <w:tcW w:w="628" w:type="dxa"/>
          </w:tcPr>
          <w:p>
            <w:pPr>
              <w:pStyle w:val="19"/>
              <w:spacing w:before="48"/>
              <w:ind w:left="31" w:right="20"/>
              <w:rPr>
                <w:rFonts w:ascii="Times New Roman"/>
                <w:sz w:val="21"/>
              </w:rPr>
            </w:pPr>
            <w:r>
              <w:rPr>
                <w:rFonts w:ascii="Times New Roman"/>
                <w:sz w:val="21"/>
              </w:rPr>
              <w:t>60</w:t>
            </w:r>
          </w:p>
        </w:tc>
        <w:tc>
          <w:tcPr>
            <w:tcW w:w="763" w:type="dxa"/>
          </w:tcPr>
          <w:p>
            <w:pPr>
              <w:pStyle w:val="19"/>
              <w:spacing w:before="48"/>
              <w:ind w:left="72" w:right="60"/>
              <w:rPr>
                <w:rFonts w:ascii="Times New Roman"/>
                <w:sz w:val="21"/>
              </w:rPr>
            </w:pPr>
            <w:r>
              <w:rPr>
                <w:rFonts w:ascii="Times New Roman"/>
                <w:sz w:val="21"/>
              </w:rPr>
              <w:t>58.2</w:t>
            </w:r>
          </w:p>
        </w:tc>
        <w:tc>
          <w:tcPr>
            <w:tcW w:w="593" w:type="dxa"/>
          </w:tcPr>
          <w:p>
            <w:pPr>
              <w:pStyle w:val="19"/>
              <w:spacing w:before="48"/>
              <w:ind w:left="191"/>
              <w:jc w:val="left"/>
              <w:rPr>
                <w:rFonts w:ascii="Times New Roman"/>
                <w:sz w:val="21"/>
              </w:rPr>
            </w:pPr>
            <w:r>
              <w:rPr>
                <w:rFonts w:ascii="Times New Roman"/>
                <w:sz w:val="21"/>
              </w:rPr>
              <w:t>52</w:t>
            </w:r>
          </w:p>
        </w:tc>
        <w:tc>
          <w:tcPr>
            <w:tcW w:w="709" w:type="dxa"/>
          </w:tcPr>
          <w:p>
            <w:pPr>
              <w:pStyle w:val="19"/>
              <w:spacing w:before="48"/>
              <w:ind w:left="9"/>
              <w:rPr>
                <w:rFonts w:ascii="Times New Roman"/>
                <w:sz w:val="21"/>
              </w:rPr>
            </w:pPr>
            <w:r>
              <w:rPr>
                <w:rFonts w:ascii="Times New Roman"/>
                <w:sz w:val="21"/>
              </w:rPr>
              <w:t>48.6</w:t>
            </w:r>
          </w:p>
        </w:tc>
        <w:tc>
          <w:tcPr>
            <w:tcW w:w="719" w:type="dxa"/>
          </w:tcPr>
          <w:p>
            <w:pPr>
              <w:pStyle w:val="19"/>
              <w:spacing w:before="48"/>
              <w:ind w:left="71" w:right="65"/>
              <w:rPr>
                <w:rFonts w:ascii="Times New Roman"/>
                <w:sz w:val="21"/>
              </w:rPr>
            </w:pPr>
            <w:r>
              <w:rPr>
                <w:rFonts w:ascii="Times New Roman"/>
                <w:sz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9"/>
              <w:spacing w:before="48"/>
              <w:ind w:left="269"/>
              <w:jc w:val="left"/>
              <w:rPr>
                <w:rFonts w:ascii="Times New Roman"/>
                <w:sz w:val="21"/>
              </w:rPr>
            </w:pPr>
            <w:r>
              <w:rPr>
                <w:rFonts w:ascii="Times New Roman"/>
                <w:w w:val="99"/>
                <w:sz w:val="21"/>
              </w:rPr>
              <w:t>9</w:t>
            </w:r>
          </w:p>
        </w:tc>
        <w:tc>
          <w:tcPr>
            <w:tcW w:w="1223" w:type="dxa"/>
          </w:tcPr>
          <w:p>
            <w:pPr>
              <w:pStyle w:val="19"/>
              <w:spacing w:before="35"/>
              <w:ind w:left="65" w:right="56"/>
              <w:rPr>
                <w:sz w:val="21"/>
              </w:rPr>
            </w:pPr>
            <w:r>
              <w:rPr>
                <w:sz w:val="21"/>
              </w:rPr>
              <w:t>卷扬机</w:t>
            </w:r>
          </w:p>
        </w:tc>
        <w:tc>
          <w:tcPr>
            <w:tcW w:w="701" w:type="dxa"/>
          </w:tcPr>
          <w:p>
            <w:pPr>
              <w:pStyle w:val="19"/>
              <w:spacing w:before="48"/>
              <w:ind w:left="13" w:right="4"/>
              <w:rPr>
                <w:rFonts w:ascii="Times New Roman"/>
                <w:sz w:val="21"/>
              </w:rPr>
            </w:pPr>
            <w:r>
              <w:rPr>
                <w:rFonts w:ascii="Times New Roman"/>
                <w:sz w:val="21"/>
              </w:rPr>
              <w:t>100</w:t>
            </w:r>
          </w:p>
        </w:tc>
        <w:tc>
          <w:tcPr>
            <w:tcW w:w="666" w:type="dxa"/>
          </w:tcPr>
          <w:p>
            <w:pPr>
              <w:pStyle w:val="19"/>
              <w:spacing w:before="48"/>
              <w:ind w:left="22" w:right="13"/>
              <w:rPr>
                <w:rFonts w:ascii="Times New Roman"/>
                <w:sz w:val="21"/>
              </w:rPr>
            </w:pPr>
            <w:r>
              <w:rPr>
                <w:rFonts w:ascii="Times New Roman"/>
                <w:sz w:val="21"/>
              </w:rPr>
              <w:t>73</w:t>
            </w:r>
          </w:p>
        </w:tc>
        <w:tc>
          <w:tcPr>
            <w:tcW w:w="821" w:type="dxa"/>
          </w:tcPr>
          <w:p>
            <w:pPr>
              <w:pStyle w:val="19"/>
              <w:spacing w:before="48"/>
              <w:ind w:left="73" w:right="63"/>
              <w:rPr>
                <w:rFonts w:ascii="Times New Roman"/>
                <w:sz w:val="21"/>
              </w:rPr>
            </w:pPr>
            <w:r>
              <w:rPr>
                <w:rFonts w:ascii="Times New Roman"/>
                <w:sz w:val="21"/>
              </w:rPr>
              <w:t>66.4</w:t>
            </w:r>
          </w:p>
        </w:tc>
        <w:tc>
          <w:tcPr>
            <w:tcW w:w="804" w:type="dxa"/>
          </w:tcPr>
          <w:p>
            <w:pPr>
              <w:pStyle w:val="19"/>
              <w:spacing w:before="48"/>
              <w:ind w:left="38" w:right="30"/>
              <w:rPr>
                <w:rFonts w:ascii="Times New Roman"/>
                <w:sz w:val="21"/>
              </w:rPr>
            </w:pPr>
            <w:r>
              <w:rPr>
                <w:rFonts w:ascii="Times New Roman"/>
                <w:sz w:val="21"/>
              </w:rPr>
              <w:t>62.8</w:t>
            </w:r>
          </w:p>
        </w:tc>
        <w:tc>
          <w:tcPr>
            <w:tcW w:w="628" w:type="dxa"/>
          </w:tcPr>
          <w:p>
            <w:pPr>
              <w:pStyle w:val="19"/>
              <w:spacing w:before="48"/>
              <w:ind w:left="31" w:right="20"/>
              <w:rPr>
                <w:rFonts w:ascii="Times New Roman"/>
                <w:sz w:val="21"/>
              </w:rPr>
            </w:pPr>
            <w:r>
              <w:rPr>
                <w:rFonts w:ascii="Times New Roman"/>
                <w:sz w:val="21"/>
              </w:rPr>
              <w:t>60</w:t>
            </w:r>
          </w:p>
        </w:tc>
        <w:tc>
          <w:tcPr>
            <w:tcW w:w="763" w:type="dxa"/>
          </w:tcPr>
          <w:p>
            <w:pPr>
              <w:pStyle w:val="19"/>
              <w:spacing w:before="48"/>
              <w:ind w:left="72" w:right="60"/>
              <w:rPr>
                <w:rFonts w:ascii="Times New Roman"/>
                <w:sz w:val="21"/>
              </w:rPr>
            </w:pPr>
            <w:r>
              <w:rPr>
                <w:rFonts w:ascii="Times New Roman"/>
                <w:sz w:val="21"/>
              </w:rPr>
              <w:t>58.2</w:t>
            </w:r>
          </w:p>
        </w:tc>
        <w:tc>
          <w:tcPr>
            <w:tcW w:w="593" w:type="dxa"/>
          </w:tcPr>
          <w:p>
            <w:pPr>
              <w:pStyle w:val="19"/>
              <w:spacing w:before="48"/>
              <w:ind w:left="191"/>
              <w:jc w:val="left"/>
              <w:rPr>
                <w:rFonts w:ascii="Times New Roman"/>
                <w:sz w:val="21"/>
              </w:rPr>
            </w:pPr>
            <w:r>
              <w:rPr>
                <w:rFonts w:ascii="Times New Roman"/>
                <w:sz w:val="21"/>
              </w:rPr>
              <w:t>52</w:t>
            </w:r>
          </w:p>
        </w:tc>
        <w:tc>
          <w:tcPr>
            <w:tcW w:w="709" w:type="dxa"/>
          </w:tcPr>
          <w:p>
            <w:pPr>
              <w:pStyle w:val="19"/>
              <w:spacing w:before="48"/>
              <w:ind w:left="9"/>
              <w:rPr>
                <w:rFonts w:ascii="Times New Roman"/>
                <w:sz w:val="21"/>
              </w:rPr>
            </w:pPr>
            <w:r>
              <w:rPr>
                <w:rFonts w:ascii="Times New Roman"/>
                <w:sz w:val="21"/>
              </w:rPr>
              <w:t>48.6</w:t>
            </w:r>
          </w:p>
        </w:tc>
        <w:tc>
          <w:tcPr>
            <w:tcW w:w="719" w:type="dxa"/>
          </w:tcPr>
          <w:p>
            <w:pPr>
              <w:pStyle w:val="19"/>
              <w:spacing w:before="48"/>
              <w:ind w:left="71" w:right="65"/>
              <w:rPr>
                <w:rFonts w:ascii="Times New Roman"/>
                <w:sz w:val="21"/>
              </w:rPr>
            </w:pPr>
            <w:r>
              <w:rPr>
                <w:rFonts w:ascii="Times New Roman"/>
                <w:sz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dxa"/>
          </w:tcPr>
          <w:p>
            <w:pPr>
              <w:pStyle w:val="19"/>
              <w:spacing w:before="49"/>
              <w:ind w:left="216"/>
              <w:jc w:val="left"/>
              <w:rPr>
                <w:rFonts w:ascii="Times New Roman"/>
                <w:sz w:val="21"/>
              </w:rPr>
            </w:pPr>
            <w:r>
              <w:rPr>
                <w:rFonts w:ascii="Times New Roman"/>
                <w:sz w:val="21"/>
              </w:rPr>
              <w:t>10</w:t>
            </w:r>
          </w:p>
        </w:tc>
        <w:tc>
          <w:tcPr>
            <w:tcW w:w="1223" w:type="dxa"/>
          </w:tcPr>
          <w:p>
            <w:pPr>
              <w:pStyle w:val="19"/>
              <w:spacing w:before="35"/>
              <w:ind w:left="65" w:right="56"/>
              <w:rPr>
                <w:sz w:val="21"/>
              </w:rPr>
            </w:pPr>
            <w:r>
              <w:rPr>
                <w:sz w:val="21"/>
              </w:rPr>
              <w:t>切割机</w:t>
            </w:r>
          </w:p>
        </w:tc>
        <w:tc>
          <w:tcPr>
            <w:tcW w:w="701" w:type="dxa"/>
          </w:tcPr>
          <w:p>
            <w:pPr>
              <w:pStyle w:val="19"/>
              <w:spacing w:before="49"/>
              <w:ind w:left="13" w:right="2"/>
              <w:rPr>
                <w:rFonts w:ascii="Times New Roman"/>
                <w:sz w:val="21"/>
              </w:rPr>
            </w:pPr>
            <w:r>
              <w:rPr>
                <w:rFonts w:ascii="Times New Roman"/>
                <w:sz w:val="21"/>
              </w:rPr>
              <w:t>110</w:t>
            </w:r>
          </w:p>
        </w:tc>
        <w:tc>
          <w:tcPr>
            <w:tcW w:w="666" w:type="dxa"/>
          </w:tcPr>
          <w:p>
            <w:pPr>
              <w:pStyle w:val="19"/>
              <w:spacing w:before="49"/>
              <w:ind w:left="22" w:right="13"/>
              <w:rPr>
                <w:rFonts w:ascii="Times New Roman"/>
                <w:sz w:val="21"/>
              </w:rPr>
            </w:pPr>
            <w:r>
              <w:rPr>
                <w:rFonts w:ascii="Times New Roman"/>
                <w:sz w:val="21"/>
              </w:rPr>
              <w:t>83</w:t>
            </w:r>
          </w:p>
        </w:tc>
        <w:tc>
          <w:tcPr>
            <w:tcW w:w="821" w:type="dxa"/>
          </w:tcPr>
          <w:p>
            <w:pPr>
              <w:pStyle w:val="19"/>
              <w:spacing w:before="49"/>
              <w:ind w:left="73" w:right="63"/>
              <w:rPr>
                <w:rFonts w:ascii="Times New Roman"/>
                <w:sz w:val="21"/>
              </w:rPr>
            </w:pPr>
            <w:r>
              <w:rPr>
                <w:rFonts w:ascii="Times New Roman"/>
                <w:sz w:val="21"/>
              </w:rPr>
              <w:t>76.4</w:t>
            </w:r>
          </w:p>
        </w:tc>
        <w:tc>
          <w:tcPr>
            <w:tcW w:w="804" w:type="dxa"/>
          </w:tcPr>
          <w:p>
            <w:pPr>
              <w:pStyle w:val="19"/>
              <w:spacing w:before="49"/>
              <w:ind w:left="38" w:right="30"/>
              <w:rPr>
                <w:rFonts w:ascii="Times New Roman"/>
                <w:sz w:val="21"/>
              </w:rPr>
            </w:pPr>
            <w:r>
              <w:rPr>
                <w:rFonts w:ascii="Times New Roman"/>
                <w:sz w:val="21"/>
              </w:rPr>
              <w:t>72.8</w:t>
            </w:r>
          </w:p>
        </w:tc>
        <w:tc>
          <w:tcPr>
            <w:tcW w:w="628" w:type="dxa"/>
          </w:tcPr>
          <w:p>
            <w:pPr>
              <w:pStyle w:val="19"/>
              <w:spacing w:before="49"/>
              <w:ind w:left="31" w:right="20"/>
              <w:rPr>
                <w:rFonts w:ascii="Times New Roman"/>
                <w:sz w:val="21"/>
              </w:rPr>
            </w:pPr>
            <w:r>
              <w:rPr>
                <w:rFonts w:ascii="Times New Roman"/>
                <w:sz w:val="21"/>
              </w:rPr>
              <w:t>70</w:t>
            </w:r>
          </w:p>
        </w:tc>
        <w:tc>
          <w:tcPr>
            <w:tcW w:w="763" w:type="dxa"/>
          </w:tcPr>
          <w:p>
            <w:pPr>
              <w:pStyle w:val="19"/>
              <w:spacing w:before="49"/>
              <w:ind w:left="72" w:right="60"/>
              <w:rPr>
                <w:rFonts w:ascii="Times New Roman"/>
                <w:sz w:val="21"/>
              </w:rPr>
            </w:pPr>
            <w:r>
              <w:rPr>
                <w:rFonts w:ascii="Times New Roman"/>
                <w:sz w:val="21"/>
              </w:rPr>
              <w:t>68.2</w:t>
            </w:r>
          </w:p>
        </w:tc>
        <w:tc>
          <w:tcPr>
            <w:tcW w:w="593" w:type="dxa"/>
          </w:tcPr>
          <w:p>
            <w:pPr>
              <w:pStyle w:val="19"/>
              <w:spacing w:before="49"/>
              <w:ind w:left="191"/>
              <w:jc w:val="left"/>
              <w:rPr>
                <w:rFonts w:ascii="Times New Roman"/>
                <w:sz w:val="21"/>
              </w:rPr>
            </w:pPr>
            <w:r>
              <w:rPr>
                <w:rFonts w:ascii="Times New Roman"/>
                <w:sz w:val="21"/>
              </w:rPr>
              <w:t>62</w:t>
            </w:r>
          </w:p>
        </w:tc>
        <w:tc>
          <w:tcPr>
            <w:tcW w:w="709" w:type="dxa"/>
          </w:tcPr>
          <w:p>
            <w:pPr>
              <w:pStyle w:val="19"/>
              <w:spacing w:before="49"/>
              <w:ind w:left="9"/>
              <w:rPr>
                <w:rFonts w:ascii="Times New Roman"/>
                <w:sz w:val="21"/>
              </w:rPr>
            </w:pPr>
            <w:r>
              <w:rPr>
                <w:rFonts w:ascii="Times New Roman"/>
                <w:sz w:val="21"/>
              </w:rPr>
              <w:t>58.6</w:t>
            </w:r>
          </w:p>
        </w:tc>
        <w:tc>
          <w:tcPr>
            <w:tcW w:w="719" w:type="dxa"/>
          </w:tcPr>
          <w:p>
            <w:pPr>
              <w:pStyle w:val="19"/>
              <w:spacing w:before="49"/>
              <w:ind w:left="71" w:right="65"/>
              <w:rPr>
                <w:rFonts w:ascii="Times New Roman"/>
                <w:sz w:val="21"/>
              </w:rPr>
            </w:pPr>
            <w:r>
              <w:rPr>
                <w:rFonts w:ascii="Times New Roman"/>
                <w:sz w:val="21"/>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68" w:type="dxa"/>
            <w:gridSpan w:val="2"/>
          </w:tcPr>
          <w:p>
            <w:pPr>
              <w:pStyle w:val="19"/>
              <w:spacing w:before="35"/>
              <w:ind w:left="408"/>
              <w:jc w:val="left"/>
              <w:rPr>
                <w:sz w:val="21"/>
              </w:rPr>
            </w:pPr>
            <w:r>
              <w:rPr>
                <w:sz w:val="21"/>
              </w:rPr>
              <w:t>昼间超标值</w:t>
            </w:r>
          </w:p>
        </w:tc>
        <w:tc>
          <w:tcPr>
            <w:tcW w:w="701" w:type="dxa"/>
          </w:tcPr>
          <w:p>
            <w:pPr>
              <w:pStyle w:val="19"/>
              <w:spacing w:before="35"/>
              <w:ind w:left="13" w:right="7"/>
              <w:rPr>
                <w:rFonts w:ascii="Times New Roman" w:eastAsia="Times New Roman"/>
                <w:sz w:val="21"/>
              </w:rPr>
            </w:pPr>
            <w:r>
              <w:rPr>
                <w:rFonts w:ascii="Times New Roman" w:eastAsia="Times New Roman"/>
                <w:sz w:val="21"/>
              </w:rPr>
              <w:t>30</w:t>
            </w:r>
            <w:r>
              <w:rPr>
                <w:sz w:val="21"/>
              </w:rPr>
              <w:t>～</w:t>
            </w:r>
            <w:r>
              <w:rPr>
                <w:rFonts w:ascii="Times New Roman" w:eastAsia="Times New Roman"/>
                <w:sz w:val="21"/>
              </w:rPr>
              <w:t>50</w:t>
            </w:r>
          </w:p>
        </w:tc>
        <w:tc>
          <w:tcPr>
            <w:tcW w:w="666" w:type="dxa"/>
          </w:tcPr>
          <w:p>
            <w:pPr>
              <w:pStyle w:val="19"/>
              <w:spacing w:before="35"/>
              <w:ind w:left="22" w:right="16"/>
              <w:rPr>
                <w:rFonts w:ascii="Times New Roman" w:eastAsia="Times New Roman"/>
                <w:sz w:val="21"/>
              </w:rPr>
            </w:pPr>
            <w:r>
              <w:rPr>
                <w:rFonts w:ascii="Times New Roman" w:eastAsia="Times New Roman"/>
                <w:sz w:val="21"/>
              </w:rPr>
              <w:t>3</w:t>
            </w:r>
            <w:r>
              <w:rPr>
                <w:sz w:val="21"/>
              </w:rPr>
              <w:t>～</w:t>
            </w:r>
            <w:r>
              <w:rPr>
                <w:rFonts w:ascii="Times New Roman" w:eastAsia="Times New Roman"/>
                <w:sz w:val="21"/>
              </w:rPr>
              <w:t>23</w:t>
            </w:r>
          </w:p>
        </w:tc>
        <w:tc>
          <w:tcPr>
            <w:tcW w:w="821" w:type="dxa"/>
          </w:tcPr>
          <w:p>
            <w:pPr>
              <w:pStyle w:val="19"/>
              <w:spacing w:before="35"/>
              <w:ind w:left="73" w:right="66"/>
              <w:rPr>
                <w:rFonts w:ascii="Times New Roman" w:eastAsia="Times New Roman"/>
                <w:sz w:val="21"/>
              </w:rPr>
            </w:pPr>
            <w:r>
              <w:rPr>
                <w:rFonts w:ascii="Times New Roman" w:eastAsia="Times New Roman"/>
                <w:sz w:val="21"/>
              </w:rPr>
              <w:t>0</w:t>
            </w:r>
            <w:r>
              <w:rPr>
                <w:rFonts w:hint="eastAsia" w:ascii="Times New Roman" w:eastAsia="宋体"/>
                <w:sz w:val="21"/>
                <w:lang w:val="en-US" w:eastAsia="zh-CN"/>
              </w:rPr>
              <w:t>~</w:t>
            </w:r>
            <w:r>
              <w:rPr>
                <w:rFonts w:ascii="Times New Roman" w:eastAsia="Times New Roman"/>
                <w:sz w:val="21"/>
              </w:rPr>
              <w:t>16.4</w:t>
            </w:r>
          </w:p>
        </w:tc>
        <w:tc>
          <w:tcPr>
            <w:tcW w:w="804" w:type="dxa"/>
          </w:tcPr>
          <w:p>
            <w:pPr>
              <w:pStyle w:val="19"/>
              <w:spacing w:before="35"/>
              <w:ind w:left="40" w:right="30"/>
              <w:rPr>
                <w:rFonts w:ascii="Times New Roman" w:eastAsia="Times New Roman"/>
                <w:sz w:val="21"/>
              </w:rPr>
            </w:pPr>
            <w:r>
              <w:rPr>
                <w:rFonts w:ascii="Times New Roman" w:eastAsia="Times New Roman"/>
                <w:sz w:val="21"/>
              </w:rPr>
              <w:t>0</w:t>
            </w:r>
            <w:r>
              <w:rPr>
                <w:sz w:val="21"/>
              </w:rPr>
              <w:t>～</w:t>
            </w:r>
            <w:r>
              <w:rPr>
                <w:rFonts w:ascii="Times New Roman" w:eastAsia="Times New Roman"/>
                <w:sz w:val="21"/>
              </w:rPr>
              <w:t>12.8</w:t>
            </w:r>
          </w:p>
        </w:tc>
        <w:tc>
          <w:tcPr>
            <w:tcW w:w="628" w:type="dxa"/>
          </w:tcPr>
          <w:p>
            <w:pPr>
              <w:pStyle w:val="19"/>
              <w:spacing w:before="35"/>
              <w:ind w:left="31" w:right="22"/>
              <w:rPr>
                <w:rFonts w:ascii="Times New Roman" w:eastAsia="Times New Roman"/>
                <w:sz w:val="21"/>
              </w:rPr>
            </w:pPr>
            <w:r>
              <w:rPr>
                <w:rFonts w:ascii="Times New Roman" w:eastAsia="Times New Roman"/>
                <w:sz w:val="21"/>
              </w:rPr>
              <w:t>0</w:t>
            </w:r>
            <w:r>
              <w:rPr>
                <w:sz w:val="21"/>
              </w:rPr>
              <w:t>～</w:t>
            </w:r>
            <w:r>
              <w:rPr>
                <w:rFonts w:ascii="Times New Roman" w:eastAsia="Times New Roman"/>
                <w:sz w:val="21"/>
              </w:rPr>
              <w:t>10</w:t>
            </w:r>
          </w:p>
        </w:tc>
        <w:tc>
          <w:tcPr>
            <w:tcW w:w="763" w:type="dxa"/>
          </w:tcPr>
          <w:p>
            <w:pPr>
              <w:pStyle w:val="19"/>
              <w:spacing w:before="35"/>
              <w:ind w:left="72" w:right="62"/>
              <w:rPr>
                <w:rFonts w:ascii="Times New Roman" w:eastAsia="Times New Roman"/>
                <w:sz w:val="21"/>
              </w:rPr>
            </w:pPr>
            <w:r>
              <w:rPr>
                <w:rFonts w:ascii="Times New Roman" w:eastAsia="Times New Roman"/>
                <w:sz w:val="21"/>
              </w:rPr>
              <w:t>0</w:t>
            </w:r>
            <w:r>
              <w:rPr>
                <w:sz w:val="21"/>
              </w:rPr>
              <w:t>～</w:t>
            </w:r>
            <w:r>
              <w:rPr>
                <w:rFonts w:ascii="Times New Roman" w:eastAsia="Times New Roman"/>
                <w:sz w:val="21"/>
              </w:rPr>
              <w:t>8.2</w:t>
            </w:r>
          </w:p>
        </w:tc>
        <w:tc>
          <w:tcPr>
            <w:tcW w:w="593" w:type="dxa"/>
          </w:tcPr>
          <w:p>
            <w:pPr>
              <w:pStyle w:val="19"/>
              <w:spacing w:before="35"/>
              <w:ind w:right="76"/>
              <w:jc w:val="right"/>
              <w:rPr>
                <w:rFonts w:ascii="Times New Roman" w:eastAsia="Times New Roman"/>
                <w:sz w:val="21"/>
              </w:rPr>
            </w:pPr>
            <w:r>
              <w:rPr>
                <w:rFonts w:ascii="Times New Roman" w:eastAsia="Times New Roman"/>
                <w:w w:val="95"/>
                <w:sz w:val="21"/>
              </w:rPr>
              <w:t>0</w:t>
            </w:r>
            <w:r>
              <w:rPr>
                <w:w w:val="95"/>
                <w:sz w:val="21"/>
              </w:rPr>
              <w:t>～</w:t>
            </w:r>
            <w:r>
              <w:rPr>
                <w:rFonts w:ascii="Times New Roman" w:eastAsia="Times New Roman"/>
                <w:w w:val="95"/>
                <w:sz w:val="21"/>
              </w:rPr>
              <w:t>2</w:t>
            </w:r>
          </w:p>
        </w:tc>
        <w:tc>
          <w:tcPr>
            <w:tcW w:w="709" w:type="dxa"/>
          </w:tcPr>
          <w:p>
            <w:pPr>
              <w:pStyle w:val="19"/>
              <w:spacing w:before="49"/>
              <w:ind w:left="9"/>
              <w:rPr>
                <w:rFonts w:ascii="Times New Roman"/>
                <w:sz w:val="21"/>
              </w:rPr>
            </w:pPr>
            <w:r>
              <w:rPr>
                <w:rFonts w:ascii="Times New Roman"/>
                <w:w w:val="99"/>
                <w:sz w:val="21"/>
              </w:rPr>
              <w:t>0</w:t>
            </w:r>
          </w:p>
        </w:tc>
        <w:tc>
          <w:tcPr>
            <w:tcW w:w="719" w:type="dxa"/>
          </w:tcPr>
          <w:p>
            <w:pPr>
              <w:pStyle w:val="19"/>
              <w:spacing w:before="49"/>
              <w:ind w:left="6"/>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68" w:type="dxa"/>
            <w:gridSpan w:val="2"/>
          </w:tcPr>
          <w:p>
            <w:pPr>
              <w:pStyle w:val="19"/>
              <w:spacing w:before="177"/>
              <w:ind w:left="408"/>
              <w:jc w:val="left"/>
              <w:rPr>
                <w:sz w:val="21"/>
              </w:rPr>
            </w:pPr>
            <w:r>
              <w:rPr>
                <w:sz w:val="21"/>
              </w:rPr>
              <w:t>夜间超标值</w:t>
            </w:r>
          </w:p>
        </w:tc>
        <w:tc>
          <w:tcPr>
            <w:tcW w:w="701" w:type="dxa"/>
          </w:tcPr>
          <w:p>
            <w:pPr>
              <w:pStyle w:val="19"/>
              <w:spacing w:before="177"/>
              <w:ind w:left="13" w:right="7"/>
              <w:rPr>
                <w:rFonts w:ascii="Times New Roman" w:eastAsia="Times New Roman"/>
                <w:sz w:val="21"/>
              </w:rPr>
            </w:pPr>
            <w:r>
              <w:rPr>
                <w:rFonts w:ascii="Times New Roman" w:eastAsia="Times New Roman"/>
                <w:sz w:val="21"/>
              </w:rPr>
              <w:t>45</w:t>
            </w:r>
            <w:r>
              <w:rPr>
                <w:sz w:val="21"/>
              </w:rPr>
              <w:t>～</w:t>
            </w:r>
            <w:r>
              <w:rPr>
                <w:rFonts w:ascii="Times New Roman" w:eastAsia="Times New Roman"/>
                <w:sz w:val="21"/>
              </w:rPr>
              <w:t>65</w:t>
            </w:r>
          </w:p>
        </w:tc>
        <w:tc>
          <w:tcPr>
            <w:tcW w:w="666" w:type="dxa"/>
          </w:tcPr>
          <w:p>
            <w:pPr>
              <w:pStyle w:val="19"/>
              <w:spacing w:before="21"/>
              <w:ind w:left="95"/>
              <w:jc w:val="left"/>
              <w:rPr>
                <w:rFonts w:ascii="Times New Roman"/>
                <w:sz w:val="21"/>
              </w:rPr>
            </w:pPr>
            <w:r>
              <w:rPr>
                <w:rFonts w:ascii="Times New Roman" w:eastAsia="Times New Roman"/>
                <w:sz w:val="21"/>
              </w:rPr>
              <w:t>18</w:t>
            </w:r>
            <w:r>
              <w:rPr>
                <w:rFonts w:hint="eastAsia" w:ascii="Times New Roman" w:eastAsia="宋体"/>
                <w:sz w:val="21"/>
                <w:lang w:val="en-US" w:eastAsia="zh-CN"/>
              </w:rPr>
              <w:t>~</w:t>
            </w:r>
            <w:r>
              <w:rPr>
                <w:rFonts w:ascii="Times New Roman"/>
                <w:sz w:val="21"/>
              </w:rPr>
              <w:t>38</w:t>
            </w:r>
          </w:p>
        </w:tc>
        <w:tc>
          <w:tcPr>
            <w:tcW w:w="821" w:type="dxa"/>
          </w:tcPr>
          <w:p>
            <w:pPr>
              <w:pStyle w:val="19"/>
              <w:spacing w:before="21"/>
              <w:ind w:left="151"/>
              <w:jc w:val="left"/>
              <w:rPr>
                <w:sz w:val="21"/>
              </w:rPr>
            </w:pPr>
            <w:r>
              <w:rPr>
                <w:rFonts w:ascii="Times New Roman" w:eastAsia="Times New Roman"/>
                <w:sz w:val="21"/>
              </w:rPr>
              <w:t>11.4</w:t>
            </w:r>
            <w:r>
              <w:rPr>
                <w:sz w:val="21"/>
              </w:rPr>
              <w:t>～</w:t>
            </w:r>
          </w:p>
          <w:p>
            <w:pPr>
              <w:pStyle w:val="19"/>
              <w:spacing w:before="57"/>
              <w:ind w:left="252"/>
              <w:jc w:val="left"/>
              <w:rPr>
                <w:rFonts w:ascii="Times New Roman"/>
                <w:sz w:val="21"/>
              </w:rPr>
            </w:pPr>
            <w:r>
              <w:rPr>
                <w:rFonts w:ascii="Times New Roman"/>
                <w:sz w:val="21"/>
              </w:rPr>
              <w:t>31.4</w:t>
            </w:r>
          </w:p>
        </w:tc>
        <w:tc>
          <w:tcPr>
            <w:tcW w:w="804" w:type="dxa"/>
          </w:tcPr>
          <w:p>
            <w:pPr>
              <w:pStyle w:val="19"/>
              <w:spacing w:before="21"/>
              <w:ind w:left="166"/>
              <w:jc w:val="left"/>
              <w:rPr>
                <w:sz w:val="21"/>
              </w:rPr>
            </w:pPr>
            <w:r>
              <w:rPr>
                <w:rFonts w:ascii="Times New Roman" w:eastAsia="Times New Roman"/>
                <w:sz w:val="21"/>
              </w:rPr>
              <w:t>7.8</w:t>
            </w:r>
            <w:r>
              <w:rPr>
                <w:sz w:val="21"/>
              </w:rPr>
              <w:t>～</w:t>
            </w:r>
          </w:p>
          <w:p>
            <w:pPr>
              <w:pStyle w:val="19"/>
              <w:spacing w:before="57"/>
              <w:ind w:left="216"/>
              <w:jc w:val="left"/>
              <w:rPr>
                <w:rFonts w:ascii="Times New Roman"/>
                <w:sz w:val="21"/>
              </w:rPr>
            </w:pPr>
            <w:r>
              <w:rPr>
                <w:rFonts w:ascii="Times New Roman"/>
                <w:sz w:val="21"/>
              </w:rPr>
              <w:t>27.8</w:t>
            </w:r>
          </w:p>
        </w:tc>
        <w:tc>
          <w:tcPr>
            <w:tcW w:w="628" w:type="dxa"/>
          </w:tcPr>
          <w:p>
            <w:pPr>
              <w:pStyle w:val="19"/>
              <w:spacing w:before="177"/>
              <w:ind w:left="31" w:right="22"/>
              <w:rPr>
                <w:rFonts w:ascii="Times New Roman" w:eastAsia="Times New Roman"/>
                <w:sz w:val="21"/>
              </w:rPr>
            </w:pPr>
            <w:r>
              <w:rPr>
                <w:rFonts w:ascii="Times New Roman" w:eastAsia="Times New Roman"/>
                <w:sz w:val="21"/>
              </w:rPr>
              <w:t>5</w:t>
            </w:r>
            <w:r>
              <w:rPr>
                <w:sz w:val="21"/>
              </w:rPr>
              <w:t>～</w:t>
            </w:r>
            <w:r>
              <w:rPr>
                <w:rFonts w:ascii="Times New Roman" w:eastAsia="Times New Roman"/>
                <w:sz w:val="21"/>
              </w:rPr>
              <w:t>25</w:t>
            </w:r>
          </w:p>
        </w:tc>
        <w:tc>
          <w:tcPr>
            <w:tcW w:w="763" w:type="dxa"/>
          </w:tcPr>
          <w:p>
            <w:pPr>
              <w:pStyle w:val="19"/>
              <w:spacing w:before="21"/>
              <w:ind w:left="145"/>
              <w:jc w:val="left"/>
              <w:rPr>
                <w:rFonts w:ascii="Times New Roman"/>
                <w:sz w:val="21"/>
              </w:rPr>
            </w:pPr>
            <w:r>
              <w:rPr>
                <w:rFonts w:ascii="Times New Roman" w:eastAsia="Times New Roman"/>
                <w:sz w:val="21"/>
              </w:rPr>
              <w:t>3.2</w:t>
            </w:r>
            <w:r>
              <w:rPr>
                <w:rFonts w:hint="eastAsia" w:ascii="Times New Roman" w:eastAsia="宋体"/>
                <w:sz w:val="21"/>
                <w:lang w:val="en-US" w:eastAsia="zh-CN"/>
              </w:rPr>
              <w:t>~</w:t>
            </w:r>
            <w:r>
              <w:rPr>
                <w:rFonts w:ascii="Times New Roman"/>
                <w:sz w:val="21"/>
              </w:rPr>
              <w:t>2</w:t>
            </w:r>
            <w:r>
              <w:rPr>
                <w:rFonts w:hint="eastAsia" w:ascii="Times New Roman"/>
                <w:sz w:val="21"/>
                <w:lang w:val="en-US" w:eastAsia="zh-CN"/>
              </w:rPr>
              <w:t>3</w:t>
            </w:r>
            <w:r>
              <w:rPr>
                <w:rFonts w:ascii="Times New Roman"/>
                <w:sz w:val="21"/>
              </w:rPr>
              <w:t>.2</w:t>
            </w:r>
          </w:p>
        </w:tc>
        <w:tc>
          <w:tcPr>
            <w:tcW w:w="593" w:type="dxa"/>
          </w:tcPr>
          <w:p>
            <w:pPr>
              <w:pStyle w:val="19"/>
              <w:spacing w:before="177"/>
              <w:ind w:right="23"/>
              <w:jc w:val="right"/>
              <w:rPr>
                <w:rFonts w:ascii="Times New Roman" w:eastAsia="Times New Roman"/>
                <w:sz w:val="21"/>
              </w:rPr>
            </w:pPr>
            <w:r>
              <w:rPr>
                <w:rFonts w:ascii="Times New Roman" w:eastAsia="Times New Roman"/>
                <w:w w:val="95"/>
                <w:sz w:val="21"/>
              </w:rPr>
              <w:t>0</w:t>
            </w:r>
            <w:r>
              <w:rPr>
                <w:w w:val="95"/>
                <w:sz w:val="21"/>
              </w:rPr>
              <w:t>～</w:t>
            </w:r>
            <w:r>
              <w:rPr>
                <w:rFonts w:ascii="Times New Roman" w:eastAsia="Times New Roman"/>
                <w:w w:val="95"/>
                <w:sz w:val="21"/>
              </w:rPr>
              <w:t>17</w:t>
            </w:r>
          </w:p>
        </w:tc>
        <w:tc>
          <w:tcPr>
            <w:tcW w:w="709" w:type="dxa"/>
          </w:tcPr>
          <w:p>
            <w:pPr>
              <w:pStyle w:val="19"/>
              <w:spacing w:before="177"/>
              <w:ind w:left="11"/>
              <w:rPr>
                <w:rFonts w:ascii="Times New Roman" w:eastAsia="Times New Roman"/>
                <w:sz w:val="21"/>
              </w:rPr>
            </w:pPr>
            <w:r>
              <w:rPr>
                <w:rFonts w:ascii="Times New Roman" w:eastAsia="Times New Roman"/>
                <w:sz w:val="21"/>
              </w:rPr>
              <w:t>0</w:t>
            </w:r>
            <w:r>
              <w:rPr>
                <w:sz w:val="21"/>
              </w:rPr>
              <w:t>～</w:t>
            </w:r>
            <w:r>
              <w:rPr>
                <w:rFonts w:ascii="Times New Roman" w:eastAsia="Times New Roman"/>
                <w:sz w:val="21"/>
              </w:rPr>
              <w:t>13.6</w:t>
            </w:r>
          </w:p>
        </w:tc>
        <w:tc>
          <w:tcPr>
            <w:tcW w:w="719" w:type="dxa"/>
          </w:tcPr>
          <w:p>
            <w:pPr>
              <w:pStyle w:val="19"/>
              <w:spacing w:before="177"/>
              <w:ind w:left="78" w:right="65"/>
              <w:rPr>
                <w:rFonts w:ascii="Times New Roman" w:eastAsia="Times New Roman"/>
                <w:sz w:val="21"/>
              </w:rPr>
            </w:pPr>
            <w:r>
              <w:rPr>
                <w:rFonts w:ascii="Times New Roman" w:eastAsia="Times New Roman"/>
                <w:sz w:val="21"/>
              </w:rPr>
              <w:t>0</w:t>
            </w:r>
            <w:r>
              <w:rPr>
                <w:sz w:val="21"/>
              </w:rPr>
              <w:t>～</w:t>
            </w:r>
            <w:r>
              <w:rPr>
                <w:rFonts w:ascii="Times New Roman" w:eastAsia="Times New Roman"/>
                <w:sz w:val="21"/>
              </w:rPr>
              <w:t>11</w:t>
            </w:r>
          </w:p>
        </w:tc>
      </w:tr>
    </w:tbl>
    <w:p>
      <w:pPr>
        <w:spacing w:after="0"/>
        <w:rPr>
          <w:rFonts w:ascii="Times New Roman" w:eastAsia="Times New Roman"/>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spacing w:before="161"/>
        <w:ind w:left="960" w:right="0" w:firstLine="0"/>
        <w:jc w:val="left"/>
        <w:rPr>
          <w:b/>
          <w:sz w:val="21"/>
        </w:rPr>
      </w:pPr>
      <w:r>
        <w:rPr>
          <w:b/>
          <w:sz w:val="21"/>
        </w:rPr>
        <w:t>注：按《建筑施工场界环境噪声排放标准》（</w:t>
      </w:r>
      <w:r>
        <w:rPr>
          <w:rFonts w:ascii="Times New Roman" w:eastAsia="Times New Roman"/>
          <w:b/>
          <w:sz w:val="21"/>
        </w:rPr>
        <w:t>GB12523-2011</w:t>
      </w:r>
      <w:r>
        <w:rPr>
          <w:b/>
          <w:sz w:val="21"/>
        </w:rPr>
        <w:t>）进行评价。</w:t>
      </w:r>
    </w:p>
    <w:p>
      <w:pPr>
        <w:pStyle w:val="7"/>
        <w:spacing w:before="181" w:line="364" w:lineRule="auto"/>
        <w:ind w:right="577" w:firstLine="480"/>
        <w:jc w:val="both"/>
        <w:rPr>
          <w:color w:val="0000FF"/>
        </w:rPr>
      </w:pPr>
      <w:r>
        <w:rPr>
          <w:color w:val="0000FF"/>
        </w:rPr>
        <w:t>按照《建筑施工场界环境噪声排放标准》（</w:t>
      </w:r>
      <w:r>
        <w:rPr>
          <w:rFonts w:ascii="Times New Roman" w:eastAsia="Times New Roman"/>
          <w:color w:val="0000FF"/>
        </w:rPr>
        <w:t>GB12523-2011</w:t>
      </w:r>
      <w:r>
        <w:rPr>
          <w:color w:val="0000FF"/>
        </w:rPr>
        <w:t>）的规定，昼间</w:t>
      </w:r>
      <w:r>
        <w:rPr>
          <w:color w:val="0000FF"/>
          <w:spacing w:val="-6"/>
        </w:rPr>
        <w:t>的厂界噪声限值为</w:t>
      </w:r>
      <w:r>
        <w:rPr>
          <w:rFonts w:ascii="Times New Roman" w:eastAsia="Times New Roman"/>
          <w:color w:val="0000FF"/>
        </w:rPr>
        <w:t>70dB</w:t>
      </w:r>
      <w:r>
        <w:rPr>
          <w:color w:val="0000FF"/>
          <w:spacing w:val="-5"/>
        </w:rPr>
        <w:t>，夜间厂界噪声限值为</w:t>
      </w:r>
      <w:r>
        <w:rPr>
          <w:rFonts w:ascii="Times New Roman" w:eastAsia="Times New Roman"/>
          <w:color w:val="0000FF"/>
        </w:rPr>
        <w:t>55dB</w:t>
      </w:r>
      <w:r>
        <w:rPr>
          <w:color w:val="0000FF"/>
          <w:spacing w:val="-18"/>
        </w:rPr>
        <w:t>。表</w:t>
      </w:r>
      <w:r>
        <w:rPr>
          <w:rFonts w:ascii="Times New Roman" w:eastAsia="Times New Roman"/>
          <w:color w:val="0000FF"/>
        </w:rPr>
        <w:t>5.1-1</w:t>
      </w:r>
      <w:r>
        <w:rPr>
          <w:color w:val="0000FF"/>
        </w:rPr>
        <w:t>表明：项目施工</w:t>
      </w:r>
      <w:r>
        <w:rPr>
          <w:color w:val="0000FF"/>
          <w:spacing w:val="-4"/>
        </w:rPr>
        <w:t>方阶段厂界昼间施工噪声于声源外约</w:t>
      </w:r>
      <w:r>
        <w:rPr>
          <w:rFonts w:ascii="Times New Roman" w:eastAsia="Times New Roman"/>
          <w:color w:val="0000FF"/>
        </w:rPr>
        <w:t>100m</w:t>
      </w:r>
      <w:r>
        <w:rPr>
          <w:color w:val="0000FF"/>
          <w:spacing w:val="-6"/>
        </w:rPr>
        <w:t>处达标，估算夜间于</w:t>
      </w:r>
      <w:r>
        <w:rPr>
          <w:rFonts w:ascii="Times New Roman" w:eastAsia="Times New Roman"/>
          <w:color w:val="0000FF"/>
        </w:rPr>
        <w:t>355m</w:t>
      </w:r>
      <w:r>
        <w:rPr>
          <w:color w:val="0000FF"/>
          <w:spacing w:val="-4"/>
        </w:rPr>
        <w:t>处达标；基础施工阶段厂界昼间施工噪声于声源外</w:t>
      </w:r>
      <w:r>
        <w:rPr>
          <w:rFonts w:ascii="Times New Roman" w:eastAsia="Times New Roman"/>
          <w:color w:val="0000FF"/>
        </w:rPr>
        <w:t>125m</w:t>
      </w:r>
      <w:r>
        <w:rPr>
          <w:color w:val="0000FF"/>
          <w:spacing w:val="-8"/>
        </w:rPr>
        <w:t>处达标，夜间噪声达标距离估算</w:t>
      </w:r>
      <w:r>
        <w:rPr>
          <w:color w:val="0000FF"/>
          <w:spacing w:val="-21"/>
        </w:rPr>
        <w:t>在</w:t>
      </w:r>
      <w:r>
        <w:rPr>
          <w:rFonts w:ascii="Times New Roman" w:eastAsia="Times New Roman"/>
          <w:color w:val="0000FF"/>
        </w:rPr>
        <w:t>210m</w:t>
      </w:r>
      <w:r>
        <w:rPr>
          <w:color w:val="0000FF"/>
          <w:spacing w:val="-3"/>
        </w:rPr>
        <w:t>；主体结构阶段昼间厂界施工噪声于声源外</w:t>
      </w:r>
      <w:r>
        <w:rPr>
          <w:rFonts w:ascii="Times New Roman" w:eastAsia="Times New Roman"/>
          <w:color w:val="0000FF"/>
        </w:rPr>
        <w:t>100m</w:t>
      </w:r>
      <w:r>
        <w:rPr>
          <w:color w:val="0000FF"/>
        </w:rPr>
        <w:t>处达标，估算夜间于</w:t>
      </w:r>
      <w:r>
        <w:rPr>
          <w:rFonts w:ascii="Times New Roman" w:eastAsia="Times New Roman"/>
          <w:color w:val="0000FF"/>
        </w:rPr>
        <w:t>380m</w:t>
      </w:r>
      <w:r>
        <w:rPr>
          <w:color w:val="0000FF"/>
          <w:spacing w:val="-3"/>
        </w:rPr>
        <w:t>处达标；装修阶段施工噪声昼间于声源外</w:t>
      </w:r>
      <w:r>
        <w:rPr>
          <w:rFonts w:ascii="Times New Roman" w:eastAsia="Times New Roman"/>
          <w:color w:val="0000FF"/>
        </w:rPr>
        <w:t>40m</w:t>
      </w:r>
      <w:r>
        <w:rPr>
          <w:color w:val="0000FF"/>
          <w:spacing w:val="-8"/>
        </w:rPr>
        <w:t>处达标，夜间于</w:t>
      </w:r>
      <w:r>
        <w:rPr>
          <w:rFonts w:ascii="Times New Roman" w:eastAsia="Times New Roman"/>
          <w:color w:val="0000FF"/>
        </w:rPr>
        <w:t>100m</w:t>
      </w:r>
      <w:r>
        <w:rPr>
          <w:color w:val="0000FF"/>
          <w:spacing w:val="-8"/>
        </w:rPr>
        <w:t>处达</w:t>
      </w:r>
      <w:r>
        <w:rPr>
          <w:color w:val="0000FF"/>
          <w:spacing w:val="-10"/>
        </w:rPr>
        <w:t>标。项目施工机械在靠近厂界边施工时，昼夜施工厂界噪声超过《建筑施工厂界</w:t>
      </w:r>
      <w:r>
        <w:rPr>
          <w:color w:val="0000FF"/>
        </w:rPr>
        <w:t>环境噪声排放标准》（</w:t>
      </w:r>
      <w:r>
        <w:rPr>
          <w:rFonts w:ascii="Times New Roman" w:eastAsia="Times New Roman"/>
          <w:color w:val="0000FF"/>
        </w:rPr>
        <w:t>GB12523-2011</w:t>
      </w:r>
      <w:r>
        <w:rPr>
          <w:color w:val="0000FF"/>
        </w:rPr>
        <w:t>）中限值的要求，本项目评价范围内声环</w:t>
      </w:r>
      <w:r>
        <w:rPr>
          <w:color w:val="0000FF"/>
          <w:spacing w:val="-4"/>
        </w:rPr>
        <w:t>境敏感目标是距离厂界西北侧约</w:t>
      </w:r>
      <w:r>
        <w:rPr>
          <w:rFonts w:hint="eastAsia" w:ascii="Times New Roman" w:eastAsia="宋体"/>
          <w:color w:val="0000FF"/>
          <w:lang w:val="en-US" w:eastAsia="zh-CN"/>
        </w:rPr>
        <w:t>1.6</w:t>
      </w:r>
      <w:r>
        <w:rPr>
          <w:rFonts w:ascii="Times New Roman" w:eastAsia="Times New Roman"/>
          <w:color w:val="0000FF"/>
        </w:rPr>
        <w:t>km</w:t>
      </w:r>
      <w:r>
        <w:rPr>
          <w:color w:val="0000FF"/>
          <w:spacing w:val="-12"/>
        </w:rPr>
        <w:t>处村庄</w:t>
      </w:r>
      <w:r>
        <w:rPr>
          <w:color w:val="0000FF"/>
        </w:rPr>
        <w:t>（</w:t>
      </w:r>
      <w:r>
        <w:rPr>
          <w:rFonts w:hint="eastAsia"/>
          <w:color w:val="0000FF"/>
          <w:lang w:val="en-US" w:eastAsia="zh-CN"/>
        </w:rPr>
        <w:t>萨依吾斯塘村</w:t>
      </w:r>
      <w:r>
        <w:rPr>
          <w:color w:val="0000FF"/>
          <w:spacing w:val="-34"/>
        </w:rPr>
        <w:t>），</w:t>
      </w:r>
      <w:r>
        <w:rPr>
          <w:color w:val="0000FF"/>
          <w:spacing w:val="-4"/>
        </w:rPr>
        <w:t>施工期噪声</w:t>
      </w:r>
      <w:r>
        <w:rPr>
          <w:color w:val="0000FF"/>
        </w:rPr>
        <w:t>经衰减后对其影响甚微。</w:t>
      </w:r>
    </w:p>
    <w:p>
      <w:pPr>
        <w:pStyle w:val="7"/>
        <w:spacing w:before="6"/>
        <w:ind w:left="1020"/>
      </w:pPr>
      <w:r>
        <w:t>根据项目施工期的施工特点，提出如下噪声防治措施：</w:t>
      </w:r>
    </w:p>
    <w:p>
      <w:pPr>
        <w:pStyle w:val="18"/>
        <w:numPr>
          <w:ilvl w:val="0"/>
          <w:numId w:val="48"/>
        </w:numPr>
        <w:tabs>
          <w:tab w:val="left" w:pos="1621"/>
        </w:tabs>
        <w:spacing w:before="160" w:after="0" w:line="364" w:lineRule="auto"/>
        <w:ind w:left="540" w:right="577" w:firstLine="480"/>
        <w:jc w:val="left"/>
        <w:rPr>
          <w:sz w:val="24"/>
        </w:rPr>
      </w:pPr>
      <w:r>
        <w:rPr>
          <w:spacing w:val="-1"/>
          <w:sz w:val="24"/>
        </w:rPr>
        <w:t>施工单位施工过程中尽量避免在靠近厂界处的同一地点安排大量动力</w:t>
      </w:r>
      <w:r>
        <w:rPr>
          <w:sz w:val="24"/>
        </w:rPr>
        <w:t>机械设备施工，以减缓局部叠加声级过高造成的厂界噪声超标的风险。</w:t>
      </w:r>
    </w:p>
    <w:p>
      <w:pPr>
        <w:pStyle w:val="18"/>
        <w:numPr>
          <w:ilvl w:val="0"/>
          <w:numId w:val="48"/>
        </w:numPr>
        <w:tabs>
          <w:tab w:val="left" w:pos="1621"/>
        </w:tabs>
        <w:spacing w:before="1" w:after="0" w:line="364" w:lineRule="auto"/>
        <w:ind w:left="540" w:right="577" w:firstLine="480"/>
        <w:jc w:val="both"/>
        <w:rPr>
          <w:sz w:val="24"/>
        </w:rPr>
      </w:pPr>
      <w:r>
        <w:rPr>
          <w:spacing w:val="-1"/>
          <w:sz w:val="24"/>
        </w:rPr>
        <w:t>设备选型上，在不影响施工质量的前提下，在土石方、装修等施工过</w:t>
      </w:r>
      <w:r>
        <w:rPr>
          <w:spacing w:val="-8"/>
          <w:sz w:val="24"/>
        </w:rPr>
        <w:t>程应采用低噪声、低振动的设备，对施工设备进行定期维修保养，避免因设备性</w:t>
      </w:r>
      <w:r>
        <w:rPr>
          <w:sz w:val="24"/>
        </w:rPr>
        <w:t>能减退而使噪声增强的现象发生。</w:t>
      </w:r>
    </w:p>
    <w:p>
      <w:pPr>
        <w:pStyle w:val="5"/>
        <w:numPr>
          <w:ilvl w:val="2"/>
          <w:numId w:val="46"/>
        </w:numPr>
        <w:tabs>
          <w:tab w:val="left" w:pos="1241"/>
        </w:tabs>
        <w:spacing w:before="116" w:after="0" w:line="240" w:lineRule="auto"/>
        <w:ind w:left="1240" w:right="0" w:hanging="701"/>
        <w:jc w:val="left"/>
      </w:pPr>
      <w:bookmarkStart w:id="272" w:name="5.1.5 施工期固体废物影响分析"/>
      <w:bookmarkEnd w:id="272"/>
      <w:bookmarkStart w:id="273" w:name="5.1.5 施工期固体废物影响分析"/>
      <w:bookmarkEnd w:id="273"/>
      <w:r>
        <w:t>施工期固体废物影响分析</w:t>
      </w:r>
    </w:p>
    <w:p>
      <w:pPr>
        <w:pStyle w:val="7"/>
        <w:spacing w:before="7"/>
        <w:ind w:left="0"/>
        <w:rPr>
          <w:b/>
          <w:sz w:val="21"/>
        </w:rPr>
      </w:pPr>
    </w:p>
    <w:p>
      <w:pPr>
        <w:pStyle w:val="7"/>
        <w:spacing w:line="364" w:lineRule="auto"/>
        <w:ind w:right="457" w:firstLine="480"/>
      </w:pPr>
      <w:r>
        <w:rPr>
          <w:spacing w:val="-16"/>
        </w:rPr>
        <w:t>由工程分析可知，本项目施工期产生的土石方全部回填和筑路，无弃土产生，</w:t>
      </w:r>
      <w:r>
        <w:rPr>
          <w:spacing w:val="-3"/>
        </w:rPr>
        <w:t>施工期间固体废物主要源于施工人员生活垃圾和施工场地产生的建筑垃圾</w:t>
      </w:r>
      <w:r>
        <w:t>（废弃砖块、废钢筋等）。</w:t>
      </w:r>
    </w:p>
    <w:p>
      <w:pPr>
        <w:pStyle w:val="18"/>
        <w:numPr>
          <w:ilvl w:val="0"/>
          <w:numId w:val="49"/>
        </w:numPr>
        <w:tabs>
          <w:tab w:val="left" w:pos="1621"/>
        </w:tabs>
        <w:spacing w:before="2" w:after="0" w:line="240" w:lineRule="auto"/>
        <w:ind w:left="1621" w:right="0" w:hanging="601"/>
        <w:jc w:val="left"/>
        <w:rPr>
          <w:sz w:val="24"/>
        </w:rPr>
      </w:pPr>
      <w:r>
        <w:rPr>
          <w:sz w:val="24"/>
        </w:rPr>
        <w:t>建筑作业固体废物</w:t>
      </w:r>
    </w:p>
    <w:p>
      <w:pPr>
        <w:pStyle w:val="7"/>
        <w:spacing w:before="160" w:line="364" w:lineRule="auto"/>
        <w:ind w:right="577" w:firstLine="480"/>
        <w:jc w:val="both"/>
      </w:pPr>
      <w:r>
        <w:rPr>
          <w:spacing w:val="-8"/>
        </w:rPr>
        <w:t>建筑施工中会产生碎砖块、砂浆、桩头、水泥、钢筋、涂料和包装材料等建</w:t>
      </w:r>
      <w:r>
        <w:rPr>
          <w:spacing w:val="-10"/>
        </w:rPr>
        <w:t>筑垃圾。建筑废弃物在项目施工开工前应签订环保责任书，由各施工单位负责施工期固体废弃物的处理，施工产生的固体废物中遗留在现场的建筑废物要及时清运或回填，将建筑垃圾运至指定地点。各施工单位要加强施工管理，对施工产生</w:t>
      </w:r>
      <w:r>
        <w:t>的生活垃圾和建筑垃圾不得随意倾倒。</w:t>
      </w:r>
    </w:p>
    <w:p>
      <w:pPr>
        <w:pStyle w:val="18"/>
        <w:numPr>
          <w:ilvl w:val="0"/>
          <w:numId w:val="49"/>
        </w:numPr>
        <w:tabs>
          <w:tab w:val="left" w:pos="1621"/>
        </w:tabs>
        <w:spacing w:before="3" w:after="0" w:line="240" w:lineRule="auto"/>
        <w:ind w:left="1621" w:right="0" w:hanging="601"/>
        <w:jc w:val="left"/>
        <w:rPr>
          <w:sz w:val="24"/>
        </w:rPr>
      </w:pPr>
      <w:r>
        <w:rPr>
          <w:sz w:val="24"/>
        </w:rPr>
        <w:t>生活垃圾</w:t>
      </w:r>
    </w:p>
    <w:p>
      <w:pPr>
        <w:pStyle w:val="7"/>
        <w:spacing w:before="161"/>
        <w:ind w:left="1020"/>
      </w:pPr>
      <w:r>
        <w:t>本项目施工期施工人员约</w:t>
      </w:r>
      <w:r>
        <w:rPr>
          <w:rFonts w:ascii="Times New Roman" w:eastAsia="Times New Roman"/>
        </w:rPr>
        <w:t>120</w:t>
      </w:r>
      <w:r>
        <w:t>人，均为当地村民，均不在项目区内食宿，施</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工场地内不设置施工营地，无生活垃圾产生。</w:t>
      </w:r>
    </w:p>
    <w:p>
      <w:pPr>
        <w:pStyle w:val="7"/>
        <w:spacing w:before="160" w:line="364" w:lineRule="auto"/>
        <w:ind w:right="577" w:firstLine="480"/>
      </w:pPr>
      <w:r>
        <w:rPr>
          <w:spacing w:val="-6"/>
        </w:rPr>
        <w:t>施工期项目的固体废弃物排放是暂时的，随着施工的结束而减小，通过积极</w:t>
      </w:r>
      <w:r>
        <w:t>有效的施工管理，施工期固体废弃物对环境造成的影响不大。</w:t>
      </w:r>
    </w:p>
    <w:p>
      <w:pPr>
        <w:pStyle w:val="7"/>
        <w:spacing w:before="1" w:line="364" w:lineRule="auto"/>
        <w:ind w:right="577" w:firstLine="480"/>
      </w:pPr>
      <w:r>
        <w:rPr>
          <w:spacing w:val="-6"/>
        </w:rPr>
        <w:t>建筑垃圾的影响主要体现在其堆放过程中，在风力作用下，引起垃圾及粉尘</w:t>
      </w:r>
      <w:r>
        <w:t>随风飘散，对空气造成污染影响。</w:t>
      </w:r>
    </w:p>
    <w:p>
      <w:pPr>
        <w:pStyle w:val="7"/>
        <w:spacing w:before="2"/>
        <w:ind w:left="1020"/>
      </w:pPr>
      <w:r>
        <w:t>针对项目施工期固体废弃物种类及特点，提出如下防治措施：</w:t>
      </w:r>
    </w:p>
    <w:p>
      <w:pPr>
        <w:pStyle w:val="18"/>
        <w:numPr>
          <w:ilvl w:val="0"/>
          <w:numId w:val="50"/>
        </w:numPr>
        <w:tabs>
          <w:tab w:val="left" w:pos="1621"/>
        </w:tabs>
        <w:spacing w:before="160" w:after="0" w:line="364" w:lineRule="auto"/>
        <w:ind w:left="540" w:right="457" w:firstLine="480"/>
        <w:jc w:val="left"/>
        <w:rPr>
          <w:sz w:val="24"/>
        </w:rPr>
      </w:pPr>
      <w:r>
        <w:rPr>
          <w:sz w:val="24"/>
        </w:rPr>
        <w:t>临时土石方于施工区就近堆放，采取覆盖围护措施，防止大风和大雨</w:t>
      </w:r>
      <w:r>
        <w:rPr>
          <w:spacing w:val="-15"/>
          <w:sz w:val="24"/>
        </w:rPr>
        <w:t>时造成的水土流失。堆放前设置挡土墙，堆放后表土覆盖防尘布，抑制扬尘产生。</w:t>
      </w:r>
    </w:p>
    <w:p>
      <w:pPr>
        <w:pStyle w:val="18"/>
        <w:numPr>
          <w:ilvl w:val="0"/>
          <w:numId w:val="50"/>
        </w:numPr>
        <w:tabs>
          <w:tab w:val="left" w:pos="1621"/>
        </w:tabs>
        <w:spacing w:before="1" w:after="0" w:line="364" w:lineRule="auto"/>
        <w:ind w:left="540" w:right="457" w:firstLine="480"/>
        <w:jc w:val="left"/>
        <w:rPr>
          <w:sz w:val="24"/>
        </w:rPr>
      </w:pPr>
      <w:r>
        <w:rPr>
          <w:spacing w:val="-6"/>
          <w:sz w:val="24"/>
        </w:rPr>
        <w:t>对施工中产生的不能再利用的建筑垃圾，应进行分类收集、分类管理，能够回收利用的尽量回收再利用，以节约资源；对于不能回收利用的要进行收集</w:t>
      </w:r>
      <w:r>
        <w:rPr>
          <w:spacing w:val="-11"/>
          <w:sz w:val="24"/>
        </w:rPr>
        <w:t>并于施工区内固定地点集中暂存，施工完成后及时处理，拉运至当地市政部门指定的建筑垃圾填埋场填埋处置或委托处置建筑垃圾的单位及时外处置。</w:t>
      </w:r>
    </w:p>
    <w:p>
      <w:pPr>
        <w:pStyle w:val="18"/>
        <w:numPr>
          <w:ilvl w:val="0"/>
          <w:numId w:val="50"/>
        </w:numPr>
        <w:tabs>
          <w:tab w:val="left" w:pos="1621"/>
        </w:tabs>
        <w:spacing w:before="3" w:after="0" w:line="364" w:lineRule="auto"/>
        <w:ind w:left="540" w:right="485" w:firstLine="480"/>
        <w:jc w:val="left"/>
        <w:rPr>
          <w:sz w:val="24"/>
        </w:rPr>
      </w:pPr>
      <w:r>
        <w:rPr>
          <w:sz w:val="24"/>
        </w:rPr>
        <w:t>车辆运输建筑垃圾时，须采取覆盖措施，不得沿途漏撒；施工单位应</w:t>
      </w:r>
      <w:r>
        <w:rPr>
          <w:spacing w:val="-12"/>
          <w:sz w:val="24"/>
        </w:rPr>
        <w:t>在施工前</w:t>
      </w:r>
      <w:r>
        <w:rPr>
          <w:rFonts w:ascii="Times New Roman" w:eastAsia="Times New Roman"/>
          <w:sz w:val="24"/>
        </w:rPr>
        <w:t>5</w:t>
      </w:r>
      <w:r>
        <w:rPr>
          <w:spacing w:val="-1"/>
          <w:sz w:val="24"/>
        </w:rPr>
        <w:t>日向当地建设局申报工程垃圾处置计划，如实填报建筑垃圾的种类、</w:t>
      </w:r>
      <w:r>
        <w:rPr>
          <w:sz w:val="24"/>
        </w:rPr>
        <w:t>数量、运输路线及处置方案等事项，并与有关管理部门签订环境卫生责任书。</w:t>
      </w:r>
    </w:p>
    <w:p>
      <w:pPr>
        <w:pStyle w:val="18"/>
        <w:numPr>
          <w:ilvl w:val="0"/>
          <w:numId w:val="50"/>
        </w:numPr>
        <w:tabs>
          <w:tab w:val="left" w:pos="1621"/>
        </w:tabs>
        <w:spacing w:before="2" w:after="0" w:line="364" w:lineRule="auto"/>
        <w:ind w:left="540" w:right="577" w:firstLine="480"/>
        <w:jc w:val="both"/>
        <w:rPr>
          <w:sz w:val="24"/>
        </w:rPr>
      </w:pPr>
      <w:r>
        <w:rPr>
          <w:spacing w:val="-1"/>
          <w:sz w:val="24"/>
        </w:rPr>
        <w:t>施工部门应当持当地建设局核发的处置证明，向运输单位办理建筑垃</w:t>
      </w:r>
      <w:r>
        <w:rPr>
          <w:spacing w:val="-10"/>
          <w:sz w:val="24"/>
        </w:rPr>
        <w:t>圾托运手续。运输车辆在运输建筑垃圾时应携带处置证明，接收渣土管理部门的</w:t>
      </w:r>
      <w:r>
        <w:rPr>
          <w:sz w:val="24"/>
        </w:rPr>
        <w:t>检查，运输路线应按渣土管理部门会同公安、交通管理部门规定的线路运输。</w:t>
      </w:r>
    </w:p>
    <w:p>
      <w:pPr>
        <w:pStyle w:val="18"/>
        <w:numPr>
          <w:ilvl w:val="0"/>
          <w:numId w:val="50"/>
        </w:numPr>
        <w:tabs>
          <w:tab w:val="left" w:pos="1621"/>
        </w:tabs>
        <w:spacing w:before="1" w:after="0" w:line="364" w:lineRule="auto"/>
        <w:ind w:left="540" w:right="577" w:firstLine="480"/>
        <w:jc w:val="both"/>
        <w:rPr>
          <w:sz w:val="24"/>
        </w:rPr>
      </w:pPr>
      <w:r>
        <w:rPr>
          <w:spacing w:val="-9"/>
          <w:sz w:val="24"/>
        </w:rPr>
        <w:t>工程完工后</w:t>
      </w:r>
      <w:r>
        <w:rPr>
          <w:rFonts w:ascii="Times New Roman" w:eastAsia="Times New Roman"/>
          <w:sz w:val="24"/>
        </w:rPr>
        <w:t>1</w:t>
      </w:r>
      <w:r>
        <w:rPr>
          <w:spacing w:val="-1"/>
          <w:sz w:val="24"/>
        </w:rPr>
        <w:t>个月内，应当将施工场地的剩余建筑垃圾处置干净，不</w:t>
      </w:r>
      <w:r>
        <w:rPr>
          <w:sz w:val="24"/>
        </w:rPr>
        <w:t>得占用道路或其他类型土地来堆放建筑垃圾。</w:t>
      </w:r>
    </w:p>
    <w:p>
      <w:pPr>
        <w:pStyle w:val="7"/>
        <w:spacing w:before="2"/>
        <w:ind w:left="1020"/>
      </w:pPr>
      <w:r>
        <w:t>采取以上措施后，施工期固体废物对周围环境影响较小。</w:t>
      </w:r>
    </w:p>
    <w:p>
      <w:pPr>
        <w:pStyle w:val="7"/>
        <w:spacing w:before="4"/>
        <w:ind w:left="0"/>
        <w:rPr>
          <w:sz w:val="21"/>
        </w:rPr>
      </w:pPr>
    </w:p>
    <w:p>
      <w:pPr>
        <w:pStyle w:val="5"/>
        <w:numPr>
          <w:ilvl w:val="2"/>
          <w:numId w:val="51"/>
        </w:numPr>
        <w:tabs>
          <w:tab w:val="left" w:pos="1241"/>
        </w:tabs>
        <w:spacing w:before="1" w:after="0" w:line="240" w:lineRule="auto"/>
        <w:ind w:left="1240" w:right="0" w:hanging="701"/>
        <w:jc w:val="left"/>
      </w:pPr>
      <w:bookmarkStart w:id="274" w:name="5.1.5 生态影响分析"/>
      <w:bookmarkEnd w:id="274"/>
      <w:bookmarkStart w:id="275" w:name="5.1.5 生态影响分析"/>
      <w:bookmarkEnd w:id="275"/>
      <w:r>
        <w:t>生态影响分析</w:t>
      </w:r>
    </w:p>
    <w:p>
      <w:pPr>
        <w:pStyle w:val="7"/>
        <w:spacing w:before="7"/>
        <w:ind w:left="0"/>
        <w:rPr>
          <w:b/>
          <w:sz w:val="21"/>
        </w:rPr>
      </w:pPr>
    </w:p>
    <w:p>
      <w:pPr>
        <w:pStyle w:val="7"/>
        <w:spacing w:line="364" w:lineRule="auto"/>
        <w:ind w:right="577" w:firstLine="480"/>
        <w:jc w:val="both"/>
      </w:pPr>
      <w:r>
        <w:rPr>
          <w:spacing w:val="2"/>
        </w:rPr>
        <w:t>项目施工期对生态环境的影响主要是场地平整时破坏了项目区原有土壤理</w:t>
      </w:r>
      <w:r>
        <w:rPr>
          <w:spacing w:val="-5"/>
        </w:rPr>
        <w:t>化性质和可能产生的水土流失影响。项目建设期对生态的影响主要体现在因施工</w:t>
      </w:r>
      <w:r>
        <w:t>造成的区域水土流失。</w:t>
      </w:r>
    </w:p>
    <w:p>
      <w:pPr>
        <w:pStyle w:val="18"/>
        <w:numPr>
          <w:ilvl w:val="3"/>
          <w:numId w:val="51"/>
        </w:numPr>
        <w:tabs>
          <w:tab w:val="left" w:pos="1621"/>
        </w:tabs>
        <w:spacing w:before="2" w:after="0" w:line="240" w:lineRule="auto"/>
        <w:ind w:left="1621" w:right="0" w:hanging="601"/>
        <w:jc w:val="left"/>
        <w:rPr>
          <w:sz w:val="24"/>
        </w:rPr>
      </w:pPr>
      <w:r>
        <w:rPr>
          <w:sz w:val="24"/>
        </w:rPr>
        <w:t>占地影响</w:t>
      </w:r>
    </w:p>
    <w:p>
      <w:pPr>
        <w:pStyle w:val="7"/>
        <w:spacing w:before="160"/>
        <w:ind w:left="1020"/>
        <w:rPr>
          <w:rFonts w:ascii="Times New Roman" w:eastAsia="Times New Roman"/>
          <w:color w:val="0000FF"/>
          <w:sz w:val="15"/>
        </w:rPr>
      </w:pPr>
      <w:r>
        <w:rPr>
          <w:color w:val="0000FF"/>
          <w:spacing w:val="-9"/>
        </w:rPr>
        <w:t>项目占地包括永久性占地和临时性占用，拟建项目永久占地面积约</w:t>
      </w:r>
      <w:r>
        <w:rPr>
          <w:rFonts w:hint="eastAsia"/>
          <w:color w:val="0000FF"/>
          <w:spacing w:val="-9"/>
          <w:lang w:val="en-US" w:eastAsia="zh-CN"/>
        </w:rPr>
        <w:t>2.073</w:t>
      </w:r>
      <w:r>
        <w:rPr>
          <w:rFonts w:ascii="Times New Roman" w:eastAsia="Times New Roman"/>
          <w:color w:val="0000FF"/>
        </w:rPr>
        <w:t>hm</w:t>
      </w:r>
      <w:r>
        <w:rPr>
          <w:rFonts w:ascii="Times New Roman" w:eastAsia="Times New Roman"/>
          <w:color w:val="0000FF"/>
          <w:position w:val="8"/>
          <w:sz w:val="15"/>
        </w:rPr>
        <w:t>2</w:t>
      </w:r>
    </w:p>
    <w:p>
      <w:pPr>
        <w:pStyle w:val="7"/>
        <w:spacing w:before="143" w:line="364" w:lineRule="auto"/>
        <w:ind w:right="577"/>
        <w:jc w:val="both"/>
        <w:rPr>
          <w:color w:val="0000FF"/>
        </w:rPr>
      </w:pPr>
      <w:r>
        <w:rPr>
          <w:color w:val="0000FF"/>
        </w:rPr>
        <w:t>（</w:t>
      </w:r>
      <w:r>
        <w:rPr>
          <w:rFonts w:hint="eastAsia"/>
          <w:color w:val="0000FF"/>
          <w:lang w:val="en-US" w:eastAsia="zh-CN"/>
        </w:rPr>
        <w:t>31.095</w:t>
      </w:r>
      <w:r>
        <w:rPr>
          <w:color w:val="0000FF"/>
        </w:rPr>
        <w:t>亩），</w:t>
      </w:r>
      <w:r>
        <w:rPr>
          <w:color w:val="0000FF"/>
          <w:spacing w:val="-1"/>
        </w:rPr>
        <w:t>永久性占地改变了原有土地使用功能，原有植被大部分不复存在。</w:t>
      </w:r>
      <w:r>
        <w:rPr>
          <w:color w:val="0000FF"/>
          <w:spacing w:val="-7"/>
        </w:rPr>
        <w:t>施工作业时的临时占地，由于施工人员及施工机械对地表植被的践踏、碾压等外</w:t>
      </w:r>
      <w:r>
        <w:rPr>
          <w:color w:val="0000FF"/>
          <w:spacing w:val="-10"/>
        </w:rPr>
        <w:t>力因素，破坏了原有土壤结构及性能，降低了土壤效力。严重影响了原有的地表形态、土壤结构和理化性质，在项目结束后也难以恢复原有形态及生产力。车辆</w:t>
      </w:r>
      <w:r>
        <w:rPr>
          <w:color w:val="0000FF"/>
          <w:spacing w:val="-6"/>
        </w:rPr>
        <w:t>行驶也同样对地表土壤结构造成破坏，这种破坏具有暂时性，经过一定时期能够</w:t>
      </w:r>
      <w:r>
        <w:rPr>
          <w:color w:val="0000FF"/>
          <w:spacing w:val="-10"/>
        </w:rPr>
        <w:t>恢复。施工期地表土层遭到不同程度的破坏，植被如不及时恢复，易引起土壤沙</w:t>
      </w:r>
      <w:r>
        <w:rPr>
          <w:color w:val="0000FF"/>
        </w:rPr>
        <w:t>化。</w:t>
      </w:r>
    </w:p>
    <w:p>
      <w:pPr>
        <w:pStyle w:val="7"/>
        <w:spacing w:before="3" w:line="364" w:lineRule="auto"/>
        <w:ind w:right="485" w:firstLine="480"/>
      </w:pPr>
      <w:r>
        <w:rPr>
          <w:spacing w:val="-1"/>
        </w:rPr>
        <w:t>施工方在施工前应先做好施工组织，做出详细的规划，划定施工活动范围，</w:t>
      </w:r>
      <w:r>
        <w:rPr>
          <w:spacing w:val="-7"/>
        </w:rPr>
        <w:t>包括材料的堆存范围、人员食宿及运动范围，尽量减少临时占地数量。在施工过</w:t>
      </w:r>
      <w:r>
        <w:rPr>
          <w:spacing w:val="-12"/>
        </w:rPr>
        <w:t>程中需加强管理，严禁不按操作规程野蛮施工。施工监理部门和当地环保部门也应紧密合作，进行监督管理。</w:t>
      </w:r>
    </w:p>
    <w:p>
      <w:pPr>
        <w:pStyle w:val="18"/>
        <w:numPr>
          <w:ilvl w:val="3"/>
          <w:numId w:val="51"/>
        </w:numPr>
        <w:tabs>
          <w:tab w:val="left" w:pos="1621"/>
        </w:tabs>
        <w:spacing w:before="2" w:after="0" w:line="240" w:lineRule="auto"/>
        <w:ind w:left="1621" w:right="0" w:hanging="601"/>
        <w:jc w:val="left"/>
        <w:rPr>
          <w:sz w:val="24"/>
        </w:rPr>
      </w:pPr>
      <w:r>
        <w:rPr>
          <w:sz w:val="24"/>
        </w:rPr>
        <w:t>对植被的影响分析</w:t>
      </w:r>
    </w:p>
    <w:p>
      <w:pPr>
        <w:pStyle w:val="7"/>
        <w:spacing w:before="161" w:line="364" w:lineRule="auto"/>
        <w:ind w:right="577" w:firstLine="480"/>
        <w:jc w:val="both"/>
      </w:pPr>
      <w:r>
        <w:rPr>
          <w:spacing w:val="-7"/>
        </w:rPr>
        <w:t>项目的建设将不可避免的破坏、扰动原地形地貌和植被；建设占地对区域植</w:t>
      </w:r>
      <w:r>
        <w:rPr>
          <w:spacing w:val="-8"/>
        </w:rPr>
        <w:t>被的破坏是永久性的，这部分植被将永远失去生产能力，从而降低该区域植被覆</w:t>
      </w:r>
      <w:r>
        <w:t>盖率和生物多样性，造成植被生物量的减少。</w:t>
      </w:r>
    </w:p>
    <w:p>
      <w:pPr>
        <w:pStyle w:val="7"/>
        <w:spacing w:before="1" w:line="364" w:lineRule="auto"/>
        <w:ind w:right="457" w:firstLine="480"/>
        <w:jc w:val="both"/>
      </w:pPr>
      <w:r>
        <w:rPr>
          <w:spacing w:val="-6"/>
        </w:rPr>
        <w:t>由于施工期将引起原有植被的破坏，受破坏的植被类型为评价区内的常见类</w:t>
      </w:r>
      <w:r>
        <w:rPr>
          <w:spacing w:val="-10"/>
        </w:rPr>
        <w:t>型，也无国家重点保护的珍稀濒危植物和野生动物，并且建成后通过对其进行绿</w:t>
      </w:r>
      <w:r>
        <w:rPr>
          <w:spacing w:val="-13"/>
        </w:rPr>
        <w:t>化补偿，充分考虑乔、灌、草的比例，从而增加该区域内的物种数量，增强了项</w:t>
      </w:r>
      <w:r>
        <w:rPr>
          <w:spacing w:val="-17"/>
        </w:rPr>
        <w:t>目区域内的生物多样性和稳定性，因此相对于整个区域而言，本项目的建设对植</w:t>
      </w:r>
      <w:r>
        <w:rPr>
          <w:spacing w:val="-18"/>
        </w:rPr>
        <w:t>物区系、植被类型的影响较小，不会导致区域内现有种类和植被类型的消失灭绝。</w:t>
      </w:r>
    </w:p>
    <w:p>
      <w:pPr>
        <w:pStyle w:val="18"/>
        <w:numPr>
          <w:ilvl w:val="3"/>
          <w:numId w:val="51"/>
        </w:numPr>
        <w:tabs>
          <w:tab w:val="left" w:pos="1621"/>
        </w:tabs>
        <w:spacing w:before="3" w:after="0" w:line="240" w:lineRule="auto"/>
        <w:ind w:left="1621" w:right="0" w:hanging="601"/>
        <w:jc w:val="left"/>
        <w:rPr>
          <w:sz w:val="24"/>
        </w:rPr>
      </w:pPr>
      <w:r>
        <w:rPr>
          <w:sz w:val="24"/>
        </w:rPr>
        <w:t>对动物的影响分析</w:t>
      </w:r>
    </w:p>
    <w:p>
      <w:pPr>
        <w:pStyle w:val="7"/>
        <w:spacing w:before="161" w:line="364" w:lineRule="auto"/>
        <w:ind w:right="485" w:firstLine="480"/>
      </w:pPr>
      <w:r>
        <w:rPr>
          <w:spacing w:val="2"/>
        </w:rPr>
        <w:t>施工期对陆生动物的直接影响是施工人员集中活动和工程施工过程对动物</w:t>
      </w:r>
      <w:r>
        <w:rPr>
          <w:spacing w:val="-9"/>
        </w:rPr>
        <w:t>的惊扰；间接影响主要是项目建设破坏植被和土壤，造成部分陆生动物栖息地的</w:t>
      </w:r>
      <w:r>
        <w:rPr>
          <w:spacing w:val="-10"/>
        </w:rPr>
        <w:t>丧失。施工区的主要动物是小型常见鸟类和鼠类、常见的蜥蜴类，且数量不多，</w:t>
      </w:r>
      <w:r>
        <w:t>具有较强的迁移能力，因此，施工期对这些动物的生存影响较小。</w:t>
      </w:r>
    </w:p>
    <w:p>
      <w:pPr>
        <w:pStyle w:val="18"/>
        <w:numPr>
          <w:ilvl w:val="3"/>
          <w:numId w:val="51"/>
        </w:numPr>
        <w:tabs>
          <w:tab w:val="left" w:pos="1621"/>
        </w:tabs>
        <w:spacing w:before="2" w:after="0" w:line="240" w:lineRule="auto"/>
        <w:ind w:left="1621" w:right="0" w:hanging="601"/>
        <w:jc w:val="left"/>
        <w:rPr>
          <w:sz w:val="24"/>
        </w:rPr>
      </w:pPr>
      <w:r>
        <w:rPr>
          <w:sz w:val="24"/>
        </w:rPr>
        <w:t>对其他生态环境的影响分析</w:t>
      </w:r>
    </w:p>
    <w:p>
      <w:pPr>
        <w:pStyle w:val="7"/>
        <w:spacing w:before="161" w:line="364" w:lineRule="auto"/>
        <w:ind w:right="577" w:firstLine="480"/>
        <w:jc w:val="both"/>
      </w:pPr>
      <w:r>
        <w:rPr>
          <w:spacing w:val="2"/>
        </w:rPr>
        <w:t>施工用的砂土若随意堆放和场地平整后未及时绿化，在大风天气将产生风</w:t>
      </w:r>
      <w:r>
        <w:rPr>
          <w:spacing w:val="-10"/>
        </w:rPr>
        <w:t>蚀，造成环境空气污染，雨季又会产生水蚀，加重地表水体污染。因此必须采取相应的措施。如：施工砂土在室内堆放或搭建顶棚，大风天气设置围档。场地平</w:t>
      </w:r>
      <w:r>
        <w:t>整后尽快夯实、硬化，大风天气适量洒水等。</w:t>
      </w:r>
    </w:p>
    <w:p>
      <w:pPr>
        <w:pStyle w:val="18"/>
        <w:numPr>
          <w:ilvl w:val="3"/>
          <w:numId w:val="51"/>
        </w:numPr>
        <w:tabs>
          <w:tab w:val="left" w:pos="1621"/>
        </w:tabs>
        <w:spacing w:before="2" w:after="0" w:line="240" w:lineRule="auto"/>
        <w:ind w:left="1621" w:right="0" w:hanging="601"/>
        <w:jc w:val="left"/>
        <w:rPr>
          <w:sz w:val="24"/>
        </w:rPr>
      </w:pPr>
      <w:r>
        <w:rPr>
          <w:sz w:val="24"/>
        </w:rPr>
        <w:t>对水土流失的影响分析</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ind w:left="1020"/>
      </w:pPr>
      <w:r>
        <w:t>水土流失将造成一定程度的生态影响，具体表现在：</w:t>
      </w:r>
    </w:p>
    <w:p>
      <w:pPr>
        <w:pStyle w:val="7"/>
        <w:spacing w:before="160" w:line="364" w:lineRule="auto"/>
        <w:ind w:right="580" w:firstLine="480"/>
      </w:pPr>
      <w:r>
        <w:t>①因施工开挖，将改变原土壤结构和地表物质组成，影响土壤肥力，从而导致土地生产力降低，给区域植被带来一定影响。</w:t>
      </w:r>
    </w:p>
    <w:p>
      <w:pPr>
        <w:pStyle w:val="7"/>
        <w:spacing w:before="1" w:line="364" w:lineRule="auto"/>
        <w:ind w:right="580" w:firstLine="480"/>
      </w:pPr>
      <w:r>
        <w:t>②施工期运输机械往来，使施工区表层土碾压疏松，大风天将产生扬尘，加剧区域水土流失。</w:t>
      </w:r>
    </w:p>
    <w:p>
      <w:pPr>
        <w:pStyle w:val="7"/>
        <w:spacing w:before="2" w:line="364" w:lineRule="auto"/>
        <w:ind w:right="580" w:firstLine="480"/>
      </w:pPr>
      <w:r>
        <w:t>③施工时产生大量的临时堆土，虽然堆置为临时堆置，但受大风影响也会产生水土流失。</w:t>
      </w:r>
    </w:p>
    <w:p>
      <w:pPr>
        <w:pStyle w:val="7"/>
        <w:spacing w:before="1" w:line="364" w:lineRule="auto"/>
        <w:ind w:right="580" w:firstLine="480"/>
      </w:pPr>
      <w:r>
        <w:t>④土建工程施工过程中对占地区造成扰动，降低土壤抗侵蚀能力，使施工期间项目部分区域土壤侵蚀强度呈增加趋势。</w:t>
      </w:r>
    </w:p>
    <w:p>
      <w:pPr>
        <w:pStyle w:val="7"/>
        <w:spacing w:before="1" w:line="364" w:lineRule="auto"/>
        <w:ind w:right="455" w:firstLine="480"/>
      </w:pPr>
      <w:r>
        <w:rPr>
          <w:spacing w:val="-6"/>
        </w:rPr>
        <w:t>区域土壤侵蚀主要为风蚀，项目建设不可避免地要加重区域水土流失。拟建</w:t>
      </w:r>
      <w:r>
        <w:rPr>
          <w:spacing w:val="-10"/>
        </w:rPr>
        <w:t>项目产生的水土流失可以分为三个阶段，第一阶段是在施工准备期</w:t>
      </w:r>
      <w:r>
        <w:rPr>
          <w:spacing w:val="-24"/>
        </w:rPr>
        <w:t>，“三通一平”</w:t>
      </w:r>
      <w:r>
        <w:t>工作产生大量土石方的开挖、运移活动，地表扰动严重，植被几乎完全被破坏，</w:t>
      </w:r>
      <w:r>
        <w:rPr>
          <w:spacing w:val="-5"/>
        </w:rPr>
        <w:t>裸露的地表水土保持功能明显减弱，土壤侵蚀强度增强；第二阶段是土建期，工业场地“三通一平”工作完成后，整个地表在绝大部分施工期内处于裸露状态，</w:t>
      </w:r>
      <w:r>
        <w:rPr>
          <w:spacing w:val="-10"/>
        </w:rPr>
        <w:t>且有大量土石方和建筑材料临时堆放，再加上土建期排水系统的不完善，地表径</w:t>
      </w:r>
      <w:r>
        <w:rPr>
          <w:spacing w:val="-15"/>
        </w:rPr>
        <w:t>流肆意冲刷施工面和堆放的土石料，工业场地内水土流失，如不采取有效的防治</w:t>
      </w:r>
      <w:r>
        <w:rPr>
          <w:spacing w:val="-18"/>
        </w:rPr>
        <w:t>措施，将产生严重的水土流失。第三阶段是植被恢复期，地表建筑物等建设完成，</w:t>
      </w:r>
      <w:r>
        <w:rPr>
          <w:spacing w:val="-17"/>
        </w:rPr>
        <w:t>土石方清理完毕，地表因大部分被硬化，地表土壤侵蚀强度较建设期有明显下降，</w:t>
      </w:r>
      <w:r>
        <w:rPr>
          <w:spacing w:val="-14"/>
        </w:rPr>
        <w:t>但此时仍存在裸露地表，特别是林草植被种刚刚栽植，不能完全覆盖裸露的地表，</w:t>
      </w:r>
      <w:r>
        <w:rPr>
          <w:spacing w:val="-7"/>
        </w:rPr>
        <w:t>林草植被措施还不能发挥作用，此时遇侵蚀性降雨等天气仍将不可避免的产生水土流失。营运期因采取绿化补偿等措施，可有效防止水土流失。</w:t>
      </w:r>
    </w:p>
    <w:p>
      <w:pPr>
        <w:pStyle w:val="7"/>
        <w:spacing w:before="7" w:line="364" w:lineRule="auto"/>
        <w:ind w:right="577" w:firstLine="480"/>
        <w:jc w:val="both"/>
      </w:pPr>
      <w:r>
        <w:rPr>
          <w:spacing w:val="-10"/>
        </w:rPr>
        <w:t>因此，本项目建设的水土流失危害主要表现在三个方面：一是项目建设破坏部分地表植被，在施工准备期及施工期对占地范围内的地表扰动剧烈，由此引起</w:t>
      </w:r>
      <w:r>
        <w:rPr>
          <w:spacing w:val="-6"/>
        </w:rPr>
        <w:t>的人为加速土壤流失将对周边环境产生不良影响；二是发生的土壤流失如不能做</w:t>
      </w:r>
      <w:r>
        <w:rPr>
          <w:spacing w:val="-10"/>
        </w:rPr>
        <w:t>好防治工作，可能淤积区域排水管道，阻断区域排水体系，影响区域沟道的排水功能；三是在各分项工程区内，如果不注重施工的临时性防护，也会造成当地水</w:t>
      </w:r>
      <w:r>
        <w:t>土流失的加剧，对当地环境及周边居民的生产生活产生影响。</w:t>
      </w:r>
    </w:p>
    <w:p>
      <w:pPr>
        <w:pStyle w:val="7"/>
        <w:spacing w:before="4" w:line="364" w:lineRule="auto"/>
        <w:ind w:right="577" w:firstLine="480"/>
      </w:pPr>
      <w:r>
        <w:rPr>
          <w:spacing w:val="-7"/>
        </w:rPr>
        <w:t>为减少施工期的水土流失，建设单位应精心组织，合理安排施工计划，在暴雨季节采取合理的防护措施，并减少雨季时的施工，对土石方挖填等方案进行周</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密论证，优选出水土流失较少的方案。</w:t>
      </w:r>
    </w:p>
    <w:p>
      <w:pPr>
        <w:pStyle w:val="7"/>
        <w:spacing w:before="160" w:line="364" w:lineRule="auto"/>
        <w:ind w:right="457" w:firstLine="480"/>
      </w:pPr>
      <w:r>
        <w:rPr>
          <w:spacing w:val="-14"/>
        </w:rPr>
        <w:t>施工期要注意防止水土流失，要尽量做到挖、填方的平衡，减少借方和弃方；</w:t>
      </w:r>
      <w:r>
        <w:rPr>
          <w:spacing w:val="-6"/>
        </w:rPr>
        <w:t>施工中所用材料统一堆放管理，设置专门的材料场；加强施工管理，把拟建项目引起的难以避免的植被破坏减少到最低限度，并采取措施，尽力减少土壤侵蚀；控制各种项目的地表剥离，加强项目完成后对破坏植被的恢复。</w:t>
      </w:r>
    </w:p>
    <w:p>
      <w:pPr>
        <w:pStyle w:val="18"/>
        <w:numPr>
          <w:ilvl w:val="3"/>
          <w:numId w:val="51"/>
        </w:numPr>
        <w:tabs>
          <w:tab w:val="left" w:pos="1621"/>
        </w:tabs>
        <w:spacing w:before="3" w:after="0" w:line="240" w:lineRule="auto"/>
        <w:ind w:left="1621" w:right="0" w:hanging="601"/>
        <w:jc w:val="left"/>
        <w:rPr>
          <w:sz w:val="24"/>
        </w:rPr>
      </w:pPr>
      <w:r>
        <w:rPr>
          <w:sz w:val="24"/>
        </w:rPr>
        <w:t>对景观的影响</w:t>
      </w:r>
    </w:p>
    <w:p>
      <w:pPr>
        <w:pStyle w:val="7"/>
        <w:spacing w:before="160" w:line="364" w:lineRule="auto"/>
        <w:ind w:right="455" w:firstLine="480"/>
      </w:pPr>
      <w:r>
        <w:rPr>
          <w:spacing w:val="-7"/>
        </w:rPr>
        <w:t>本项目在施工建筑材料、土石方临时堆放、运输、土方开挖将会对周围景观</w:t>
      </w:r>
      <w:r>
        <w:rPr>
          <w:spacing w:val="-17"/>
        </w:rPr>
        <w:t>的不良影响。项目在施工活动中，应注重施工活动与周围景观的协调性与完整性。</w:t>
      </w:r>
      <w:r>
        <w:rPr>
          <w:spacing w:val="-16"/>
        </w:rPr>
        <w:t>建筑材料、土石方临时堆放时主要利用盐碱地，堆放时应整齐，采用防尘布覆盖。</w:t>
      </w:r>
      <w:r>
        <w:rPr>
          <w:spacing w:val="-4"/>
        </w:rPr>
        <w:t>项目施工虽然在施工期内存在对自然景观和自然生态的影响，但在运营期采取场</w:t>
      </w:r>
      <w:r>
        <w:rPr>
          <w:spacing w:val="-11"/>
        </w:rPr>
        <w:t>内防疫隔离绿化带、防护林植被绿化措施后，可将施工期对景观不利影响减到最低程度。</w:t>
      </w:r>
    </w:p>
    <w:p>
      <w:pPr>
        <w:pStyle w:val="4"/>
        <w:numPr>
          <w:ilvl w:val="1"/>
          <w:numId w:val="46"/>
        </w:numPr>
        <w:tabs>
          <w:tab w:val="left" w:pos="1100"/>
        </w:tabs>
        <w:spacing w:before="157" w:after="0" w:line="240" w:lineRule="auto"/>
        <w:ind w:left="1099" w:right="0" w:hanging="560"/>
        <w:jc w:val="both"/>
        <w:outlineLvl w:val="1"/>
      </w:pPr>
      <w:bookmarkStart w:id="276" w:name="_bookmark26"/>
      <w:bookmarkEnd w:id="276"/>
      <w:bookmarkStart w:id="277" w:name="5.2 运营期环境影响预测与评价"/>
      <w:bookmarkEnd w:id="277"/>
      <w:bookmarkStart w:id="278" w:name="_Toc30993"/>
      <w:r>
        <w:t>运营期环境影响预测与评价</w:t>
      </w:r>
      <w:bookmarkEnd w:id="278"/>
    </w:p>
    <w:p>
      <w:pPr>
        <w:pStyle w:val="7"/>
        <w:spacing w:before="5"/>
        <w:ind w:left="0"/>
        <w:rPr>
          <w:b/>
          <w:sz w:val="28"/>
        </w:rPr>
      </w:pPr>
    </w:p>
    <w:p>
      <w:pPr>
        <w:pStyle w:val="5"/>
        <w:numPr>
          <w:ilvl w:val="2"/>
          <w:numId w:val="46"/>
        </w:numPr>
        <w:tabs>
          <w:tab w:val="left" w:pos="1241"/>
        </w:tabs>
        <w:spacing w:before="0" w:after="0" w:line="240" w:lineRule="auto"/>
        <w:ind w:left="1240" w:right="0" w:hanging="701"/>
        <w:jc w:val="both"/>
        <w:outlineLvl w:val="2"/>
      </w:pPr>
      <w:bookmarkStart w:id="279" w:name="5.2.1 大气环境影响预测与评价"/>
      <w:bookmarkEnd w:id="279"/>
      <w:bookmarkStart w:id="280" w:name="5.2.1 大气环境影响预测与评价"/>
      <w:bookmarkEnd w:id="280"/>
      <w:bookmarkStart w:id="281" w:name="_Toc8676"/>
      <w:r>
        <w:rPr>
          <w:spacing w:val="-1"/>
        </w:rPr>
        <w:t>大气环境影响预测与评价</w:t>
      </w:r>
      <w:bookmarkEnd w:id="281"/>
    </w:p>
    <w:p>
      <w:pPr>
        <w:pStyle w:val="7"/>
        <w:spacing w:before="2"/>
        <w:ind w:left="0"/>
        <w:rPr>
          <w:b/>
          <w:sz w:val="22"/>
        </w:rPr>
      </w:pPr>
    </w:p>
    <w:p>
      <w:pPr>
        <w:pStyle w:val="18"/>
        <w:numPr>
          <w:ilvl w:val="3"/>
          <w:numId w:val="52"/>
        </w:numPr>
        <w:tabs>
          <w:tab w:val="left" w:pos="1320"/>
        </w:tabs>
        <w:spacing w:before="0" w:after="0" w:line="240" w:lineRule="auto"/>
        <w:ind w:left="1320" w:right="0" w:hanging="780"/>
        <w:jc w:val="both"/>
        <w:rPr>
          <w:sz w:val="24"/>
        </w:rPr>
      </w:pPr>
      <w:bookmarkStart w:id="282" w:name="5.2.1.1 大气污染物预测参数"/>
      <w:bookmarkEnd w:id="282"/>
      <w:bookmarkStart w:id="283" w:name="5.2.1.1 大气污染物预测参数"/>
      <w:bookmarkEnd w:id="283"/>
      <w:r>
        <w:rPr>
          <w:sz w:val="24"/>
        </w:rPr>
        <w:t>大气污染物预测参数</w:t>
      </w:r>
    </w:p>
    <w:p>
      <w:pPr>
        <w:pStyle w:val="7"/>
        <w:spacing w:before="168" w:line="364" w:lineRule="auto"/>
        <w:ind w:right="572" w:firstLine="480"/>
        <w:jc w:val="both"/>
      </w:pPr>
      <w:r>
        <w:t>本项目大气环境影响评价等级为二级，根据《环境影响评价技术导则</w:t>
      </w:r>
      <w:r>
        <w:rPr>
          <w:rFonts w:ascii="Times New Roman" w:hAnsi="Times New Roman" w:eastAsia="Times New Roman"/>
        </w:rPr>
        <w:t>·</w:t>
      </w:r>
      <w:r>
        <w:t>大气</w:t>
      </w:r>
      <w:r>
        <w:rPr>
          <w:spacing w:val="-3"/>
        </w:rPr>
        <w:t>环境》</w:t>
      </w:r>
      <w:r>
        <w:t>（</w:t>
      </w:r>
      <w:r>
        <w:rPr>
          <w:rFonts w:ascii="Times New Roman" w:hAnsi="Times New Roman" w:eastAsia="Times New Roman"/>
        </w:rPr>
        <w:t>HJ2.2-2018</w:t>
      </w:r>
      <w:r>
        <w:t>）</w:t>
      </w:r>
      <w:r>
        <w:rPr>
          <w:spacing w:val="-2"/>
        </w:rPr>
        <w:t>，二级评价项目不进行进一步预测与评价，只对污染物排</w:t>
      </w:r>
      <w:r>
        <w:t>放量进行核算。</w:t>
      </w:r>
    </w:p>
    <w:p>
      <w:pPr>
        <w:pStyle w:val="7"/>
        <w:spacing w:before="1" w:line="364" w:lineRule="auto"/>
        <w:ind w:right="485" w:firstLine="480"/>
      </w:pPr>
      <w:r>
        <w:rPr>
          <w:spacing w:val="-8"/>
        </w:rPr>
        <w:t>通过工程分析可知，项目主要的大气污染物是羊舍、堆肥厂和病死尸体无害</w:t>
      </w:r>
      <w:r>
        <w:rPr>
          <w:spacing w:val="-13"/>
        </w:rPr>
        <w:t>化处理车间产生的恶臭，特征污染物为氨和硫化氢。羊舍和堆肥厂产生的恶臭气</w:t>
      </w:r>
      <w:r>
        <w:rPr>
          <w:spacing w:val="-14"/>
        </w:rPr>
        <w:t>体喷洒除臭剂后无组织排放；病死尸体无害化处理车间产生的恶臭冷凝雾化后，</w:t>
      </w:r>
      <w:r>
        <w:rPr>
          <w:spacing w:val="-3"/>
        </w:rPr>
        <w:t>引至光解除臭装置吸收处理，再经引风机引至</w:t>
      </w:r>
      <w:r>
        <w:rPr>
          <w:rFonts w:ascii="Times New Roman" w:eastAsia="Times New Roman"/>
        </w:rPr>
        <w:t>15m</w:t>
      </w:r>
      <w:r>
        <w:t>高排气筒集中排放。</w:t>
      </w:r>
    </w:p>
    <w:p>
      <w:pPr>
        <w:pStyle w:val="7"/>
        <w:spacing w:before="3" w:line="364" w:lineRule="auto"/>
        <w:ind w:right="572" w:firstLine="480"/>
        <w:jc w:val="both"/>
      </w:pPr>
      <w:r>
        <w:rPr>
          <w:spacing w:val="-4"/>
        </w:rPr>
        <w:t>项目废气采用《环境影响评价技术导则</w:t>
      </w:r>
      <w:r>
        <w:rPr>
          <w:rFonts w:ascii="Times New Roman" w:hAnsi="Times New Roman" w:eastAsia="Times New Roman"/>
        </w:rPr>
        <w:t>·</w:t>
      </w:r>
      <w:r>
        <w:rPr>
          <w:spacing w:val="-11"/>
        </w:rPr>
        <w:t>大气环境》</w:t>
      </w:r>
      <w:r>
        <w:rPr>
          <w:spacing w:val="-3"/>
        </w:rPr>
        <w:t>（</w:t>
      </w:r>
      <w:r>
        <w:rPr>
          <w:rFonts w:ascii="Times New Roman" w:hAnsi="Times New Roman" w:eastAsia="Times New Roman"/>
          <w:spacing w:val="-3"/>
        </w:rPr>
        <w:t>HJ2.2-2018</w:t>
      </w:r>
      <w:r>
        <w:rPr>
          <w:spacing w:val="-3"/>
        </w:rPr>
        <w:t>）</w:t>
      </w:r>
      <w:r>
        <w:rPr>
          <w:spacing w:val="-4"/>
        </w:rPr>
        <w:t>推荐的估</w:t>
      </w:r>
      <w:r>
        <w:rPr>
          <w:spacing w:val="-6"/>
        </w:rPr>
        <w:t>算模式进行预测病死尸体无害化处理车间点源、羊舍和堆肥厂面源排放的污染物</w:t>
      </w:r>
      <w:r>
        <w:t>最大地面浓度及其占标率。</w:t>
      </w:r>
    </w:p>
    <w:p>
      <w:pPr>
        <w:pStyle w:val="7"/>
        <w:spacing w:before="2" w:line="364" w:lineRule="auto"/>
        <w:ind w:right="577" w:firstLine="480"/>
        <w:jc w:val="both"/>
      </w:pPr>
      <w:r>
        <w:rPr>
          <w:spacing w:val="-4"/>
        </w:rPr>
        <w:t>本项目病死尸体无害化处理车间设</w:t>
      </w:r>
      <w:r>
        <w:rPr>
          <w:rFonts w:ascii="Times New Roman" w:eastAsia="Times New Roman"/>
        </w:rPr>
        <w:t>1</w:t>
      </w:r>
      <w:r>
        <w:rPr>
          <w:spacing w:val="-15"/>
        </w:rPr>
        <w:t>根内径</w:t>
      </w:r>
      <w:r>
        <w:rPr>
          <w:rFonts w:ascii="Times New Roman" w:eastAsia="Times New Roman"/>
        </w:rPr>
        <w:t>0.3m</w:t>
      </w:r>
      <w:r>
        <w:rPr>
          <w:spacing w:val="-30"/>
        </w:rPr>
        <w:t>高</w:t>
      </w:r>
      <w:r>
        <w:rPr>
          <w:rFonts w:ascii="Times New Roman" w:eastAsia="Times New Roman"/>
        </w:rPr>
        <w:t>15m</w:t>
      </w:r>
      <w:r>
        <w:rPr>
          <w:spacing w:val="-9"/>
        </w:rPr>
        <w:t>排气筒，羊舍和堆</w:t>
      </w:r>
      <w:r>
        <w:rPr>
          <w:spacing w:val="-3"/>
        </w:rPr>
        <w:t>肥厂恶臭以无组织形式排放，污染源估算预测参数见表</w:t>
      </w:r>
      <w:r>
        <w:rPr>
          <w:rFonts w:ascii="Times New Roman" w:eastAsia="Times New Roman"/>
        </w:rPr>
        <w:t>5.2-1</w:t>
      </w:r>
      <w:r>
        <w:t>、</w:t>
      </w:r>
      <w:r>
        <w:rPr>
          <w:rFonts w:ascii="Times New Roman" w:eastAsia="Times New Roman"/>
        </w:rPr>
        <w:t>5.2-2</w:t>
      </w:r>
      <w:r>
        <w:t>。</w:t>
      </w:r>
    </w:p>
    <w:p>
      <w:pPr>
        <w:pStyle w:val="7"/>
        <w:bidi w:val="0"/>
        <w:jc w:val="center"/>
      </w:pPr>
      <w:r>
        <w:t>表</w:t>
      </w:r>
      <w:r>
        <w:rPr>
          <w:rFonts w:ascii="Times New Roman" w:eastAsia="Times New Roman"/>
        </w:rPr>
        <w:t>5.2-1</w:t>
      </w:r>
      <w:r>
        <w:rPr>
          <w:rFonts w:ascii="Times New Roman" w:eastAsia="Times New Roman"/>
        </w:rPr>
        <w:tab/>
      </w:r>
      <w:r>
        <w:t>估算模式预测有组织污染物浓度所选参数</w:t>
      </w:r>
    </w:p>
    <w:p>
      <w:pPr>
        <w:spacing w:after="0"/>
        <w:jc w:val="both"/>
        <w:sectPr>
          <w:footerReference r:id="rId22"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1"/>
        <w:ind w:left="0"/>
        <w:rPr>
          <w:b/>
          <w:sz w:val="4"/>
        </w:rPr>
      </w:pP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2"/>
        <w:gridCol w:w="951"/>
        <w:gridCol w:w="1125"/>
        <w:gridCol w:w="1047"/>
        <w:gridCol w:w="1149"/>
        <w:gridCol w:w="774"/>
        <w:gridCol w:w="1311"/>
        <w:gridCol w:w="1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23" w:type="dxa"/>
            <w:gridSpan w:val="2"/>
          </w:tcPr>
          <w:p>
            <w:pPr>
              <w:pStyle w:val="19"/>
              <w:spacing w:before="35"/>
              <w:ind w:left="645"/>
              <w:jc w:val="left"/>
              <w:rPr>
                <w:b/>
                <w:sz w:val="21"/>
              </w:rPr>
            </w:pPr>
            <w:r>
              <w:rPr>
                <w:b/>
                <w:sz w:val="21"/>
              </w:rPr>
              <w:t>排气筒</w:t>
            </w:r>
          </w:p>
        </w:tc>
        <w:tc>
          <w:tcPr>
            <w:tcW w:w="1125" w:type="dxa"/>
            <w:vMerge w:val="restart"/>
          </w:tcPr>
          <w:p>
            <w:pPr>
              <w:pStyle w:val="19"/>
              <w:spacing w:before="55"/>
              <w:ind w:left="111"/>
              <w:jc w:val="left"/>
              <w:rPr>
                <w:rFonts w:ascii="Times New Roman" w:eastAsia="Times New Roman"/>
                <w:b/>
                <w:sz w:val="21"/>
              </w:rPr>
            </w:pPr>
            <w:r>
              <w:rPr>
                <w:b/>
                <w:sz w:val="21"/>
              </w:rPr>
              <w:t>烟气流速</w:t>
            </w:r>
            <w:r>
              <w:rPr>
                <w:rFonts w:ascii="Times New Roman" w:eastAsia="Times New Roman"/>
                <w:b/>
                <w:sz w:val="21"/>
              </w:rPr>
              <w:t>/</w:t>
            </w:r>
          </w:p>
          <w:p>
            <w:pPr>
              <w:pStyle w:val="19"/>
              <w:spacing w:before="42"/>
              <w:ind w:left="195"/>
              <w:jc w:val="left"/>
              <w:rPr>
                <w:b/>
                <w:sz w:val="21"/>
              </w:rPr>
            </w:pPr>
            <w:r>
              <w:rPr>
                <w:b/>
                <w:sz w:val="21"/>
              </w:rPr>
              <w:t>（</w:t>
            </w:r>
            <w:r>
              <w:rPr>
                <w:rFonts w:ascii="Times New Roman" w:eastAsia="Times New Roman"/>
                <w:b/>
                <w:sz w:val="21"/>
              </w:rPr>
              <w:t>m/s</w:t>
            </w:r>
            <w:r>
              <w:rPr>
                <w:b/>
                <w:sz w:val="21"/>
              </w:rPr>
              <w:t>）</w:t>
            </w:r>
          </w:p>
        </w:tc>
        <w:tc>
          <w:tcPr>
            <w:tcW w:w="1047" w:type="dxa"/>
            <w:vMerge w:val="restart"/>
          </w:tcPr>
          <w:p>
            <w:pPr>
              <w:pStyle w:val="19"/>
              <w:spacing w:before="14" w:line="310" w:lineRule="atLeast"/>
              <w:ind w:left="282" w:right="195" w:hanging="75"/>
              <w:jc w:val="left"/>
              <w:rPr>
                <w:b/>
                <w:sz w:val="21"/>
              </w:rPr>
            </w:pPr>
            <w:r>
              <w:rPr>
                <w:b/>
                <w:sz w:val="21"/>
              </w:rPr>
              <w:t>烟气温度</w:t>
            </w:r>
            <w:r>
              <w:rPr>
                <w:rFonts w:ascii="Times New Roman" w:hAnsi="Times New Roman" w:eastAsia="Times New Roman"/>
                <w:b/>
                <w:sz w:val="21"/>
              </w:rPr>
              <w:t>/</w:t>
            </w:r>
            <w:r>
              <w:rPr>
                <w:b/>
                <w:sz w:val="21"/>
              </w:rPr>
              <w:t>℃</w:t>
            </w:r>
          </w:p>
        </w:tc>
        <w:tc>
          <w:tcPr>
            <w:tcW w:w="1149" w:type="dxa"/>
            <w:vMerge w:val="restart"/>
          </w:tcPr>
          <w:p>
            <w:pPr>
              <w:pStyle w:val="19"/>
              <w:spacing w:before="14" w:line="310" w:lineRule="atLeast"/>
              <w:ind w:left="277" w:right="141" w:hanging="125"/>
              <w:jc w:val="left"/>
              <w:rPr>
                <w:rFonts w:ascii="Times New Roman" w:eastAsia="Times New Roman"/>
                <w:b/>
                <w:sz w:val="21"/>
              </w:rPr>
            </w:pPr>
            <w:r>
              <w:rPr>
                <w:b/>
                <w:sz w:val="21"/>
              </w:rPr>
              <w:t>年排放小时数</w:t>
            </w:r>
            <w:r>
              <w:rPr>
                <w:rFonts w:ascii="Times New Roman" w:eastAsia="Times New Roman"/>
                <w:b/>
                <w:sz w:val="21"/>
              </w:rPr>
              <w:t>/h</w:t>
            </w:r>
          </w:p>
        </w:tc>
        <w:tc>
          <w:tcPr>
            <w:tcW w:w="774" w:type="dxa"/>
            <w:vMerge w:val="restart"/>
          </w:tcPr>
          <w:p>
            <w:pPr>
              <w:pStyle w:val="19"/>
              <w:spacing w:before="14" w:line="310" w:lineRule="atLeast"/>
              <w:ind w:left="177" w:right="164"/>
              <w:jc w:val="left"/>
              <w:rPr>
                <w:b/>
                <w:sz w:val="21"/>
              </w:rPr>
            </w:pPr>
            <w:r>
              <w:rPr>
                <w:b/>
                <w:sz w:val="21"/>
              </w:rPr>
              <w:t>排放工况</w:t>
            </w:r>
          </w:p>
        </w:tc>
        <w:tc>
          <w:tcPr>
            <w:tcW w:w="2501" w:type="dxa"/>
            <w:gridSpan w:val="2"/>
          </w:tcPr>
          <w:p>
            <w:pPr>
              <w:pStyle w:val="19"/>
              <w:spacing w:before="35"/>
              <w:ind w:left="111"/>
              <w:jc w:val="left"/>
              <w:rPr>
                <w:b/>
                <w:sz w:val="21"/>
              </w:rPr>
            </w:pPr>
            <w:r>
              <w:rPr>
                <w:b/>
                <w:sz w:val="21"/>
              </w:rPr>
              <w:t>污染物排放速率</w:t>
            </w:r>
            <w:r>
              <w:rPr>
                <w:rFonts w:ascii="Times New Roman" w:eastAsia="Times New Roman"/>
                <w:b/>
                <w:sz w:val="21"/>
              </w:rPr>
              <w:t>/</w:t>
            </w:r>
            <w:r>
              <w:rPr>
                <w:b/>
                <w:sz w:val="21"/>
              </w:rPr>
              <w:t>（</w:t>
            </w:r>
            <w:r>
              <w:rPr>
                <w:rFonts w:ascii="Times New Roman" w:eastAsia="Times New Roman"/>
                <w:b/>
                <w:sz w:val="21"/>
              </w:rPr>
              <w:t>kg/h</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2" w:type="dxa"/>
          </w:tcPr>
          <w:p>
            <w:pPr>
              <w:pStyle w:val="19"/>
              <w:spacing w:before="36"/>
              <w:ind w:left="138" w:right="128"/>
              <w:rPr>
                <w:rFonts w:ascii="Times New Roman" w:eastAsia="Times New Roman"/>
                <w:b/>
                <w:sz w:val="21"/>
              </w:rPr>
            </w:pPr>
            <w:r>
              <w:rPr>
                <w:b/>
                <w:sz w:val="21"/>
              </w:rPr>
              <w:t>高度</w:t>
            </w:r>
            <w:r>
              <w:rPr>
                <w:rFonts w:ascii="Times New Roman" w:eastAsia="Times New Roman"/>
                <w:b/>
                <w:sz w:val="21"/>
              </w:rPr>
              <w:t>/m</w:t>
            </w:r>
          </w:p>
        </w:tc>
        <w:tc>
          <w:tcPr>
            <w:tcW w:w="951" w:type="dxa"/>
          </w:tcPr>
          <w:p>
            <w:pPr>
              <w:pStyle w:val="19"/>
              <w:spacing w:before="36"/>
              <w:ind w:left="126" w:right="119"/>
              <w:rPr>
                <w:rFonts w:ascii="Times New Roman" w:eastAsia="Times New Roman"/>
                <w:b/>
                <w:sz w:val="21"/>
              </w:rPr>
            </w:pPr>
            <w:r>
              <w:rPr>
                <w:b/>
                <w:sz w:val="21"/>
              </w:rPr>
              <w:t>内径</w:t>
            </w:r>
            <w:r>
              <w:rPr>
                <w:rFonts w:ascii="Times New Roman" w:eastAsia="Times New Roman"/>
                <w:b/>
                <w:sz w:val="21"/>
              </w:rPr>
              <w:t>/m</w:t>
            </w:r>
          </w:p>
        </w:tc>
        <w:tc>
          <w:tcPr>
            <w:tcW w:w="1125" w:type="dxa"/>
            <w:vMerge w:val="continue"/>
            <w:tcBorders>
              <w:top w:val="nil"/>
            </w:tcBorders>
          </w:tcPr>
          <w:p>
            <w:pPr>
              <w:rPr>
                <w:sz w:val="2"/>
                <w:szCs w:val="2"/>
              </w:rPr>
            </w:pPr>
          </w:p>
        </w:tc>
        <w:tc>
          <w:tcPr>
            <w:tcW w:w="1047"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774" w:type="dxa"/>
            <w:vMerge w:val="continue"/>
            <w:tcBorders>
              <w:top w:val="nil"/>
            </w:tcBorders>
          </w:tcPr>
          <w:p>
            <w:pPr>
              <w:rPr>
                <w:sz w:val="2"/>
                <w:szCs w:val="2"/>
              </w:rPr>
            </w:pPr>
          </w:p>
        </w:tc>
        <w:tc>
          <w:tcPr>
            <w:tcW w:w="1311" w:type="dxa"/>
          </w:tcPr>
          <w:p>
            <w:pPr>
              <w:pStyle w:val="19"/>
              <w:spacing w:before="46"/>
              <w:ind w:left="292" w:right="282"/>
              <w:rPr>
                <w:rFonts w:ascii="Times New Roman"/>
                <w:b/>
                <w:sz w:val="21"/>
              </w:rPr>
            </w:pPr>
            <w:r>
              <w:rPr>
                <w:rFonts w:ascii="Times New Roman"/>
                <w:b/>
                <w:position w:val="2"/>
                <w:sz w:val="21"/>
              </w:rPr>
              <w:t>NH</w:t>
            </w:r>
            <w:r>
              <w:rPr>
                <w:rFonts w:ascii="Times New Roman"/>
                <w:b/>
                <w:position w:val="2"/>
                <w:sz w:val="21"/>
                <w:vertAlign w:val="subscript"/>
              </w:rPr>
              <w:t>3</w:t>
            </w:r>
          </w:p>
        </w:tc>
        <w:tc>
          <w:tcPr>
            <w:tcW w:w="1190" w:type="dxa"/>
          </w:tcPr>
          <w:p>
            <w:pPr>
              <w:pStyle w:val="19"/>
              <w:spacing w:before="46"/>
              <w:ind w:left="179" w:right="172"/>
              <w:rPr>
                <w:rFonts w:ascii="Times New Roman"/>
                <w:b/>
                <w:sz w:val="21"/>
              </w:rPr>
            </w:pPr>
            <w:r>
              <w:rPr>
                <w:rFonts w:ascii="Times New Roman"/>
                <w:b/>
                <w:position w:val="2"/>
                <w:sz w:val="21"/>
              </w:rPr>
              <w:t>H</w:t>
            </w:r>
            <w:r>
              <w:rPr>
                <w:rFonts w:ascii="Times New Roman"/>
                <w:b/>
                <w:position w:val="2"/>
                <w:sz w:val="21"/>
                <w:vertAlign w:val="subscript"/>
              </w:rPr>
              <w:t>2</w:t>
            </w:r>
            <w:r>
              <w:rPr>
                <w:rFonts w:ascii="Times New Roman"/>
                <w:b/>
                <w:position w:val="2"/>
                <w:sz w:val="21"/>
                <w:vertAlign w:val="baseli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2" w:type="dxa"/>
          </w:tcPr>
          <w:p>
            <w:pPr>
              <w:pStyle w:val="19"/>
              <w:spacing w:before="48"/>
              <w:ind w:left="138" w:right="128"/>
              <w:rPr>
                <w:rFonts w:ascii="Times New Roman"/>
                <w:sz w:val="21"/>
              </w:rPr>
            </w:pPr>
            <w:r>
              <w:rPr>
                <w:rFonts w:ascii="Times New Roman"/>
                <w:sz w:val="21"/>
              </w:rPr>
              <w:t>15</w:t>
            </w:r>
          </w:p>
        </w:tc>
        <w:tc>
          <w:tcPr>
            <w:tcW w:w="951" w:type="dxa"/>
          </w:tcPr>
          <w:p>
            <w:pPr>
              <w:pStyle w:val="19"/>
              <w:spacing w:before="48"/>
              <w:ind w:left="126" w:right="119"/>
              <w:rPr>
                <w:rFonts w:ascii="Times New Roman"/>
                <w:sz w:val="21"/>
              </w:rPr>
            </w:pPr>
            <w:r>
              <w:rPr>
                <w:rFonts w:ascii="Times New Roman"/>
                <w:sz w:val="21"/>
              </w:rPr>
              <w:t>0.3</w:t>
            </w:r>
          </w:p>
        </w:tc>
        <w:tc>
          <w:tcPr>
            <w:tcW w:w="1125" w:type="dxa"/>
          </w:tcPr>
          <w:p>
            <w:pPr>
              <w:pStyle w:val="19"/>
              <w:spacing w:before="48"/>
              <w:ind w:left="120" w:right="110"/>
              <w:rPr>
                <w:rFonts w:ascii="Times New Roman"/>
                <w:sz w:val="21"/>
              </w:rPr>
            </w:pPr>
            <w:r>
              <w:rPr>
                <w:rFonts w:ascii="Times New Roman"/>
                <w:sz w:val="21"/>
              </w:rPr>
              <w:t>1.8</w:t>
            </w:r>
          </w:p>
        </w:tc>
        <w:tc>
          <w:tcPr>
            <w:tcW w:w="1047" w:type="dxa"/>
          </w:tcPr>
          <w:p>
            <w:pPr>
              <w:pStyle w:val="19"/>
              <w:spacing w:before="48"/>
              <w:ind w:left="397" w:right="390"/>
              <w:rPr>
                <w:rFonts w:ascii="Times New Roman"/>
                <w:sz w:val="21"/>
              </w:rPr>
            </w:pPr>
            <w:r>
              <w:rPr>
                <w:rFonts w:ascii="Times New Roman"/>
                <w:sz w:val="21"/>
              </w:rPr>
              <w:t>20</w:t>
            </w:r>
          </w:p>
        </w:tc>
        <w:tc>
          <w:tcPr>
            <w:tcW w:w="1149" w:type="dxa"/>
          </w:tcPr>
          <w:p>
            <w:pPr>
              <w:pStyle w:val="19"/>
              <w:spacing w:before="48"/>
              <w:ind w:left="363"/>
              <w:jc w:val="left"/>
              <w:rPr>
                <w:rFonts w:ascii="Times New Roman"/>
                <w:sz w:val="21"/>
              </w:rPr>
            </w:pPr>
            <w:r>
              <w:rPr>
                <w:rFonts w:ascii="Times New Roman"/>
                <w:sz w:val="21"/>
              </w:rPr>
              <w:t>8760</w:t>
            </w:r>
          </w:p>
        </w:tc>
        <w:tc>
          <w:tcPr>
            <w:tcW w:w="774" w:type="dxa"/>
          </w:tcPr>
          <w:p>
            <w:pPr>
              <w:pStyle w:val="19"/>
              <w:spacing w:before="34"/>
              <w:ind w:left="177"/>
              <w:jc w:val="left"/>
              <w:rPr>
                <w:sz w:val="21"/>
              </w:rPr>
            </w:pPr>
            <w:r>
              <w:rPr>
                <w:sz w:val="21"/>
              </w:rPr>
              <w:t>正常</w:t>
            </w:r>
          </w:p>
        </w:tc>
        <w:tc>
          <w:tcPr>
            <w:tcW w:w="1311" w:type="dxa"/>
          </w:tcPr>
          <w:p>
            <w:pPr>
              <w:pStyle w:val="19"/>
              <w:spacing w:before="48"/>
              <w:ind w:left="292" w:right="285"/>
              <w:rPr>
                <w:rFonts w:ascii="Times New Roman"/>
                <w:sz w:val="21"/>
              </w:rPr>
            </w:pPr>
            <w:r>
              <w:rPr>
                <w:rFonts w:ascii="Times New Roman"/>
                <w:sz w:val="21"/>
              </w:rPr>
              <w:t>0.00125</w:t>
            </w:r>
          </w:p>
        </w:tc>
        <w:tc>
          <w:tcPr>
            <w:tcW w:w="1190" w:type="dxa"/>
          </w:tcPr>
          <w:p>
            <w:pPr>
              <w:pStyle w:val="19"/>
              <w:spacing w:before="48"/>
              <w:ind w:left="179" w:right="172"/>
              <w:rPr>
                <w:rFonts w:ascii="Times New Roman"/>
                <w:sz w:val="21"/>
              </w:rPr>
            </w:pPr>
            <w:r>
              <w:rPr>
                <w:rFonts w:ascii="Times New Roman"/>
                <w:sz w:val="21"/>
              </w:rPr>
              <w:t>0.000125</w:t>
            </w:r>
          </w:p>
        </w:tc>
      </w:tr>
    </w:tbl>
    <w:p>
      <w:pPr>
        <w:pStyle w:val="7"/>
        <w:spacing w:before="8"/>
        <w:ind w:left="0"/>
        <w:rPr>
          <w:b/>
          <w:sz w:val="6"/>
        </w:rPr>
      </w:pPr>
    </w:p>
    <w:p>
      <w:pPr>
        <w:tabs>
          <w:tab w:val="left" w:pos="1519"/>
        </w:tabs>
        <w:spacing w:before="74" w:after="3"/>
        <w:ind w:left="0" w:right="23" w:firstLine="0"/>
        <w:jc w:val="center"/>
        <w:rPr>
          <w:b/>
          <w:sz w:val="24"/>
        </w:rPr>
      </w:pPr>
      <w:r>
        <w:rPr>
          <w:b/>
          <w:sz w:val="24"/>
        </w:rPr>
        <w:t>表</w:t>
      </w:r>
      <w:r>
        <w:rPr>
          <w:rFonts w:ascii="Times New Roman" w:eastAsia="Times New Roman"/>
          <w:b/>
          <w:sz w:val="24"/>
        </w:rPr>
        <w:t>5.2-2</w:t>
      </w:r>
      <w:r>
        <w:rPr>
          <w:rFonts w:ascii="Times New Roman" w:eastAsia="Times New Roman"/>
          <w:b/>
          <w:sz w:val="24"/>
        </w:rPr>
        <w:tab/>
      </w:r>
      <w:r>
        <w:rPr>
          <w:b/>
          <w:sz w:val="24"/>
        </w:rPr>
        <w:t>估算模式预测无组织污染浓度所选参数</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9"/>
        <w:gridCol w:w="732"/>
        <w:gridCol w:w="732"/>
        <w:gridCol w:w="732"/>
        <w:gridCol w:w="735"/>
        <w:gridCol w:w="842"/>
        <w:gridCol w:w="803"/>
        <w:gridCol w:w="677"/>
        <w:gridCol w:w="983"/>
        <w:gridCol w:w="1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39" w:type="dxa"/>
            <w:vMerge w:val="restart"/>
          </w:tcPr>
          <w:p>
            <w:pPr>
              <w:pStyle w:val="19"/>
              <w:spacing w:before="124" w:line="213" w:lineRule="auto"/>
              <w:ind w:left="364" w:right="142" w:hanging="212"/>
              <w:jc w:val="left"/>
              <w:rPr>
                <w:b/>
                <w:sz w:val="21"/>
              </w:rPr>
            </w:pPr>
            <w:r>
              <w:rPr>
                <w:b/>
                <w:sz w:val="21"/>
              </w:rPr>
              <w:t>面源名称</w:t>
            </w:r>
          </w:p>
        </w:tc>
        <w:tc>
          <w:tcPr>
            <w:tcW w:w="732" w:type="dxa"/>
            <w:vMerge w:val="restart"/>
          </w:tcPr>
          <w:p>
            <w:pPr>
              <w:pStyle w:val="19"/>
              <w:spacing w:before="4" w:line="213" w:lineRule="auto"/>
              <w:ind w:left="155" w:right="144"/>
              <w:rPr>
                <w:b/>
                <w:sz w:val="21"/>
              </w:rPr>
            </w:pPr>
            <w:r>
              <w:rPr>
                <w:b/>
                <w:spacing w:val="-9"/>
                <w:sz w:val="21"/>
              </w:rPr>
              <w:t>海拔</w:t>
            </w:r>
            <w:r>
              <w:rPr>
                <w:b/>
                <w:spacing w:val="-9"/>
                <w:w w:val="95"/>
                <w:sz w:val="21"/>
              </w:rPr>
              <w:t>高度</w:t>
            </w:r>
          </w:p>
          <w:p>
            <w:pPr>
              <w:pStyle w:val="19"/>
              <w:spacing w:line="217" w:lineRule="exact"/>
              <w:ind w:left="151" w:right="144"/>
              <w:rPr>
                <w:rFonts w:ascii="Times New Roman"/>
                <w:b/>
                <w:sz w:val="21"/>
              </w:rPr>
            </w:pPr>
            <w:r>
              <w:rPr>
                <w:rFonts w:ascii="Times New Roman"/>
                <w:b/>
                <w:sz w:val="21"/>
              </w:rPr>
              <w:t>/m</w:t>
            </w:r>
          </w:p>
        </w:tc>
        <w:tc>
          <w:tcPr>
            <w:tcW w:w="732" w:type="dxa"/>
            <w:vMerge w:val="restart"/>
          </w:tcPr>
          <w:p>
            <w:pPr>
              <w:pStyle w:val="19"/>
              <w:spacing w:before="4" w:line="213" w:lineRule="auto"/>
              <w:ind w:left="155" w:right="144"/>
              <w:rPr>
                <w:b/>
                <w:sz w:val="21"/>
              </w:rPr>
            </w:pPr>
            <w:r>
              <w:rPr>
                <w:b/>
                <w:spacing w:val="-9"/>
                <w:sz w:val="21"/>
              </w:rPr>
              <w:t>面源</w:t>
            </w:r>
            <w:r>
              <w:rPr>
                <w:b/>
                <w:spacing w:val="-9"/>
                <w:w w:val="95"/>
                <w:sz w:val="21"/>
              </w:rPr>
              <w:t>长度</w:t>
            </w:r>
          </w:p>
          <w:p>
            <w:pPr>
              <w:pStyle w:val="19"/>
              <w:spacing w:line="217" w:lineRule="exact"/>
              <w:ind w:left="151" w:right="144"/>
              <w:rPr>
                <w:rFonts w:ascii="Times New Roman"/>
                <w:b/>
                <w:sz w:val="21"/>
              </w:rPr>
            </w:pPr>
            <w:r>
              <w:rPr>
                <w:rFonts w:ascii="Times New Roman"/>
                <w:b/>
                <w:sz w:val="21"/>
              </w:rPr>
              <w:t>/m</w:t>
            </w:r>
          </w:p>
        </w:tc>
        <w:tc>
          <w:tcPr>
            <w:tcW w:w="732" w:type="dxa"/>
            <w:vMerge w:val="restart"/>
          </w:tcPr>
          <w:p>
            <w:pPr>
              <w:pStyle w:val="19"/>
              <w:spacing w:before="4" w:line="213" w:lineRule="auto"/>
              <w:ind w:left="155" w:right="144"/>
              <w:rPr>
                <w:b/>
                <w:sz w:val="21"/>
              </w:rPr>
            </w:pPr>
            <w:r>
              <w:rPr>
                <w:b/>
                <w:spacing w:val="-9"/>
                <w:sz w:val="21"/>
              </w:rPr>
              <w:t>面源</w:t>
            </w:r>
            <w:r>
              <w:rPr>
                <w:b/>
                <w:spacing w:val="-9"/>
                <w:w w:val="95"/>
                <w:sz w:val="21"/>
              </w:rPr>
              <w:t>宽度</w:t>
            </w:r>
          </w:p>
          <w:p>
            <w:pPr>
              <w:pStyle w:val="19"/>
              <w:spacing w:line="217" w:lineRule="exact"/>
              <w:ind w:left="151" w:right="144"/>
              <w:rPr>
                <w:rFonts w:ascii="Times New Roman"/>
                <w:b/>
                <w:sz w:val="21"/>
              </w:rPr>
            </w:pPr>
            <w:r>
              <w:rPr>
                <w:rFonts w:ascii="Times New Roman"/>
                <w:b/>
                <w:sz w:val="21"/>
              </w:rPr>
              <w:t>/m</w:t>
            </w:r>
          </w:p>
        </w:tc>
        <w:tc>
          <w:tcPr>
            <w:tcW w:w="735" w:type="dxa"/>
            <w:vMerge w:val="restart"/>
          </w:tcPr>
          <w:p>
            <w:pPr>
              <w:pStyle w:val="19"/>
              <w:spacing w:before="4" w:line="213" w:lineRule="auto"/>
              <w:ind w:left="157" w:right="145"/>
              <w:jc w:val="left"/>
              <w:rPr>
                <w:b/>
                <w:sz w:val="21"/>
              </w:rPr>
            </w:pPr>
            <w:r>
              <w:rPr>
                <w:b/>
                <w:spacing w:val="-9"/>
                <w:sz w:val="21"/>
              </w:rPr>
              <w:t>与正</w:t>
            </w:r>
            <w:r>
              <w:rPr>
                <w:b/>
                <w:spacing w:val="-9"/>
                <w:w w:val="95"/>
                <w:sz w:val="21"/>
              </w:rPr>
              <w:t>北夹</w:t>
            </w:r>
          </w:p>
          <w:p>
            <w:pPr>
              <w:pStyle w:val="19"/>
              <w:spacing w:line="217" w:lineRule="exact"/>
              <w:ind w:left="191"/>
              <w:jc w:val="left"/>
              <w:rPr>
                <w:rFonts w:ascii="Times New Roman" w:hAnsi="Times New Roman" w:eastAsia="Times New Roman"/>
                <w:b/>
                <w:sz w:val="21"/>
              </w:rPr>
            </w:pPr>
            <w:r>
              <w:rPr>
                <w:b/>
                <w:w w:val="95"/>
                <w:sz w:val="21"/>
              </w:rPr>
              <w:t>角</w:t>
            </w:r>
            <w:r>
              <w:rPr>
                <w:rFonts w:ascii="Times New Roman" w:hAnsi="Times New Roman" w:eastAsia="Times New Roman"/>
                <w:b/>
                <w:w w:val="95"/>
                <w:sz w:val="21"/>
              </w:rPr>
              <w:t>/°</w:t>
            </w:r>
          </w:p>
        </w:tc>
        <w:tc>
          <w:tcPr>
            <w:tcW w:w="842" w:type="dxa"/>
            <w:vMerge w:val="restart"/>
          </w:tcPr>
          <w:p>
            <w:pPr>
              <w:pStyle w:val="19"/>
              <w:spacing w:before="4" w:line="213" w:lineRule="auto"/>
              <w:ind w:left="132" w:right="127"/>
              <w:jc w:val="left"/>
              <w:rPr>
                <w:b/>
                <w:sz w:val="21"/>
              </w:rPr>
            </w:pPr>
            <w:r>
              <w:rPr>
                <w:b/>
                <w:spacing w:val="-5"/>
                <w:w w:val="90"/>
                <w:sz w:val="21"/>
              </w:rPr>
              <w:t>面源初</w:t>
            </w:r>
            <w:r>
              <w:rPr>
                <w:b/>
                <w:spacing w:val="-5"/>
                <w:w w:val="85"/>
                <w:sz w:val="21"/>
              </w:rPr>
              <w:t>始排放</w:t>
            </w:r>
          </w:p>
          <w:p>
            <w:pPr>
              <w:pStyle w:val="19"/>
              <w:spacing w:line="217" w:lineRule="exact"/>
              <w:ind w:left="125"/>
              <w:jc w:val="left"/>
              <w:rPr>
                <w:rFonts w:ascii="Times New Roman" w:eastAsia="Times New Roman"/>
                <w:b/>
                <w:sz w:val="21"/>
              </w:rPr>
            </w:pPr>
            <w:r>
              <w:rPr>
                <w:b/>
                <w:spacing w:val="1"/>
                <w:w w:val="85"/>
                <w:sz w:val="21"/>
              </w:rPr>
              <w:t>高度</w:t>
            </w:r>
            <w:r>
              <w:rPr>
                <w:rFonts w:ascii="Times New Roman" w:eastAsia="Times New Roman"/>
                <w:b/>
                <w:w w:val="85"/>
                <w:sz w:val="21"/>
              </w:rPr>
              <w:t>/m</w:t>
            </w:r>
          </w:p>
        </w:tc>
        <w:tc>
          <w:tcPr>
            <w:tcW w:w="803" w:type="dxa"/>
            <w:vMerge w:val="restart"/>
          </w:tcPr>
          <w:p>
            <w:pPr>
              <w:pStyle w:val="19"/>
              <w:spacing w:before="4" w:line="213" w:lineRule="auto"/>
              <w:ind w:left="114" w:right="107"/>
              <w:rPr>
                <w:b/>
                <w:sz w:val="21"/>
              </w:rPr>
            </w:pPr>
            <w:r>
              <w:rPr>
                <w:b/>
                <w:w w:val="90"/>
                <w:sz w:val="21"/>
              </w:rPr>
              <w:t>年排放小时数</w:t>
            </w:r>
          </w:p>
          <w:p>
            <w:pPr>
              <w:pStyle w:val="19"/>
              <w:spacing w:line="217" w:lineRule="exact"/>
              <w:ind w:left="112" w:right="107"/>
              <w:rPr>
                <w:rFonts w:ascii="Times New Roman"/>
                <w:b/>
                <w:sz w:val="21"/>
              </w:rPr>
            </w:pPr>
            <w:r>
              <w:rPr>
                <w:rFonts w:ascii="Times New Roman"/>
                <w:b/>
                <w:sz w:val="21"/>
              </w:rPr>
              <w:t>/h</w:t>
            </w:r>
          </w:p>
        </w:tc>
        <w:tc>
          <w:tcPr>
            <w:tcW w:w="677" w:type="dxa"/>
            <w:vMerge w:val="restart"/>
          </w:tcPr>
          <w:p>
            <w:pPr>
              <w:pStyle w:val="19"/>
              <w:spacing w:before="124" w:line="213" w:lineRule="auto"/>
              <w:ind w:left="127" w:right="117"/>
              <w:jc w:val="left"/>
              <w:rPr>
                <w:b/>
                <w:sz w:val="21"/>
              </w:rPr>
            </w:pPr>
            <w:r>
              <w:rPr>
                <w:b/>
                <w:sz w:val="21"/>
              </w:rPr>
              <w:t>排放工况</w:t>
            </w:r>
          </w:p>
        </w:tc>
        <w:tc>
          <w:tcPr>
            <w:tcW w:w="2366" w:type="dxa"/>
            <w:gridSpan w:val="2"/>
          </w:tcPr>
          <w:p>
            <w:pPr>
              <w:pStyle w:val="19"/>
              <w:spacing w:before="31"/>
              <w:ind w:left="112" w:right="-15"/>
              <w:jc w:val="left"/>
              <w:rPr>
                <w:b/>
                <w:sz w:val="21"/>
              </w:rPr>
            </w:pPr>
            <w:r>
              <w:rPr>
                <w:b/>
                <w:spacing w:val="-5"/>
                <w:w w:val="99"/>
                <w:sz w:val="21"/>
              </w:rPr>
              <w:t>污染物排放速率</w:t>
            </w:r>
            <w:r>
              <w:rPr>
                <w:b/>
                <w:spacing w:val="-171"/>
                <w:w w:val="99"/>
                <w:sz w:val="21"/>
              </w:rPr>
              <w:t>（</w:t>
            </w:r>
            <w:r>
              <w:rPr>
                <w:rFonts w:ascii="Times New Roman" w:eastAsia="Times New Roman"/>
                <w:b/>
                <w:w w:val="99"/>
                <w:sz w:val="21"/>
              </w:rPr>
              <w:t>/</w:t>
            </w:r>
            <w:r>
              <w:rPr>
                <w:rFonts w:ascii="Times New Roman" w:eastAsia="Times New Roman"/>
                <w:b/>
                <w:spacing w:val="-2"/>
                <w:w w:val="99"/>
                <w:sz w:val="21"/>
              </w:rPr>
              <w:t>k</w:t>
            </w:r>
            <w:r>
              <w:rPr>
                <w:rFonts w:ascii="Times New Roman" w:eastAsia="Times New Roman"/>
                <w:b/>
                <w:spacing w:val="1"/>
                <w:w w:val="99"/>
                <w:sz w:val="21"/>
              </w:rPr>
              <w:t>g</w:t>
            </w:r>
            <w:r>
              <w:rPr>
                <w:rFonts w:ascii="Times New Roman" w:eastAsia="Times New Roman"/>
                <w:b/>
                <w:spacing w:val="-1"/>
                <w:w w:val="99"/>
                <w:sz w:val="21"/>
              </w:rPr>
              <w:t>/</w:t>
            </w:r>
            <w:r>
              <w:rPr>
                <w:rFonts w:ascii="Times New Roman" w:eastAsia="Times New Roman"/>
                <w:b/>
                <w:spacing w:val="1"/>
                <w:w w:val="99"/>
                <w:sz w:val="21"/>
              </w:rPr>
              <w:t>h</w:t>
            </w:r>
            <w:r>
              <w:rPr>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9" w:type="dxa"/>
            <w:vMerge w:val="continue"/>
            <w:tcBorders>
              <w:top w:val="nil"/>
            </w:tcBorders>
          </w:tcPr>
          <w:p>
            <w:pPr>
              <w:rPr>
                <w:sz w:val="2"/>
                <w:szCs w:val="2"/>
              </w:rPr>
            </w:pPr>
          </w:p>
        </w:tc>
        <w:tc>
          <w:tcPr>
            <w:tcW w:w="732" w:type="dxa"/>
            <w:vMerge w:val="continue"/>
            <w:tcBorders>
              <w:top w:val="nil"/>
            </w:tcBorders>
          </w:tcPr>
          <w:p>
            <w:pPr>
              <w:rPr>
                <w:sz w:val="2"/>
                <w:szCs w:val="2"/>
              </w:rPr>
            </w:pPr>
          </w:p>
        </w:tc>
        <w:tc>
          <w:tcPr>
            <w:tcW w:w="732" w:type="dxa"/>
            <w:vMerge w:val="continue"/>
            <w:tcBorders>
              <w:top w:val="nil"/>
            </w:tcBorders>
          </w:tcPr>
          <w:p>
            <w:pPr>
              <w:rPr>
                <w:sz w:val="2"/>
                <w:szCs w:val="2"/>
              </w:rPr>
            </w:pPr>
          </w:p>
        </w:tc>
        <w:tc>
          <w:tcPr>
            <w:tcW w:w="732"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842" w:type="dxa"/>
            <w:vMerge w:val="continue"/>
            <w:tcBorders>
              <w:top w:val="nil"/>
            </w:tcBorders>
          </w:tcPr>
          <w:p>
            <w:pPr>
              <w:rPr>
                <w:sz w:val="2"/>
                <w:szCs w:val="2"/>
              </w:rPr>
            </w:pPr>
          </w:p>
        </w:tc>
        <w:tc>
          <w:tcPr>
            <w:tcW w:w="803" w:type="dxa"/>
            <w:vMerge w:val="continue"/>
            <w:tcBorders>
              <w:top w:val="nil"/>
            </w:tcBorders>
          </w:tcPr>
          <w:p>
            <w:pPr>
              <w:rPr>
                <w:sz w:val="2"/>
                <w:szCs w:val="2"/>
              </w:rPr>
            </w:pPr>
          </w:p>
        </w:tc>
        <w:tc>
          <w:tcPr>
            <w:tcW w:w="677" w:type="dxa"/>
            <w:vMerge w:val="continue"/>
            <w:tcBorders>
              <w:top w:val="nil"/>
            </w:tcBorders>
          </w:tcPr>
          <w:p>
            <w:pPr>
              <w:rPr>
                <w:sz w:val="2"/>
                <w:szCs w:val="2"/>
              </w:rPr>
            </w:pPr>
          </w:p>
        </w:tc>
        <w:tc>
          <w:tcPr>
            <w:tcW w:w="983" w:type="dxa"/>
          </w:tcPr>
          <w:p>
            <w:pPr>
              <w:pStyle w:val="19"/>
              <w:spacing w:before="57"/>
              <w:ind w:left="181" w:right="172"/>
              <w:rPr>
                <w:rFonts w:ascii="Times New Roman"/>
                <w:b/>
                <w:sz w:val="21"/>
              </w:rPr>
            </w:pPr>
            <w:r>
              <w:rPr>
                <w:rFonts w:ascii="Times New Roman"/>
                <w:b/>
                <w:position w:val="2"/>
                <w:sz w:val="21"/>
              </w:rPr>
              <w:t>NH</w:t>
            </w:r>
            <w:r>
              <w:rPr>
                <w:rFonts w:ascii="Times New Roman"/>
                <w:b/>
                <w:position w:val="2"/>
                <w:sz w:val="21"/>
                <w:vertAlign w:val="subscript"/>
              </w:rPr>
              <w:t>3</w:t>
            </w:r>
          </w:p>
        </w:tc>
        <w:tc>
          <w:tcPr>
            <w:tcW w:w="1383" w:type="dxa"/>
          </w:tcPr>
          <w:p>
            <w:pPr>
              <w:pStyle w:val="19"/>
              <w:spacing w:before="62"/>
              <w:ind w:left="328" w:right="319"/>
              <w:rPr>
                <w:rFonts w:ascii="Times New Roman"/>
                <w:b/>
                <w:sz w:val="21"/>
              </w:rPr>
            </w:pPr>
            <w:r>
              <w:rPr>
                <w:rFonts w:ascii="Times New Roman"/>
                <w:b/>
                <w:position w:val="2"/>
                <w:sz w:val="21"/>
              </w:rPr>
              <w:t>H</w:t>
            </w:r>
            <w:r>
              <w:rPr>
                <w:rFonts w:ascii="Times New Roman"/>
                <w:b/>
                <w:position w:val="2"/>
                <w:sz w:val="21"/>
                <w:vertAlign w:val="subscript"/>
              </w:rPr>
              <w:t>2</w:t>
            </w:r>
            <w:r>
              <w:rPr>
                <w:rFonts w:ascii="Times New Roman"/>
                <w:b/>
                <w:position w:val="2"/>
                <w:sz w:val="21"/>
                <w:vertAlign w:val="baseli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39" w:type="dxa"/>
          </w:tcPr>
          <w:p>
            <w:pPr>
              <w:pStyle w:val="19"/>
              <w:spacing w:before="36"/>
              <w:ind w:left="132" w:right="126"/>
              <w:rPr>
                <w:sz w:val="21"/>
              </w:rPr>
            </w:pPr>
            <w:r>
              <w:rPr>
                <w:sz w:val="21"/>
              </w:rPr>
              <w:t>羊舍</w:t>
            </w:r>
          </w:p>
        </w:tc>
        <w:tc>
          <w:tcPr>
            <w:tcW w:w="732" w:type="dxa"/>
          </w:tcPr>
          <w:p>
            <w:pPr>
              <w:pStyle w:val="19"/>
              <w:spacing w:before="50"/>
              <w:ind w:left="9"/>
              <w:rPr>
                <w:rFonts w:ascii="Times New Roman"/>
                <w:sz w:val="21"/>
              </w:rPr>
            </w:pPr>
            <w:r>
              <w:rPr>
                <w:rFonts w:ascii="Times New Roman"/>
                <w:w w:val="99"/>
                <w:sz w:val="21"/>
              </w:rPr>
              <w:t>0</w:t>
            </w:r>
          </w:p>
        </w:tc>
        <w:tc>
          <w:tcPr>
            <w:tcW w:w="732" w:type="dxa"/>
          </w:tcPr>
          <w:p>
            <w:pPr>
              <w:pStyle w:val="19"/>
              <w:spacing w:before="50"/>
              <w:ind w:left="207"/>
              <w:jc w:val="left"/>
              <w:rPr>
                <w:rFonts w:ascii="Times New Roman"/>
                <w:sz w:val="21"/>
              </w:rPr>
            </w:pPr>
            <w:r>
              <w:rPr>
                <w:rFonts w:ascii="Times New Roman"/>
                <w:sz w:val="21"/>
              </w:rPr>
              <w:t>631</w:t>
            </w:r>
          </w:p>
        </w:tc>
        <w:tc>
          <w:tcPr>
            <w:tcW w:w="732" w:type="dxa"/>
          </w:tcPr>
          <w:p>
            <w:pPr>
              <w:pStyle w:val="19"/>
              <w:spacing w:before="50"/>
              <w:ind w:left="153" w:right="144"/>
              <w:rPr>
                <w:rFonts w:ascii="Times New Roman"/>
                <w:sz w:val="21"/>
              </w:rPr>
            </w:pPr>
            <w:r>
              <w:rPr>
                <w:rFonts w:ascii="Times New Roman"/>
                <w:sz w:val="21"/>
              </w:rPr>
              <w:t>437</w:t>
            </w:r>
          </w:p>
        </w:tc>
        <w:tc>
          <w:tcPr>
            <w:tcW w:w="735" w:type="dxa"/>
          </w:tcPr>
          <w:p>
            <w:pPr>
              <w:pStyle w:val="19"/>
              <w:spacing w:before="50"/>
              <w:ind w:left="6"/>
              <w:rPr>
                <w:rFonts w:ascii="Times New Roman"/>
                <w:sz w:val="21"/>
              </w:rPr>
            </w:pPr>
            <w:r>
              <w:rPr>
                <w:rFonts w:ascii="Times New Roman"/>
                <w:w w:val="99"/>
                <w:sz w:val="21"/>
              </w:rPr>
              <w:t>0</w:t>
            </w:r>
          </w:p>
        </w:tc>
        <w:tc>
          <w:tcPr>
            <w:tcW w:w="842" w:type="dxa"/>
          </w:tcPr>
          <w:p>
            <w:pPr>
              <w:pStyle w:val="19"/>
              <w:spacing w:before="50"/>
              <w:ind w:left="368"/>
              <w:jc w:val="left"/>
              <w:rPr>
                <w:rFonts w:ascii="Times New Roman"/>
                <w:sz w:val="21"/>
              </w:rPr>
            </w:pPr>
            <w:r>
              <w:rPr>
                <w:rFonts w:ascii="Times New Roman"/>
                <w:w w:val="99"/>
                <w:sz w:val="21"/>
              </w:rPr>
              <w:t>8</w:t>
            </w:r>
          </w:p>
        </w:tc>
        <w:tc>
          <w:tcPr>
            <w:tcW w:w="803" w:type="dxa"/>
          </w:tcPr>
          <w:p>
            <w:pPr>
              <w:pStyle w:val="19"/>
              <w:spacing w:before="50"/>
              <w:ind w:left="114" w:right="104"/>
              <w:rPr>
                <w:rFonts w:ascii="Times New Roman"/>
                <w:sz w:val="21"/>
              </w:rPr>
            </w:pPr>
            <w:r>
              <w:rPr>
                <w:rFonts w:ascii="Times New Roman"/>
                <w:sz w:val="21"/>
              </w:rPr>
              <w:t>8760</w:t>
            </w:r>
          </w:p>
        </w:tc>
        <w:tc>
          <w:tcPr>
            <w:tcW w:w="677" w:type="dxa"/>
          </w:tcPr>
          <w:p>
            <w:pPr>
              <w:pStyle w:val="19"/>
              <w:spacing w:before="36"/>
              <w:ind w:left="106" w:right="101"/>
              <w:rPr>
                <w:sz w:val="21"/>
              </w:rPr>
            </w:pPr>
            <w:r>
              <w:rPr>
                <w:sz w:val="21"/>
              </w:rPr>
              <w:t>正常</w:t>
            </w:r>
          </w:p>
        </w:tc>
        <w:tc>
          <w:tcPr>
            <w:tcW w:w="983" w:type="dxa"/>
          </w:tcPr>
          <w:p>
            <w:pPr>
              <w:pStyle w:val="19"/>
              <w:spacing w:before="50"/>
              <w:ind w:left="183" w:right="172"/>
              <w:rPr>
                <w:rFonts w:ascii="Times New Roman"/>
                <w:sz w:val="21"/>
              </w:rPr>
            </w:pPr>
            <w:r>
              <w:rPr>
                <w:rFonts w:ascii="Times New Roman"/>
                <w:sz w:val="21"/>
              </w:rPr>
              <w:t>0.0306</w:t>
            </w:r>
          </w:p>
        </w:tc>
        <w:tc>
          <w:tcPr>
            <w:tcW w:w="1383" w:type="dxa"/>
          </w:tcPr>
          <w:p>
            <w:pPr>
              <w:pStyle w:val="19"/>
              <w:spacing w:before="50"/>
              <w:ind w:left="328" w:right="321"/>
              <w:rPr>
                <w:rFonts w:ascii="Times New Roman"/>
                <w:sz w:val="21"/>
              </w:rPr>
            </w:pPr>
            <w:r>
              <w:rPr>
                <w:rFonts w:ascii="Times New Roman"/>
                <w:sz w:val="21"/>
              </w:rPr>
              <w:t>0.00306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39" w:type="dxa"/>
          </w:tcPr>
          <w:p>
            <w:pPr>
              <w:pStyle w:val="19"/>
              <w:spacing w:before="34"/>
              <w:ind w:left="132" w:right="126"/>
              <w:rPr>
                <w:sz w:val="21"/>
              </w:rPr>
            </w:pPr>
            <w:r>
              <w:rPr>
                <w:sz w:val="21"/>
              </w:rPr>
              <w:t>堆肥厂</w:t>
            </w:r>
          </w:p>
        </w:tc>
        <w:tc>
          <w:tcPr>
            <w:tcW w:w="732" w:type="dxa"/>
          </w:tcPr>
          <w:p>
            <w:pPr>
              <w:pStyle w:val="19"/>
              <w:spacing w:before="48"/>
              <w:ind w:left="9"/>
              <w:rPr>
                <w:rFonts w:ascii="Times New Roman"/>
                <w:sz w:val="21"/>
              </w:rPr>
            </w:pPr>
            <w:r>
              <w:rPr>
                <w:rFonts w:ascii="Times New Roman"/>
                <w:w w:val="99"/>
                <w:sz w:val="21"/>
              </w:rPr>
              <w:t>0</w:t>
            </w:r>
          </w:p>
        </w:tc>
        <w:tc>
          <w:tcPr>
            <w:tcW w:w="732" w:type="dxa"/>
          </w:tcPr>
          <w:p>
            <w:pPr>
              <w:pStyle w:val="19"/>
              <w:spacing w:before="48"/>
              <w:ind w:left="260"/>
              <w:jc w:val="left"/>
              <w:rPr>
                <w:rFonts w:ascii="Times New Roman"/>
                <w:sz w:val="21"/>
              </w:rPr>
            </w:pPr>
            <w:r>
              <w:rPr>
                <w:rFonts w:ascii="Times New Roman"/>
                <w:sz w:val="21"/>
              </w:rPr>
              <w:t>80</w:t>
            </w:r>
          </w:p>
        </w:tc>
        <w:tc>
          <w:tcPr>
            <w:tcW w:w="732" w:type="dxa"/>
          </w:tcPr>
          <w:p>
            <w:pPr>
              <w:pStyle w:val="19"/>
              <w:spacing w:before="48"/>
              <w:ind w:left="153" w:right="144"/>
              <w:rPr>
                <w:rFonts w:ascii="Times New Roman"/>
                <w:sz w:val="21"/>
              </w:rPr>
            </w:pPr>
            <w:r>
              <w:rPr>
                <w:rFonts w:ascii="Times New Roman"/>
                <w:sz w:val="21"/>
              </w:rPr>
              <w:t>50</w:t>
            </w:r>
          </w:p>
        </w:tc>
        <w:tc>
          <w:tcPr>
            <w:tcW w:w="735" w:type="dxa"/>
          </w:tcPr>
          <w:p>
            <w:pPr>
              <w:pStyle w:val="19"/>
              <w:spacing w:before="48"/>
              <w:ind w:left="6"/>
              <w:rPr>
                <w:rFonts w:ascii="Times New Roman"/>
                <w:sz w:val="21"/>
              </w:rPr>
            </w:pPr>
            <w:r>
              <w:rPr>
                <w:rFonts w:ascii="Times New Roman"/>
                <w:w w:val="99"/>
                <w:sz w:val="21"/>
              </w:rPr>
              <w:t>0</w:t>
            </w:r>
          </w:p>
        </w:tc>
        <w:tc>
          <w:tcPr>
            <w:tcW w:w="842" w:type="dxa"/>
          </w:tcPr>
          <w:p>
            <w:pPr>
              <w:pStyle w:val="19"/>
              <w:spacing w:before="48"/>
              <w:ind w:left="368"/>
              <w:jc w:val="left"/>
              <w:rPr>
                <w:rFonts w:ascii="Times New Roman"/>
                <w:sz w:val="21"/>
              </w:rPr>
            </w:pPr>
            <w:r>
              <w:rPr>
                <w:rFonts w:ascii="Times New Roman"/>
                <w:w w:val="99"/>
                <w:sz w:val="21"/>
              </w:rPr>
              <w:t>8</w:t>
            </w:r>
          </w:p>
        </w:tc>
        <w:tc>
          <w:tcPr>
            <w:tcW w:w="803" w:type="dxa"/>
          </w:tcPr>
          <w:p>
            <w:pPr>
              <w:pStyle w:val="19"/>
              <w:spacing w:before="48"/>
              <w:ind w:left="114" w:right="104"/>
              <w:rPr>
                <w:rFonts w:ascii="Times New Roman"/>
                <w:sz w:val="21"/>
              </w:rPr>
            </w:pPr>
            <w:r>
              <w:rPr>
                <w:rFonts w:ascii="Times New Roman"/>
                <w:sz w:val="21"/>
              </w:rPr>
              <w:t>8760</w:t>
            </w:r>
          </w:p>
        </w:tc>
        <w:tc>
          <w:tcPr>
            <w:tcW w:w="677" w:type="dxa"/>
          </w:tcPr>
          <w:p>
            <w:pPr>
              <w:pStyle w:val="19"/>
              <w:spacing w:before="34"/>
              <w:ind w:left="106" w:right="101"/>
              <w:rPr>
                <w:sz w:val="21"/>
              </w:rPr>
            </w:pPr>
            <w:r>
              <w:rPr>
                <w:sz w:val="21"/>
              </w:rPr>
              <w:t>正常</w:t>
            </w:r>
          </w:p>
        </w:tc>
        <w:tc>
          <w:tcPr>
            <w:tcW w:w="983" w:type="dxa"/>
          </w:tcPr>
          <w:p>
            <w:pPr>
              <w:pStyle w:val="19"/>
              <w:spacing w:before="48"/>
              <w:ind w:left="183" w:right="172"/>
              <w:rPr>
                <w:rFonts w:ascii="Times New Roman"/>
                <w:sz w:val="21"/>
              </w:rPr>
            </w:pPr>
            <w:r>
              <w:rPr>
                <w:rFonts w:ascii="Times New Roman"/>
                <w:sz w:val="21"/>
              </w:rPr>
              <w:t>0.0026</w:t>
            </w:r>
          </w:p>
        </w:tc>
        <w:tc>
          <w:tcPr>
            <w:tcW w:w="1383" w:type="dxa"/>
          </w:tcPr>
          <w:p>
            <w:pPr>
              <w:pStyle w:val="19"/>
              <w:spacing w:before="48"/>
              <w:ind w:left="328" w:right="321"/>
              <w:rPr>
                <w:rFonts w:ascii="Times New Roman"/>
                <w:sz w:val="21"/>
              </w:rPr>
            </w:pPr>
            <w:r>
              <w:rPr>
                <w:rFonts w:ascii="Times New Roman"/>
                <w:sz w:val="21"/>
              </w:rPr>
              <w:t>0.00216</w:t>
            </w:r>
          </w:p>
        </w:tc>
      </w:tr>
    </w:tbl>
    <w:p>
      <w:pPr>
        <w:pStyle w:val="7"/>
        <w:spacing w:before="1"/>
        <w:ind w:left="0"/>
        <w:rPr>
          <w:b/>
          <w:sz w:val="19"/>
        </w:rPr>
      </w:pPr>
    </w:p>
    <w:p>
      <w:pPr>
        <w:pStyle w:val="18"/>
        <w:numPr>
          <w:ilvl w:val="3"/>
          <w:numId w:val="52"/>
        </w:numPr>
        <w:tabs>
          <w:tab w:val="left" w:pos="1320"/>
        </w:tabs>
        <w:spacing w:before="0" w:after="0" w:line="240" w:lineRule="auto"/>
        <w:ind w:left="1320" w:right="0" w:hanging="780"/>
        <w:jc w:val="both"/>
        <w:rPr>
          <w:sz w:val="24"/>
        </w:rPr>
      </w:pPr>
      <w:bookmarkStart w:id="284" w:name="5.2.1.2 大气污染物预测结果及分析"/>
      <w:bookmarkEnd w:id="284"/>
      <w:bookmarkStart w:id="285" w:name="5.2.1.2 大气污染物预测结果及分析"/>
      <w:bookmarkEnd w:id="285"/>
      <w:r>
        <w:rPr>
          <w:sz w:val="24"/>
        </w:rPr>
        <w:t>大气污染物预测结果及分析</w:t>
      </w:r>
    </w:p>
    <w:p>
      <w:pPr>
        <w:pStyle w:val="7"/>
        <w:spacing w:before="168" w:line="364" w:lineRule="auto"/>
        <w:ind w:right="577" w:firstLine="482"/>
        <w:jc w:val="both"/>
      </w:pPr>
      <w:r>
        <w:rPr>
          <w:spacing w:val="-5"/>
        </w:rPr>
        <w:t>根据估算模式预测软件的计算结果对硫化氢和氨气的环境影响进行分析。分</w:t>
      </w:r>
      <w:r>
        <w:rPr>
          <w:spacing w:val="-11"/>
        </w:rPr>
        <w:t>析结果见表</w:t>
      </w:r>
      <w:r>
        <w:rPr>
          <w:rFonts w:ascii="Times New Roman" w:eastAsia="Times New Roman"/>
        </w:rPr>
        <w:t>5.2-3</w:t>
      </w:r>
      <w:r>
        <w:rPr>
          <w:spacing w:val="-20"/>
        </w:rPr>
        <w:t>和表</w:t>
      </w:r>
      <w:r>
        <w:rPr>
          <w:rFonts w:ascii="Times New Roman" w:eastAsia="Times New Roman"/>
        </w:rPr>
        <w:t>5.2-4</w:t>
      </w:r>
      <w:r>
        <w:t>。</w:t>
      </w:r>
    </w:p>
    <w:p>
      <w:pPr>
        <w:pStyle w:val="7"/>
        <w:spacing w:line="364" w:lineRule="auto"/>
        <w:ind w:right="575" w:firstLine="480"/>
        <w:jc w:val="both"/>
        <w:rPr>
          <w:color w:val="0000FF"/>
        </w:rPr>
      </w:pPr>
      <w:r>
        <w:rPr>
          <w:color w:val="0000FF"/>
          <w:spacing w:val="-7"/>
          <w:position w:val="2"/>
        </w:rPr>
        <w:t>以上统计结果表明，本项目各排污单元</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spacing w:val="-22"/>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5"/>
          <w:position w:val="2"/>
          <w:vertAlign w:val="baseline"/>
        </w:rPr>
        <w:t>厂界臭气浓度满足《恶臭</w:t>
      </w:r>
      <w:r>
        <w:rPr>
          <w:color w:val="0000FF"/>
          <w:spacing w:val="-10"/>
          <w:vertAlign w:val="baseline"/>
        </w:rPr>
        <w:t>污染物排放标准》表</w:t>
      </w:r>
      <w:r>
        <w:rPr>
          <w:rFonts w:ascii="Times New Roman" w:eastAsia="Times New Roman"/>
          <w:color w:val="0000FF"/>
          <w:vertAlign w:val="baseline"/>
        </w:rPr>
        <w:t>1</w:t>
      </w:r>
      <w:r>
        <w:rPr>
          <w:color w:val="0000FF"/>
          <w:spacing w:val="-6"/>
          <w:vertAlign w:val="baseline"/>
        </w:rPr>
        <w:t>恶臭污染物厂界标准值，排气筒满足《恶臭污染物排放标</w:t>
      </w:r>
      <w:r>
        <w:rPr>
          <w:color w:val="0000FF"/>
          <w:spacing w:val="-24"/>
          <w:vertAlign w:val="baseline"/>
        </w:rPr>
        <w:t>准》表</w:t>
      </w:r>
      <w:r>
        <w:rPr>
          <w:rFonts w:ascii="Times New Roman" w:eastAsia="Times New Roman"/>
          <w:color w:val="0000FF"/>
          <w:vertAlign w:val="baseline"/>
        </w:rPr>
        <w:t>2</w:t>
      </w:r>
      <w:r>
        <w:rPr>
          <w:color w:val="0000FF"/>
          <w:spacing w:val="-11"/>
          <w:vertAlign w:val="baseline"/>
        </w:rPr>
        <w:t>二级标准，对环境影响较小。距离本项目最近的居民区为西侧</w:t>
      </w:r>
      <w:r>
        <w:rPr>
          <w:rFonts w:hint="eastAsia"/>
          <w:color w:val="0000FF"/>
          <w:spacing w:val="-11"/>
          <w:vertAlign w:val="baseline"/>
          <w:lang w:val="en-US" w:eastAsia="zh-CN"/>
        </w:rPr>
        <w:t>1.6</w:t>
      </w:r>
      <w:r>
        <w:rPr>
          <w:rFonts w:ascii="Times New Roman" w:eastAsia="Times New Roman"/>
          <w:color w:val="0000FF"/>
          <w:vertAlign w:val="baseline"/>
        </w:rPr>
        <w:t>km</w:t>
      </w:r>
      <w:r>
        <w:rPr>
          <w:color w:val="0000FF"/>
          <w:spacing w:val="-16"/>
          <w:vertAlign w:val="baseline"/>
        </w:rPr>
        <w:t>处</w:t>
      </w:r>
      <w:r>
        <w:rPr>
          <w:color w:val="0000FF"/>
          <w:spacing w:val="-8"/>
          <w:vertAlign w:val="baseline"/>
        </w:rPr>
        <w:t>的</w:t>
      </w:r>
      <w:r>
        <w:rPr>
          <w:rFonts w:hint="eastAsia"/>
          <w:color w:val="0000FF"/>
          <w:spacing w:val="-8"/>
          <w:vertAlign w:val="baseline"/>
          <w:lang w:val="en-US" w:eastAsia="zh-CN"/>
        </w:rPr>
        <w:t>萨依吾斯塘</w:t>
      </w:r>
      <w:r>
        <w:rPr>
          <w:color w:val="0000FF"/>
          <w:spacing w:val="-8"/>
          <w:vertAlign w:val="baseline"/>
        </w:rPr>
        <w:t>村，处于项目区上风向，距离较远，本项目产生的粉尘、恶臭等</w:t>
      </w:r>
      <w:r>
        <w:rPr>
          <w:color w:val="0000FF"/>
          <w:vertAlign w:val="baseline"/>
        </w:rPr>
        <w:t>污染物对其影响甚微。</w:t>
      </w:r>
    </w:p>
    <w:p>
      <w:pPr>
        <w:pStyle w:val="18"/>
        <w:numPr>
          <w:ilvl w:val="3"/>
          <w:numId w:val="52"/>
        </w:numPr>
        <w:tabs>
          <w:tab w:val="left" w:pos="1320"/>
        </w:tabs>
        <w:spacing w:before="9" w:after="0" w:line="240" w:lineRule="auto"/>
        <w:ind w:left="1320" w:right="0" w:hanging="780"/>
        <w:jc w:val="both"/>
        <w:rPr>
          <w:sz w:val="24"/>
        </w:rPr>
      </w:pPr>
      <w:bookmarkStart w:id="286" w:name="5.2.1.3 大气环境防护距离分析"/>
      <w:bookmarkEnd w:id="286"/>
      <w:bookmarkStart w:id="287" w:name="5.2.1.3 大气环境防护距离分析"/>
      <w:bookmarkEnd w:id="287"/>
      <w:r>
        <w:rPr>
          <w:sz w:val="24"/>
        </w:rPr>
        <w:t>大气环境防护距离分析</w:t>
      </w:r>
    </w:p>
    <w:p>
      <w:pPr>
        <w:pStyle w:val="7"/>
        <w:spacing w:before="168" w:line="364" w:lineRule="auto"/>
        <w:ind w:right="457" w:firstLine="480"/>
        <w:jc w:val="both"/>
      </w:pPr>
      <w:r>
        <w:t>根据《环境影响评价技术导则</w:t>
      </w:r>
      <w:r>
        <w:rPr>
          <w:rFonts w:ascii="Times New Roman" w:hAnsi="Times New Roman" w:eastAsia="Times New Roman"/>
        </w:rPr>
        <w:t>·</w:t>
      </w:r>
      <w:r>
        <w:t>大气环境》（</w:t>
      </w:r>
      <w:r>
        <w:rPr>
          <w:rFonts w:ascii="Times New Roman" w:hAnsi="Times New Roman" w:eastAsia="Times New Roman"/>
        </w:rPr>
        <w:t>HJ 2.2-2018</w:t>
      </w:r>
      <w:r>
        <w:t>）规定，本项目为</w:t>
      </w:r>
      <w:r>
        <w:rPr>
          <w:spacing w:val="-16"/>
        </w:rPr>
        <w:t>大气环境二级评价，不进行进一步预测与评价，因此本项目不设置大气防护距离。</w:t>
      </w:r>
    </w:p>
    <w:p>
      <w:pPr>
        <w:pStyle w:val="18"/>
        <w:numPr>
          <w:ilvl w:val="3"/>
          <w:numId w:val="52"/>
        </w:numPr>
        <w:tabs>
          <w:tab w:val="left" w:pos="1320"/>
        </w:tabs>
        <w:spacing w:before="8" w:after="0" w:line="240" w:lineRule="auto"/>
        <w:ind w:left="1320" w:right="0" w:hanging="780"/>
        <w:jc w:val="both"/>
        <w:rPr>
          <w:sz w:val="24"/>
        </w:rPr>
      </w:pPr>
      <w:bookmarkStart w:id="288" w:name="5.2.1.4 卫生防护距离确定"/>
      <w:bookmarkEnd w:id="288"/>
      <w:bookmarkStart w:id="289" w:name="5.2.1.4 卫生防护距离确定"/>
      <w:bookmarkEnd w:id="289"/>
      <w:r>
        <w:rPr>
          <w:sz w:val="24"/>
        </w:rPr>
        <w:t>卫生防护距离确定</w:t>
      </w:r>
    </w:p>
    <w:p>
      <w:pPr>
        <w:pStyle w:val="7"/>
        <w:spacing w:before="168" w:line="364" w:lineRule="auto"/>
        <w:ind w:right="577" w:firstLine="480"/>
        <w:jc w:val="both"/>
      </w:pPr>
      <w:r>
        <w:t>依照《畜禽养殖业污染防治技术规范》（</w:t>
      </w:r>
      <w:r>
        <w:rPr>
          <w:rFonts w:ascii="Times New Roman" w:eastAsia="Times New Roman"/>
        </w:rPr>
        <w:t>HJ/T81-2001</w:t>
      </w:r>
      <w:r>
        <w:t>）相关规定，新建畜</w:t>
      </w:r>
      <w:r>
        <w:rPr>
          <w:spacing w:val="-5"/>
        </w:rPr>
        <w:t>禽养殖场应建设在禁建区常年主导风向的下风向或侧风向，场界与禁建区边界距</w:t>
      </w:r>
      <w:r>
        <w:t>离不得小于</w:t>
      </w:r>
      <w:r>
        <w:rPr>
          <w:rFonts w:ascii="Times New Roman" w:eastAsia="Times New Roman"/>
        </w:rPr>
        <w:t>500m</w:t>
      </w:r>
      <w:r>
        <w:t>的规定。因此，该项目卫生防护距离设置为</w:t>
      </w:r>
      <w:r>
        <w:rPr>
          <w:rFonts w:ascii="Times New Roman" w:eastAsia="Times New Roman"/>
        </w:rPr>
        <w:t>500m</w:t>
      </w:r>
      <w:r>
        <w:t>。</w:t>
      </w:r>
    </w:p>
    <w:p>
      <w:pPr>
        <w:pStyle w:val="7"/>
        <w:spacing w:before="2" w:line="364" w:lineRule="auto"/>
        <w:ind w:right="659" w:firstLine="480"/>
      </w:pPr>
      <w:r>
        <w:t>根据现场调查，项目区养殖场边界周围</w:t>
      </w:r>
      <w:r>
        <w:rPr>
          <w:rFonts w:ascii="Times New Roman" w:eastAsia="Times New Roman"/>
        </w:rPr>
        <w:t>500m</w:t>
      </w:r>
      <w:r>
        <w:t>范围内无《畜禽养殖业污染防治技术规范》中的禁止区域，项目场址可以满足卫生防护距离的要求。</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5"/>
        <w:ind w:left="0"/>
        <w:rPr>
          <w:sz w:val="11"/>
        </w:rPr>
      </w:pPr>
      <w:r>
        <w:drawing>
          <wp:anchor distT="0" distB="0" distL="0" distR="0" simplePos="0" relativeHeight="232322048" behindDoc="1" locked="0" layoutInCell="1" allowOverlap="1">
            <wp:simplePos x="0" y="0"/>
            <wp:positionH relativeFrom="page">
              <wp:posOffset>3070860</wp:posOffset>
            </wp:positionH>
            <wp:positionV relativeFrom="page">
              <wp:posOffset>5292725</wp:posOffset>
            </wp:positionV>
            <wp:extent cx="320040" cy="173990"/>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png"/>
                    <pic:cNvPicPr>
                      <a:picLocks noChangeAspect="1"/>
                    </pic:cNvPicPr>
                  </pic:nvPicPr>
                  <pic:blipFill>
                    <a:blip r:embed="rId49"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3072" behindDoc="1" locked="0" layoutInCell="1" allowOverlap="1">
            <wp:simplePos x="0" y="0"/>
            <wp:positionH relativeFrom="page">
              <wp:posOffset>4993640</wp:posOffset>
            </wp:positionH>
            <wp:positionV relativeFrom="page">
              <wp:posOffset>5292725</wp:posOffset>
            </wp:positionV>
            <wp:extent cx="320040" cy="173990"/>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pic:cNvPicPr>
                      <a:picLocks noChangeAspect="1"/>
                    </pic:cNvPicPr>
                  </pic:nvPicPr>
                  <pic:blipFill>
                    <a:blip r:embed="rId49"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4096" behindDoc="1" locked="0" layoutInCell="1" allowOverlap="1">
            <wp:simplePos x="0" y="0"/>
            <wp:positionH relativeFrom="page">
              <wp:posOffset>5202555</wp:posOffset>
            </wp:positionH>
            <wp:positionV relativeFrom="page">
              <wp:posOffset>5597525</wp:posOffset>
            </wp:positionV>
            <wp:extent cx="320040" cy="173990"/>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pic:cNvPicPr>
                      <a:picLocks noChangeAspect="1"/>
                    </pic:cNvPicPr>
                  </pic:nvPicPr>
                  <pic:blipFill>
                    <a:blip r:embed="rId49"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5120" behindDoc="1" locked="0" layoutInCell="1" allowOverlap="1">
            <wp:simplePos x="0" y="0"/>
            <wp:positionH relativeFrom="page">
              <wp:posOffset>3628390</wp:posOffset>
            </wp:positionH>
            <wp:positionV relativeFrom="page">
              <wp:posOffset>5844540</wp:posOffset>
            </wp:positionV>
            <wp:extent cx="320040" cy="173990"/>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pic:cNvPicPr>
                      <a:picLocks noChangeAspect="1"/>
                    </pic:cNvPicPr>
                  </pic:nvPicPr>
                  <pic:blipFill>
                    <a:blip r:embed="rId49"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6144" behindDoc="1" locked="0" layoutInCell="1" allowOverlap="1">
            <wp:simplePos x="0" y="0"/>
            <wp:positionH relativeFrom="page">
              <wp:posOffset>5202555</wp:posOffset>
            </wp:positionH>
            <wp:positionV relativeFrom="page">
              <wp:posOffset>5844540</wp:posOffset>
            </wp:positionV>
            <wp:extent cx="320040" cy="173990"/>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pic:cNvPicPr>
                  </pic:nvPicPr>
                  <pic:blipFill>
                    <a:blip r:embed="rId49"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7168" behindDoc="1" locked="0" layoutInCell="1" allowOverlap="1">
            <wp:simplePos x="0" y="0"/>
            <wp:positionH relativeFrom="page">
              <wp:posOffset>3951605</wp:posOffset>
            </wp:positionH>
            <wp:positionV relativeFrom="page">
              <wp:posOffset>6112510</wp:posOffset>
            </wp:positionV>
            <wp:extent cx="320040" cy="193675"/>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pic:cNvPicPr>
                      <a:picLocks noChangeAspect="1"/>
                    </pic:cNvPicPr>
                  </pic:nvPicPr>
                  <pic:blipFill>
                    <a:blip r:embed="rId50" cstate="print"/>
                    <a:stretch>
                      <a:fillRect/>
                    </a:stretch>
                  </pic:blipFill>
                  <pic:spPr>
                    <a:xfrm>
                      <a:off x="0" y="0"/>
                      <a:ext cx="320039" cy="193548"/>
                    </a:xfrm>
                    <a:prstGeom prst="rect">
                      <a:avLst/>
                    </a:prstGeom>
                  </pic:spPr>
                </pic:pic>
              </a:graphicData>
            </a:graphic>
          </wp:anchor>
        </w:drawing>
      </w:r>
      <w:r>
        <w:drawing>
          <wp:anchor distT="0" distB="0" distL="0" distR="0" simplePos="0" relativeHeight="232328192" behindDoc="1" locked="0" layoutInCell="1" allowOverlap="1">
            <wp:simplePos x="0" y="0"/>
            <wp:positionH relativeFrom="page">
              <wp:posOffset>5231765</wp:posOffset>
            </wp:positionH>
            <wp:positionV relativeFrom="page">
              <wp:posOffset>6123305</wp:posOffset>
            </wp:positionV>
            <wp:extent cx="320040" cy="173990"/>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pic:cNvPicPr>
                  </pic:nvPicPr>
                  <pic:blipFill>
                    <a:blip r:embed="rId49" cstate="print"/>
                    <a:stretch>
                      <a:fillRect/>
                    </a:stretch>
                  </pic:blipFill>
                  <pic:spPr>
                    <a:xfrm>
                      <a:off x="0" y="0"/>
                      <a:ext cx="320039" cy="173736"/>
                    </a:xfrm>
                    <a:prstGeom prst="rect">
                      <a:avLst/>
                    </a:prstGeom>
                  </pic:spPr>
                </pic:pic>
              </a:graphicData>
            </a:graphic>
          </wp:anchor>
        </w:drawing>
      </w:r>
      <w:r>
        <w:drawing>
          <wp:anchor distT="0" distB="0" distL="0" distR="0" simplePos="0" relativeHeight="232329216" behindDoc="1" locked="0" layoutInCell="1" allowOverlap="1">
            <wp:simplePos x="0" y="0"/>
            <wp:positionH relativeFrom="page">
              <wp:posOffset>3590290</wp:posOffset>
            </wp:positionH>
            <wp:positionV relativeFrom="page">
              <wp:posOffset>6542405</wp:posOffset>
            </wp:positionV>
            <wp:extent cx="237490" cy="173990"/>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pic:cNvPicPr>
                      <a:picLocks noChangeAspect="1"/>
                    </pic:cNvPicPr>
                  </pic:nvPicPr>
                  <pic:blipFill>
                    <a:blip r:embed="rId51" cstate="print"/>
                    <a:stretch>
                      <a:fillRect/>
                    </a:stretch>
                  </pic:blipFill>
                  <pic:spPr>
                    <a:xfrm>
                      <a:off x="0" y="0"/>
                      <a:ext cx="237744" cy="173736"/>
                    </a:xfrm>
                    <a:prstGeom prst="rect">
                      <a:avLst/>
                    </a:prstGeom>
                  </pic:spPr>
                </pic:pic>
              </a:graphicData>
            </a:graphic>
          </wp:anchor>
        </w:drawing>
      </w:r>
      <w:r>
        <w:drawing>
          <wp:anchor distT="0" distB="0" distL="0" distR="0" simplePos="0" relativeHeight="232330240" behindDoc="1" locked="0" layoutInCell="1" allowOverlap="1">
            <wp:simplePos x="0" y="0"/>
            <wp:positionH relativeFrom="page">
              <wp:posOffset>5457190</wp:posOffset>
            </wp:positionH>
            <wp:positionV relativeFrom="page">
              <wp:posOffset>6542405</wp:posOffset>
            </wp:positionV>
            <wp:extent cx="237490" cy="173990"/>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51" cstate="print"/>
                    <a:stretch>
                      <a:fillRect/>
                    </a:stretch>
                  </pic:blipFill>
                  <pic:spPr>
                    <a:xfrm>
                      <a:off x="0" y="0"/>
                      <a:ext cx="237744" cy="173736"/>
                    </a:xfrm>
                    <a:prstGeom prst="rect">
                      <a:avLst/>
                    </a:prstGeom>
                  </pic:spPr>
                </pic:pic>
              </a:graphicData>
            </a:graphic>
          </wp:anchor>
        </w:drawing>
      </w:r>
    </w:p>
    <w:p>
      <w:pPr>
        <w:pStyle w:val="7"/>
        <w:bidi w:val="0"/>
        <w:jc w:val="center"/>
      </w:pPr>
      <w:r>
        <w:t>表</w:t>
      </w:r>
      <w:r>
        <w:rPr>
          <w:rFonts w:ascii="Times New Roman" w:eastAsia="Times New Roman"/>
        </w:rPr>
        <w:t>5.2-5</w:t>
      </w:r>
      <w:r>
        <w:rPr>
          <w:rFonts w:ascii="Times New Roman" w:eastAsia="Times New Roman"/>
        </w:rPr>
        <w:tab/>
      </w:r>
      <w:r>
        <w:t>大气环境影响评价自查表</w:t>
      </w:r>
    </w:p>
    <w:tbl>
      <w:tblPr>
        <w:tblStyle w:val="15"/>
        <w:tblW w:w="0" w:type="auto"/>
        <w:tblInd w:w="5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6"/>
        <w:gridCol w:w="1458"/>
        <w:gridCol w:w="853"/>
        <w:gridCol w:w="428"/>
        <w:gridCol w:w="200"/>
        <w:gridCol w:w="511"/>
        <w:gridCol w:w="502"/>
        <w:gridCol w:w="359"/>
        <w:gridCol w:w="135"/>
        <w:gridCol w:w="527"/>
        <w:gridCol w:w="416"/>
        <w:gridCol w:w="331"/>
        <w:gridCol w:w="221"/>
        <w:gridCol w:w="308"/>
        <w:gridCol w:w="324"/>
        <w:gridCol w:w="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74" w:type="dxa"/>
            <w:gridSpan w:val="2"/>
          </w:tcPr>
          <w:p>
            <w:pPr>
              <w:pStyle w:val="19"/>
              <w:spacing w:before="68"/>
              <w:ind w:left="806" w:right="797"/>
              <w:rPr>
                <w:sz w:val="18"/>
              </w:rPr>
            </w:pPr>
            <w:r>
              <w:rPr>
                <w:sz w:val="18"/>
              </w:rPr>
              <w:t>工作内容</w:t>
            </w:r>
          </w:p>
        </w:tc>
        <w:tc>
          <w:tcPr>
            <w:tcW w:w="5985" w:type="dxa"/>
            <w:gridSpan w:val="14"/>
          </w:tcPr>
          <w:p>
            <w:pPr>
              <w:pStyle w:val="19"/>
              <w:spacing w:before="68"/>
              <w:ind w:left="12"/>
              <w:rPr>
                <w:sz w:val="18"/>
              </w:rPr>
            </w:pPr>
            <w:r>
              <w:rPr>
                <w:sz w:val="18"/>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restart"/>
          </w:tcPr>
          <w:p>
            <w:pPr>
              <w:pStyle w:val="19"/>
              <w:spacing w:before="114" w:line="268" w:lineRule="auto"/>
              <w:ind w:left="188" w:right="86" w:hanging="92"/>
              <w:jc w:val="left"/>
              <w:rPr>
                <w:sz w:val="18"/>
              </w:rPr>
            </w:pPr>
            <w:r>
              <w:rPr>
                <w:sz w:val="18"/>
              </w:rPr>
              <w:t>评价等级与范围</w:t>
            </w:r>
          </w:p>
        </w:tc>
        <w:tc>
          <w:tcPr>
            <w:tcW w:w="1458" w:type="dxa"/>
          </w:tcPr>
          <w:p>
            <w:pPr>
              <w:pStyle w:val="19"/>
              <w:spacing w:before="68"/>
              <w:ind w:left="369"/>
              <w:jc w:val="left"/>
              <w:rPr>
                <w:sz w:val="18"/>
              </w:rPr>
            </w:pPr>
            <w:r>
              <w:rPr>
                <w:sz w:val="18"/>
              </w:rPr>
              <w:t>评价等级</w:t>
            </w:r>
          </w:p>
        </w:tc>
        <w:tc>
          <w:tcPr>
            <w:tcW w:w="1992" w:type="dxa"/>
            <w:gridSpan w:val="4"/>
          </w:tcPr>
          <w:p>
            <w:pPr>
              <w:pStyle w:val="19"/>
              <w:spacing w:before="68"/>
              <w:ind w:left="650" w:right="640"/>
              <w:rPr>
                <w:rFonts w:ascii="Calibri" w:hAnsi="Calibri" w:eastAsia="Calibri"/>
                <w:sz w:val="18"/>
              </w:rPr>
            </w:pPr>
            <w:r>
              <w:rPr>
                <w:sz w:val="18"/>
              </w:rPr>
              <w:t>一级</w:t>
            </w:r>
            <w:r>
              <w:rPr>
                <w:rFonts w:ascii="Calibri" w:hAnsi="Calibri" w:eastAsia="Calibri"/>
                <w:sz w:val="18"/>
              </w:rPr>
              <w:t>□</w:t>
            </w:r>
          </w:p>
        </w:tc>
        <w:tc>
          <w:tcPr>
            <w:tcW w:w="1939" w:type="dxa"/>
            <w:gridSpan w:val="5"/>
          </w:tcPr>
          <w:p>
            <w:pPr>
              <w:pStyle w:val="19"/>
              <w:spacing w:before="68"/>
              <w:ind w:left="679" w:right="670"/>
              <w:rPr>
                <w:rFonts w:hint="eastAsia" w:ascii="MS UI Gothic" w:hAnsi="MS UI Gothic" w:eastAsia="MS UI Gothic"/>
                <w:sz w:val="18"/>
              </w:rPr>
            </w:pPr>
            <w:r>
              <w:rPr>
                <w:sz w:val="18"/>
              </w:rPr>
              <w:t>二级</w:t>
            </w:r>
            <w:r>
              <w:rPr>
                <w:rFonts w:hint="eastAsia" w:ascii="MS UI Gothic" w:hAnsi="MS UI Gothic" w:eastAsia="MS UI Gothic"/>
                <w:sz w:val="18"/>
              </w:rPr>
              <w:t>☑</w:t>
            </w:r>
          </w:p>
        </w:tc>
        <w:tc>
          <w:tcPr>
            <w:tcW w:w="2054" w:type="dxa"/>
            <w:gridSpan w:val="5"/>
          </w:tcPr>
          <w:p>
            <w:pPr>
              <w:pStyle w:val="19"/>
              <w:spacing w:before="68"/>
              <w:ind w:left="773" w:right="762"/>
              <w:rPr>
                <w:rFonts w:ascii="Calibri" w:hAnsi="Calibri" w:eastAsia="Calibri"/>
                <w:sz w:val="18"/>
              </w:rPr>
            </w:pPr>
            <w:r>
              <w:rPr>
                <w:sz w:val="18"/>
              </w:rPr>
              <w:t>三级</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9"/>
              <w:spacing w:before="68"/>
              <w:ind w:left="369"/>
              <w:jc w:val="left"/>
              <w:rPr>
                <w:sz w:val="18"/>
              </w:rPr>
            </w:pPr>
            <w:r>
              <w:rPr>
                <w:sz w:val="18"/>
              </w:rPr>
              <w:t>评价范围</w:t>
            </w:r>
          </w:p>
        </w:tc>
        <w:tc>
          <w:tcPr>
            <w:tcW w:w="1992" w:type="dxa"/>
            <w:gridSpan w:val="4"/>
          </w:tcPr>
          <w:p>
            <w:pPr>
              <w:pStyle w:val="19"/>
              <w:spacing w:before="68"/>
              <w:ind w:left="514"/>
              <w:jc w:val="left"/>
              <w:rPr>
                <w:rFonts w:ascii="Calibri" w:hAnsi="Calibri" w:eastAsia="Calibri"/>
                <w:sz w:val="18"/>
              </w:rPr>
            </w:pPr>
            <w:r>
              <w:rPr>
                <w:sz w:val="18"/>
              </w:rPr>
              <w:t>边长</w:t>
            </w:r>
            <w:r>
              <w:rPr>
                <w:rFonts w:ascii="Calibri" w:hAnsi="Calibri" w:eastAsia="Calibri"/>
                <w:sz w:val="18"/>
              </w:rPr>
              <w:t>=50km□</w:t>
            </w:r>
          </w:p>
        </w:tc>
        <w:tc>
          <w:tcPr>
            <w:tcW w:w="1939" w:type="dxa"/>
            <w:gridSpan w:val="5"/>
          </w:tcPr>
          <w:p>
            <w:pPr>
              <w:pStyle w:val="19"/>
              <w:spacing w:before="68"/>
              <w:ind w:left="339"/>
              <w:jc w:val="left"/>
              <w:rPr>
                <w:rFonts w:hint="eastAsia" w:ascii="MS UI Gothic" w:hAnsi="MS UI Gothic" w:eastAsia="MS UI Gothic"/>
                <w:sz w:val="18"/>
              </w:rPr>
            </w:pPr>
            <w:r>
              <w:rPr>
                <w:sz w:val="18"/>
              </w:rPr>
              <w:t>边长</w:t>
            </w:r>
            <w:r>
              <w:rPr>
                <w:rFonts w:ascii="Calibri" w:hAnsi="Calibri" w:eastAsia="Calibri"/>
                <w:sz w:val="18"/>
              </w:rPr>
              <w:t>5</w:t>
            </w:r>
            <w:r>
              <w:rPr>
                <w:sz w:val="18"/>
              </w:rPr>
              <w:t>～</w:t>
            </w:r>
            <w:r>
              <w:rPr>
                <w:rFonts w:ascii="Calibri" w:hAnsi="Calibri" w:eastAsia="Calibri"/>
                <w:sz w:val="18"/>
              </w:rPr>
              <w:t>50km</w:t>
            </w:r>
            <w:r>
              <w:rPr>
                <w:rFonts w:hint="eastAsia" w:ascii="MS UI Gothic" w:hAnsi="MS UI Gothic" w:eastAsia="MS UI Gothic"/>
                <w:sz w:val="18"/>
              </w:rPr>
              <w:t>☑</w:t>
            </w:r>
          </w:p>
        </w:tc>
        <w:tc>
          <w:tcPr>
            <w:tcW w:w="2054" w:type="dxa"/>
            <w:gridSpan w:val="5"/>
          </w:tcPr>
          <w:p>
            <w:pPr>
              <w:pStyle w:val="19"/>
              <w:spacing w:before="68"/>
              <w:ind w:left="536"/>
              <w:jc w:val="left"/>
              <w:rPr>
                <w:rFonts w:hint="eastAsia" w:ascii="MS UI Gothic" w:hAnsi="MS UI Gothic" w:eastAsia="MS UI Gothic"/>
                <w:sz w:val="18"/>
              </w:rPr>
            </w:pPr>
            <w:r>
              <w:rPr>
                <w:sz w:val="18"/>
              </w:rPr>
              <w:t>边长</w:t>
            </w:r>
            <w:r>
              <w:rPr>
                <w:rFonts w:ascii="Calibri" w:hAnsi="Calibri" w:eastAsia="Calibri"/>
                <w:sz w:val="18"/>
              </w:rPr>
              <w:t>=5 km</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restart"/>
          </w:tcPr>
          <w:p>
            <w:pPr>
              <w:pStyle w:val="19"/>
              <w:jc w:val="left"/>
              <w:rPr>
                <w:b/>
                <w:sz w:val="26"/>
              </w:rPr>
            </w:pPr>
          </w:p>
          <w:p>
            <w:pPr>
              <w:pStyle w:val="19"/>
              <w:ind w:left="97"/>
              <w:jc w:val="left"/>
              <w:rPr>
                <w:sz w:val="18"/>
              </w:rPr>
            </w:pPr>
            <w:r>
              <w:rPr>
                <w:sz w:val="18"/>
              </w:rPr>
              <w:t>评价因子</w:t>
            </w:r>
          </w:p>
        </w:tc>
        <w:tc>
          <w:tcPr>
            <w:tcW w:w="1458" w:type="dxa"/>
          </w:tcPr>
          <w:p>
            <w:pPr>
              <w:pStyle w:val="19"/>
              <w:spacing w:before="66"/>
              <w:ind w:left="114"/>
              <w:jc w:val="left"/>
              <w:rPr>
                <w:sz w:val="18"/>
              </w:rPr>
            </w:pPr>
            <w:r>
              <w:rPr>
                <w:rFonts w:ascii="Calibri" w:eastAsia="Calibri"/>
                <w:position w:val="2"/>
                <w:sz w:val="18"/>
              </w:rPr>
              <w:t>SO</w:t>
            </w:r>
            <w:r>
              <w:rPr>
                <w:rFonts w:ascii="Calibri" w:eastAsia="Calibri"/>
                <w:position w:val="2"/>
                <w:sz w:val="18"/>
                <w:vertAlign w:val="subscript"/>
              </w:rPr>
              <w:t>2</w:t>
            </w:r>
            <w:r>
              <w:rPr>
                <w:rFonts w:ascii="Calibri" w:eastAsia="Calibri"/>
                <w:position w:val="2"/>
                <w:sz w:val="18"/>
                <w:vertAlign w:val="baseline"/>
              </w:rPr>
              <w:t>+NO</w:t>
            </w:r>
            <w:r>
              <w:rPr>
                <w:rFonts w:ascii="Calibri" w:eastAsia="Calibri"/>
                <w:i/>
                <w:sz w:val="11"/>
                <w:vertAlign w:val="baseline"/>
              </w:rPr>
              <w:t>x</w:t>
            </w:r>
            <w:r>
              <w:rPr>
                <w:position w:val="2"/>
                <w:sz w:val="18"/>
                <w:vertAlign w:val="baseline"/>
              </w:rPr>
              <w:t>排放量</w:t>
            </w:r>
          </w:p>
        </w:tc>
        <w:tc>
          <w:tcPr>
            <w:tcW w:w="1992" w:type="dxa"/>
            <w:gridSpan w:val="4"/>
          </w:tcPr>
          <w:p>
            <w:pPr>
              <w:pStyle w:val="19"/>
              <w:spacing w:before="69"/>
              <w:ind w:left="519"/>
              <w:jc w:val="left"/>
              <w:rPr>
                <w:rFonts w:ascii="Calibri" w:hAnsi="Calibri"/>
                <w:sz w:val="18"/>
              </w:rPr>
            </w:pPr>
            <w:r>
              <w:rPr>
                <w:rFonts w:ascii="仿宋" w:hAnsi="仿宋"/>
                <w:sz w:val="18"/>
              </w:rPr>
              <w:t>≥</w:t>
            </w:r>
            <w:r>
              <w:rPr>
                <w:rFonts w:ascii="Calibri" w:hAnsi="Calibri"/>
                <w:sz w:val="18"/>
              </w:rPr>
              <w:t>2000t/a□</w:t>
            </w:r>
          </w:p>
        </w:tc>
        <w:tc>
          <w:tcPr>
            <w:tcW w:w="1939" w:type="dxa"/>
            <w:gridSpan w:val="5"/>
          </w:tcPr>
          <w:p>
            <w:pPr>
              <w:pStyle w:val="19"/>
              <w:spacing w:before="69"/>
              <w:ind w:left="401"/>
              <w:jc w:val="left"/>
              <w:rPr>
                <w:rFonts w:ascii="Calibri" w:hAnsi="Calibri" w:eastAsia="Calibri"/>
                <w:sz w:val="18"/>
              </w:rPr>
            </w:pPr>
            <w:r>
              <w:rPr>
                <w:rFonts w:ascii="Calibri" w:hAnsi="Calibri" w:eastAsia="Calibri"/>
                <w:sz w:val="18"/>
              </w:rPr>
              <w:t>500</w:t>
            </w:r>
            <w:r>
              <w:rPr>
                <w:rFonts w:hint="eastAsia" w:ascii="仿宋" w:hAnsi="仿宋" w:eastAsia="仿宋"/>
                <w:sz w:val="18"/>
              </w:rPr>
              <w:t>～</w:t>
            </w:r>
            <w:r>
              <w:rPr>
                <w:rFonts w:ascii="Calibri" w:hAnsi="Calibri" w:eastAsia="Calibri"/>
                <w:sz w:val="18"/>
              </w:rPr>
              <w:t>2000t/a□</w:t>
            </w:r>
          </w:p>
        </w:tc>
        <w:tc>
          <w:tcPr>
            <w:tcW w:w="2054" w:type="dxa"/>
            <w:gridSpan w:val="5"/>
          </w:tcPr>
          <w:p>
            <w:pPr>
              <w:pStyle w:val="19"/>
              <w:spacing w:before="69"/>
              <w:ind w:left="584"/>
              <w:jc w:val="left"/>
              <w:rPr>
                <w:rFonts w:hint="eastAsia" w:ascii="MS UI Gothic" w:hAnsi="MS UI Gothic" w:eastAsia="MS UI Gothic"/>
                <w:sz w:val="18"/>
              </w:rPr>
            </w:pPr>
            <w:r>
              <w:rPr>
                <w:rFonts w:hint="eastAsia" w:ascii="仿宋" w:hAnsi="仿宋" w:eastAsia="仿宋"/>
                <w:sz w:val="18"/>
              </w:rPr>
              <w:t>＜</w:t>
            </w:r>
            <w:r>
              <w:rPr>
                <w:rFonts w:ascii="Calibri" w:hAnsi="Calibri" w:eastAsia="Calibri"/>
                <w:sz w:val="18"/>
              </w:rPr>
              <w:t>500 t/a</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9"/>
              <w:spacing w:before="158"/>
              <w:ind w:left="369"/>
              <w:jc w:val="left"/>
              <w:rPr>
                <w:sz w:val="18"/>
              </w:rPr>
            </w:pPr>
            <w:r>
              <w:rPr>
                <w:sz w:val="18"/>
              </w:rPr>
              <w:t>评价因子</w:t>
            </w:r>
          </w:p>
        </w:tc>
        <w:tc>
          <w:tcPr>
            <w:tcW w:w="3931" w:type="dxa"/>
            <w:gridSpan w:val="9"/>
          </w:tcPr>
          <w:p>
            <w:pPr>
              <w:pStyle w:val="19"/>
              <w:spacing w:before="14" w:line="260" w:lineRule="atLeast"/>
              <w:ind w:left="886" w:right="70" w:hanging="852"/>
              <w:jc w:val="left"/>
              <w:rPr>
                <w:sz w:val="18"/>
              </w:rPr>
            </w:pPr>
            <w:r>
              <w:rPr>
                <w:position w:val="2"/>
                <w:sz w:val="18"/>
              </w:rPr>
              <w:t>基本污染物（</w:t>
            </w:r>
            <w:r>
              <w:rPr>
                <w:rFonts w:ascii="Calibri" w:eastAsia="Calibri"/>
                <w:position w:val="2"/>
                <w:sz w:val="18"/>
              </w:rPr>
              <w:t>SO</w:t>
            </w:r>
            <w:r>
              <w:rPr>
                <w:rFonts w:ascii="Calibri" w:eastAsia="Calibri"/>
                <w:position w:val="2"/>
                <w:sz w:val="18"/>
                <w:vertAlign w:val="subscript"/>
              </w:rPr>
              <w:t>2</w:t>
            </w:r>
            <w:r>
              <w:rPr>
                <w:position w:val="2"/>
                <w:sz w:val="18"/>
                <w:vertAlign w:val="baseline"/>
              </w:rPr>
              <w:t>、</w:t>
            </w:r>
            <w:r>
              <w:rPr>
                <w:rFonts w:ascii="Calibri" w:eastAsia="Calibri"/>
                <w:position w:val="2"/>
                <w:sz w:val="18"/>
                <w:vertAlign w:val="baseline"/>
              </w:rPr>
              <w:t>NO</w:t>
            </w:r>
            <w:r>
              <w:rPr>
                <w:rFonts w:ascii="Calibri" w:eastAsia="Calibri"/>
                <w:position w:val="2"/>
                <w:sz w:val="18"/>
                <w:vertAlign w:val="subscript"/>
              </w:rPr>
              <w:t>2</w:t>
            </w:r>
            <w:r>
              <w:rPr>
                <w:position w:val="2"/>
                <w:sz w:val="18"/>
                <w:vertAlign w:val="baseline"/>
              </w:rPr>
              <w:t>、</w:t>
            </w:r>
            <w:r>
              <w:rPr>
                <w:rFonts w:ascii="Calibri" w:eastAsia="Calibri"/>
                <w:position w:val="2"/>
                <w:sz w:val="18"/>
                <w:vertAlign w:val="baseline"/>
              </w:rPr>
              <w:t>O</w:t>
            </w:r>
            <w:r>
              <w:rPr>
                <w:rFonts w:ascii="Calibri" w:eastAsia="Calibri"/>
                <w:position w:val="2"/>
                <w:sz w:val="18"/>
                <w:vertAlign w:val="subscript"/>
              </w:rPr>
              <w:t>3</w:t>
            </w:r>
            <w:r>
              <w:rPr>
                <w:position w:val="2"/>
                <w:sz w:val="18"/>
                <w:vertAlign w:val="baseline"/>
              </w:rPr>
              <w:t>、</w:t>
            </w:r>
            <w:r>
              <w:rPr>
                <w:rFonts w:ascii="Calibri" w:eastAsia="Calibri"/>
                <w:position w:val="2"/>
                <w:sz w:val="18"/>
                <w:vertAlign w:val="baseline"/>
              </w:rPr>
              <w:t>CO</w:t>
            </w:r>
            <w:r>
              <w:rPr>
                <w:position w:val="2"/>
                <w:sz w:val="18"/>
                <w:vertAlign w:val="baseline"/>
              </w:rPr>
              <w:t>、</w:t>
            </w:r>
            <w:r>
              <w:rPr>
                <w:rFonts w:ascii="Calibri" w:eastAsia="Calibri"/>
                <w:position w:val="2"/>
                <w:sz w:val="18"/>
                <w:vertAlign w:val="baseline"/>
              </w:rPr>
              <w:t>PM</w:t>
            </w:r>
            <w:r>
              <w:rPr>
                <w:rFonts w:ascii="Calibri" w:eastAsia="Calibri"/>
                <w:position w:val="2"/>
                <w:sz w:val="18"/>
                <w:vertAlign w:val="subscript"/>
              </w:rPr>
              <w:t>10</w:t>
            </w:r>
            <w:r>
              <w:rPr>
                <w:position w:val="2"/>
                <w:sz w:val="18"/>
                <w:vertAlign w:val="baseline"/>
              </w:rPr>
              <w:t>、</w:t>
            </w:r>
            <w:r>
              <w:rPr>
                <w:rFonts w:ascii="Calibri" w:eastAsia="Calibri"/>
                <w:position w:val="2"/>
                <w:sz w:val="18"/>
                <w:vertAlign w:val="baseline"/>
              </w:rPr>
              <w:t>PM</w:t>
            </w:r>
            <w:r>
              <w:rPr>
                <w:rFonts w:ascii="Calibri" w:eastAsia="Calibri"/>
                <w:position w:val="2"/>
                <w:sz w:val="18"/>
                <w:vertAlign w:val="subscript"/>
              </w:rPr>
              <w:t>2.5</w:t>
            </w:r>
            <w:r>
              <w:rPr>
                <w:position w:val="2"/>
                <w:sz w:val="18"/>
                <w:vertAlign w:val="baseline"/>
              </w:rPr>
              <w:t>其他污染物（</w:t>
            </w:r>
            <w:r>
              <w:rPr>
                <w:rFonts w:ascii="Calibri" w:eastAsia="Calibri"/>
                <w:position w:val="2"/>
                <w:sz w:val="18"/>
                <w:vertAlign w:val="baseline"/>
              </w:rPr>
              <w:t>NH</w:t>
            </w:r>
            <w:r>
              <w:rPr>
                <w:rFonts w:ascii="Calibri" w:eastAsia="Calibri"/>
                <w:position w:val="2"/>
                <w:sz w:val="18"/>
                <w:vertAlign w:val="subscript"/>
              </w:rPr>
              <w:t>3</w:t>
            </w:r>
            <w:r>
              <w:rPr>
                <w:position w:val="2"/>
                <w:sz w:val="18"/>
                <w:vertAlign w:val="baseline"/>
              </w:rPr>
              <w:t>、</w:t>
            </w:r>
            <w:r>
              <w:rPr>
                <w:rFonts w:ascii="Calibri" w:eastAsia="Calibri"/>
                <w:position w:val="2"/>
                <w:sz w:val="18"/>
                <w:vertAlign w:val="baseline"/>
              </w:rPr>
              <w:t>H</w:t>
            </w:r>
            <w:r>
              <w:rPr>
                <w:rFonts w:ascii="Calibri" w:eastAsia="Calibri"/>
                <w:position w:val="2"/>
                <w:sz w:val="18"/>
                <w:vertAlign w:val="subscript"/>
              </w:rPr>
              <w:t>2</w:t>
            </w:r>
            <w:r>
              <w:rPr>
                <w:rFonts w:ascii="Calibri" w:eastAsia="Calibri"/>
                <w:position w:val="2"/>
                <w:sz w:val="18"/>
                <w:vertAlign w:val="baseline"/>
              </w:rPr>
              <w:t>S</w:t>
            </w:r>
            <w:r>
              <w:rPr>
                <w:position w:val="2"/>
                <w:sz w:val="18"/>
                <w:vertAlign w:val="baseline"/>
              </w:rPr>
              <w:t>）</w:t>
            </w:r>
          </w:p>
        </w:tc>
        <w:tc>
          <w:tcPr>
            <w:tcW w:w="2054" w:type="dxa"/>
            <w:gridSpan w:val="5"/>
          </w:tcPr>
          <w:p>
            <w:pPr>
              <w:pStyle w:val="19"/>
              <w:tabs>
                <w:tab w:val="left" w:pos="293"/>
              </w:tabs>
              <w:spacing w:before="25"/>
              <w:ind w:left="-124" w:right="482"/>
              <w:jc w:val="right"/>
              <w:rPr>
                <w:rFonts w:ascii="Calibri" w:hAnsi="Calibri" w:eastAsia="Calibri"/>
                <w:sz w:val="18"/>
              </w:rPr>
            </w:pPr>
            <w:r>
              <w:rPr>
                <w:position w:val="2"/>
                <w:sz w:val="18"/>
              </w:rPr>
              <w:t>）</w:t>
            </w:r>
            <w:r>
              <w:rPr>
                <w:position w:val="2"/>
                <w:sz w:val="18"/>
              </w:rPr>
              <w:tab/>
            </w:r>
            <w:r>
              <w:rPr>
                <w:spacing w:val="-6"/>
                <w:position w:val="2"/>
                <w:sz w:val="18"/>
              </w:rPr>
              <w:t>包括二次</w:t>
            </w:r>
            <w:r>
              <w:rPr>
                <w:rFonts w:ascii="Calibri" w:hAnsi="Calibri" w:eastAsia="Calibri"/>
                <w:spacing w:val="-6"/>
                <w:position w:val="2"/>
                <w:sz w:val="18"/>
              </w:rPr>
              <w:t>PM</w:t>
            </w:r>
            <w:r>
              <w:rPr>
                <w:rFonts w:ascii="Calibri" w:hAnsi="Calibri" w:eastAsia="Calibri"/>
                <w:spacing w:val="-6"/>
                <w:position w:val="2"/>
                <w:sz w:val="18"/>
                <w:vertAlign w:val="subscript"/>
              </w:rPr>
              <w:t>2.5</w:t>
            </w:r>
            <w:r>
              <w:rPr>
                <w:rFonts w:ascii="Calibri" w:hAnsi="Calibri" w:eastAsia="Calibri"/>
                <w:spacing w:val="-6"/>
                <w:position w:val="2"/>
                <w:sz w:val="18"/>
                <w:vertAlign w:val="baseline"/>
              </w:rPr>
              <w:t>□</w:t>
            </w:r>
          </w:p>
          <w:p>
            <w:pPr>
              <w:pStyle w:val="19"/>
              <w:spacing w:before="11" w:line="215" w:lineRule="exact"/>
              <w:ind w:right="483"/>
              <w:jc w:val="right"/>
              <w:rPr>
                <w:rFonts w:hint="eastAsia" w:ascii="MS UI Gothic" w:hAnsi="MS UI Gothic" w:eastAsia="MS UI Gothic"/>
                <w:sz w:val="18"/>
              </w:rPr>
            </w:pPr>
            <w:r>
              <w:rPr>
                <w:spacing w:val="-7"/>
                <w:position w:val="2"/>
                <w:sz w:val="18"/>
              </w:rPr>
              <w:t>不包括二次</w:t>
            </w:r>
            <w:r>
              <w:rPr>
                <w:rFonts w:ascii="Calibri" w:hAnsi="Calibri" w:eastAsia="Calibri"/>
                <w:position w:val="2"/>
                <w:sz w:val="18"/>
              </w:rPr>
              <w:t>PM</w:t>
            </w:r>
            <w:r>
              <w:rPr>
                <w:rFonts w:ascii="Calibri" w:hAnsi="Calibri" w:eastAsia="Calibri"/>
                <w:position w:val="2"/>
                <w:sz w:val="18"/>
                <w:vertAlign w:val="subscript"/>
              </w:rPr>
              <w:t>2.5</w:t>
            </w:r>
            <w:r>
              <w:rPr>
                <w:rFonts w:hint="eastAsia" w:ascii="MS UI Gothic" w:hAnsi="MS UI Gothic" w:eastAsia="MS UI Gothic"/>
                <w:position w:val="2"/>
                <w:sz w:val="18"/>
                <w:vertAlign w:val="base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16" w:type="dxa"/>
          </w:tcPr>
          <w:p>
            <w:pPr>
              <w:pStyle w:val="19"/>
              <w:spacing w:before="53"/>
              <w:ind w:left="97"/>
              <w:jc w:val="left"/>
              <w:rPr>
                <w:sz w:val="18"/>
              </w:rPr>
            </w:pPr>
            <w:r>
              <w:rPr>
                <w:sz w:val="18"/>
              </w:rPr>
              <w:t>评价标准</w:t>
            </w:r>
          </w:p>
        </w:tc>
        <w:tc>
          <w:tcPr>
            <w:tcW w:w="1458" w:type="dxa"/>
          </w:tcPr>
          <w:p>
            <w:pPr>
              <w:pStyle w:val="19"/>
              <w:spacing w:before="53"/>
              <w:ind w:left="369"/>
              <w:jc w:val="left"/>
              <w:rPr>
                <w:sz w:val="18"/>
              </w:rPr>
            </w:pPr>
            <w:r>
              <w:rPr>
                <w:sz w:val="18"/>
              </w:rPr>
              <w:t>评价标准</w:t>
            </w:r>
          </w:p>
        </w:tc>
        <w:tc>
          <w:tcPr>
            <w:tcW w:w="1992" w:type="dxa"/>
            <w:gridSpan w:val="4"/>
          </w:tcPr>
          <w:p>
            <w:pPr>
              <w:pStyle w:val="19"/>
              <w:spacing w:before="53"/>
              <w:ind w:left="545"/>
              <w:jc w:val="left"/>
              <w:rPr>
                <w:rFonts w:hint="eastAsia" w:ascii="MS UI Gothic" w:hAnsi="MS UI Gothic" w:eastAsia="MS UI Gothic"/>
                <w:sz w:val="18"/>
              </w:rPr>
            </w:pPr>
            <w:r>
              <w:rPr>
                <w:sz w:val="18"/>
              </w:rPr>
              <w:t>国家标准</w:t>
            </w:r>
            <w:r>
              <w:rPr>
                <w:rFonts w:hint="eastAsia" w:ascii="MS UI Gothic" w:hAnsi="MS UI Gothic" w:eastAsia="MS UI Gothic"/>
                <w:sz w:val="18"/>
              </w:rPr>
              <w:t>☑</w:t>
            </w:r>
          </w:p>
        </w:tc>
        <w:tc>
          <w:tcPr>
            <w:tcW w:w="1939" w:type="dxa"/>
            <w:gridSpan w:val="5"/>
          </w:tcPr>
          <w:p>
            <w:pPr>
              <w:pStyle w:val="19"/>
              <w:spacing w:before="53"/>
              <w:ind w:left="509"/>
              <w:jc w:val="left"/>
              <w:rPr>
                <w:rFonts w:ascii="Calibri" w:hAnsi="Calibri" w:eastAsia="Calibri"/>
                <w:sz w:val="18"/>
              </w:rPr>
            </w:pPr>
            <w:r>
              <w:rPr>
                <w:sz w:val="18"/>
              </w:rPr>
              <w:t>地方标准</w:t>
            </w:r>
            <w:r>
              <w:rPr>
                <w:rFonts w:ascii="Calibri" w:hAnsi="Calibri" w:eastAsia="Calibri"/>
                <w:sz w:val="18"/>
              </w:rPr>
              <w:t>□</w:t>
            </w:r>
          </w:p>
        </w:tc>
        <w:tc>
          <w:tcPr>
            <w:tcW w:w="860" w:type="dxa"/>
            <w:gridSpan w:val="3"/>
          </w:tcPr>
          <w:p>
            <w:pPr>
              <w:pStyle w:val="19"/>
              <w:spacing w:before="53"/>
              <w:ind w:left="99"/>
              <w:jc w:val="left"/>
              <w:rPr>
                <w:rFonts w:ascii="Calibri" w:hAnsi="Calibri" w:eastAsia="Calibri"/>
                <w:sz w:val="18"/>
              </w:rPr>
            </w:pPr>
            <w:r>
              <w:rPr>
                <w:sz w:val="18"/>
              </w:rPr>
              <w:t>附录</w:t>
            </w:r>
            <w:r>
              <w:rPr>
                <w:rFonts w:ascii="Calibri" w:hAnsi="Calibri" w:eastAsia="Calibri"/>
                <w:sz w:val="18"/>
              </w:rPr>
              <w:t>D□</w:t>
            </w:r>
          </w:p>
        </w:tc>
        <w:tc>
          <w:tcPr>
            <w:tcW w:w="1194" w:type="dxa"/>
            <w:gridSpan w:val="2"/>
          </w:tcPr>
          <w:p>
            <w:pPr>
              <w:pStyle w:val="19"/>
              <w:spacing w:before="53"/>
              <w:ind w:left="139"/>
              <w:jc w:val="left"/>
              <w:rPr>
                <w:rFonts w:ascii="Calibri" w:hAnsi="Calibri" w:eastAsia="Calibri"/>
                <w:sz w:val="18"/>
              </w:rPr>
            </w:pPr>
            <w:r>
              <w:rPr>
                <w:sz w:val="18"/>
              </w:rPr>
              <w:t>其他标准</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restart"/>
          </w:tcPr>
          <w:p>
            <w:pPr>
              <w:pStyle w:val="19"/>
              <w:jc w:val="left"/>
              <w:rPr>
                <w:b/>
                <w:sz w:val="18"/>
              </w:rPr>
            </w:pPr>
          </w:p>
          <w:p>
            <w:pPr>
              <w:pStyle w:val="19"/>
              <w:jc w:val="left"/>
              <w:rPr>
                <w:b/>
                <w:sz w:val="18"/>
              </w:rPr>
            </w:pPr>
          </w:p>
          <w:p>
            <w:pPr>
              <w:pStyle w:val="19"/>
              <w:jc w:val="left"/>
              <w:rPr>
                <w:b/>
                <w:sz w:val="18"/>
              </w:rPr>
            </w:pPr>
          </w:p>
          <w:p>
            <w:pPr>
              <w:pStyle w:val="19"/>
              <w:spacing w:before="120"/>
              <w:ind w:left="97"/>
              <w:jc w:val="left"/>
              <w:rPr>
                <w:sz w:val="18"/>
              </w:rPr>
            </w:pPr>
            <w:r>
              <w:rPr>
                <w:sz w:val="18"/>
              </w:rPr>
              <w:t>现状评价</w:t>
            </w:r>
          </w:p>
        </w:tc>
        <w:tc>
          <w:tcPr>
            <w:tcW w:w="1458" w:type="dxa"/>
          </w:tcPr>
          <w:p>
            <w:pPr>
              <w:pStyle w:val="19"/>
              <w:spacing w:before="68"/>
              <w:ind w:left="278"/>
              <w:jc w:val="left"/>
              <w:rPr>
                <w:sz w:val="18"/>
              </w:rPr>
            </w:pPr>
            <w:r>
              <w:rPr>
                <w:sz w:val="18"/>
              </w:rPr>
              <w:t>环境功能区</w:t>
            </w:r>
          </w:p>
        </w:tc>
        <w:tc>
          <w:tcPr>
            <w:tcW w:w="1992" w:type="dxa"/>
            <w:gridSpan w:val="4"/>
          </w:tcPr>
          <w:p>
            <w:pPr>
              <w:pStyle w:val="19"/>
              <w:spacing w:before="68"/>
              <w:ind w:left="650" w:right="643"/>
              <w:rPr>
                <w:rFonts w:ascii="Calibri" w:hAnsi="Calibri" w:eastAsia="Calibri"/>
                <w:sz w:val="18"/>
              </w:rPr>
            </w:pPr>
            <w:r>
              <w:rPr>
                <w:sz w:val="18"/>
              </w:rPr>
              <w:t>一类区</w:t>
            </w:r>
            <w:r>
              <w:rPr>
                <w:rFonts w:ascii="Calibri" w:hAnsi="Calibri" w:eastAsia="Calibri"/>
                <w:sz w:val="18"/>
              </w:rPr>
              <w:t>□</w:t>
            </w:r>
          </w:p>
        </w:tc>
        <w:tc>
          <w:tcPr>
            <w:tcW w:w="1939" w:type="dxa"/>
            <w:gridSpan w:val="5"/>
          </w:tcPr>
          <w:p>
            <w:pPr>
              <w:pStyle w:val="19"/>
              <w:spacing w:before="68"/>
              <w:ind w:left="610"/>
              <w:jc w:val="left"/>
              <w:rPr>
                <w:rFonts w:hint="eastAsia" w:ascii="MS UI Gothic" w:hAnsi="MS UI Gothic" w:eastAsia="MS UI Gothic"/>
                <w:sz w:val="18"/>
              </w:rPr>
            </w:pPr>
            <w:r>
              <w:rPr>
                <w:sz w:val="18"/>
              </w:rPr>
              <w:t>二类区</w:t>
            </w:r>
            <w:r>
              <w:rPr>
                <w:rFonts w:hint="eastAsia" w:ascii="MS UI Gothic" w:hAnsi="MS UI Gothic" w:eastAsia="MS UI Gothic"/>
                <w:sz w:val="18"/>
              </w:rPr>
              <w:t>☑</w:t>
            </w:r>
          </w:p>
        </w:tc>
        <w:tc>
          <w:tcPr>
            <w:tcW w:w="2054" w:type="dxa"/>
            <w:gridSpan w:val="5"/>
          </w:tcPr>
          <w:p>
            <w:pPr>
              <w:pStyle w:val="19"/>
              <w:spacing w:before="68"/>
              <w:ind w:left="344"/>
              <w:jc w:val="left"/>
              <w:rPr>
                <w:rFonts w:ascii="Calibri" w:hAnsi="Calibri" w:eastAsia="Calibri"/>
                <w:sz w:val="18"/>
              </w:rPr>
            </w:pPr>
            <w:r>
              <w:rPr>
                <w:sz w:val="18"/>
              </w:rPr>
              <w:t>一类区和二类区</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9"/>
              <w:spacing w:before="68"/>
              <w:ind w:left="278"/>
              <w:jc w:val="left"/>
              <w:rPr>
                <w:sz w:val="18"/>
              </w:rPr>
            </w:pPr>
            <w:r>
              <w:rPr>
                <w:sz w:val="18"/>
              </w:rPr>
              <w:t>评价基准年</w:t>
            </w:r>
          </w:p>
        </w:tc>
        <w:tc>
          <w:tcPr>
            <w:tcW w:w="5985" w:type="dxa"/>
            <w:gridSpan w:val="14"/>
          </w:tcPr>
          <w:p>
            <w:pPr>
              <w:pStyle w:val="19"/>
              <w:spacing w:before="68"/>
              <w:ind w:left="10"/>
              <w:rPr>
                <w:sz w:val="18"/>
              </w:rPr>
            </w:pPr>
            <w:r>
              <w:rPr>
                <w:sz w:val="18"/>
              </w:rPr>
              <w:t>（</w:t>
            </w:r>
            <w:r>
              <w:rPr>
                <w:rFonts w:ascii="Calibri" w:eastAsia="Calibri"/>
                <w:sz w:val="18"/>
              </w:rPr>
              <w:t>2018</w:t>
            </w:r>
            <w:r>
              <w:rPr>
                <w:sz w:val="18"/>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916" w:type="dxa"/>
            <w:vMerge w:val="continue"/>
            <w:tcBorders>
              <w:top w:val="nil"/>
            </w:tcBorders>
          </w:tcPr>
          <w:p>
            <w:pPr>
              <w:rPr>
                <w:sz w:val="2"/>
                <w:szCs w:val="2"/>
              </w:rPr>
            </w:pPr>
          </w:p>
        </w:tc>
        <w:tc>
          <w:tcPr>
            <w:tcW w:w="1458" w:type="dxa"/>
          </w:tcPr>
          <w:p>
            <w:pPr>
              <w:pStyle w:val="19"/>
              <w:spacing w:before="28" w:line="268" w:lineRule="auto"/>
              <w:ind w:left="98" w:right="87" w:firstLine="2"/>
              <w:rPr>
                <w:sz w:val="18"/>
              </w:rPr>
            </w:pPr>
            <w:r>
              <w:rPr>
                <w:sz w:val="18"/>
              </w:rPr>
              <w:t>环境空气质量</w:t>
            </w:r>
            <w:r>
              <w:rPr>
                <w:spacing w:val="-3"/>
                <w:sz w:val="18"/>
              </w:rPr>
              <w:t>现状调查数据来</w:t>
            </w:r>
          </w:p>
          <w:p>
            <w:pPr>
              <w:pStyle w:val="19"/>
              <w:spacing w:before="4" w:line="211" w:lineRule="exact"/>
              <w:ind w:left="8"/>
              <w:rPr>
                <w:sz w:val="18"/>
              </w:rPr>
            </w:pPr>
            <w:r>
              <w:rPr>
                <w:sz w:val="18"/>
              </w:rPr>
              <w:t>源</w:t>
            </w:r>
          </w:p>
        </w:tc>
        <w:tc>
          <w:tcPr>
            <w:tcW w:w="1992" w:type="dxa"/>
            <w:gridSpan w:val="4"/>
          </w:tcPr>
          <w:p>
            <w:pPr>
              <w:pStyle w:val="19"/>
              <w:spacing w:before="5"/>
              <w:jc w:val="left"/>
              <w:rPr>
                <w:b/>
                <w:sz w:val="22"/>
              </w:rPr>
            </w:pPr>
          </w:p>
          <w:p>
            <w:pPr>
              <w:pStyle w:val="19"/>
              <w:ind w:left="221"/>
              <w:jc w:val="left"/>
              <w:rPr>
                <w:rFonts w:ascii="Calibri" w:hAnsi="Calibri" w:eastAsia="Calibri"/>
                <w:sz w:val="18"/>
              </w:rPr>
            </w:pPr>
            <w:r>
              <w:rPr>
                <w:sz w:val="18"/>
              </w:rPr>
              <w:t>长期例行监测数据</w:t>
            </w:r>
            <w:r>
              <w:rPr>
                <w:rFonts w:ascii="Calibri" w:hAnsi="Calibri" w:eastAsia="Calibri"/>
                <w:sz w:val="18"/>
              </w:rPr>
              <w:t>□</w:t>
            </w:r>
          </w:p>
        </w:tc>
        <w:tc>
          <w:tcPr>
            <w:tcW w:w="1939" w:type="dxa"/>
            <w:gridSpan w:val="5"/>
          </w:tcPr>
          <w:p>
            <w:pPr>
              <w:pStyle w:val="19"/>
              <w:spacing w:before="5"/>
              <w:jc w:val="left"/>
              <w:rPr>
                <w:b/>
                <w:sz w:val="22"/>
              </w:rPr>
            </w:pPr>
          </w:p>
          <w:p>
            <w:pPr>
              <w:pStyle w:val="19"/>
              <w:ind w:left="70"/>
              <w:jc w:val="left"/>
              <w:rPr>
                <w:rFonts w:hint="eastAsia" w:ascii="MS UI Gothic" w:hAnsi="MS UI Gothic" w:eastAsia="MS UI Gothic"/>
                <w:sz w:val="18"/>
              </w:rPr>
            </w:pPr>
            <w:r>
              <w:rPr>
                <w:sz w:val="18"/>
              </w:rPr>
              <w:t>主管部门发布的数据</w:t>
            </w:r>
            <w:r>
              <w:rPr>
                <w:rFonts w:hint="eastAsia" w:ascii="MS UI Gothic" w:hAnsi="MS UI Gothic" w:eastAsia="MS UI Gothic"/>
                <w:sz w:val="18"/>
              </w:rPr>
              <w:t>☑</w:t>
            </w:r>
          </w:p>
        </w:tc>
        <w:tc>
          <w:tcPr>
            <w:tcW w:w="2054" w:type="dxa"/>
            <w:gridSpan w:val="5"/>
          </w:tcPr>
          <w:p>
            <w:pPr>
              <w:pStyle w:val="19"/>
              <w:spacing w:before="5"/>
              <w:jc w:val="left"/>
              <w:rPr>
                <w:b/>
                <w:sz w:val="22"/>
              </w:rPr>
            </w:pPr>
          </w:p>
          <w:p>
            <w:pPr>
              <w:pStyle w:val="19"/>
              <w:ind w:left="397"/>
              <w:jc w:val="left"/>
              <w:rPr>
                <w:rFonts w:hint="eastAsia" w:ascii="MS UI Gothic" w:hAnsi="MS UI Gothic" w:eastAsia="MS UI Gothic"/>
                <w:sz w:val="18"/>
              </w:rPr>
            </w:pPr>
            <w:r>
              <w:rPr>
                <w:sz w:val="18"/>
              </w:rPr>
              <w:t>现状补充监测</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9"/>
              <w:spacing w:before="68"/>
              <w:ind w:left="369"/>
              <w:jc w:val="left"/>
              <w:rPr>
                <w:sz w:val="18"/>
              </w:rPr>
            </w:pPr>
            <w:r>
              <w:rPr>
                <w:sz w:val="18"/>
              </w:rPr>
              <w:t>现状评价</w:t>
            </w:r>
          </w:p>
        </w:tc>
        <w:tc>
          <w:tcPr>
            <w:tcW w:w="2853" w:type="dxa"/>
            <w:gridSpan w:val="6"/>
          </w:tcPr>
          <w:p>
            <w:pPr>
              <w:pStyle w:val="19"/>
              <w:spacing w:before="68"/>
              <w:ind w:left="1082" w:right="1072"/>
              <w:rPr>
                <w:rFonts w:ascii="Calibri" w:hAnsi="Calibri" w:eastAsia="Calibri"/>
                <w:sz w:val="18"/>
              </w:rPr>
            </w:pPr>
            <w:r>
              <w:rPr>
                <w:sz w:val="18"/>
              </w:rPr>
              <w:t>达标区</w:t>
            </w:r>
            <w:r>
              <w:rPr>
                <w:rFonts w:ascii="Calibri" w:hAnsi="Calibri" w:eastAsia="Calibri"/>
                <w:sz w:val="18"/>
              </w:rPr>
              <w:t>□</w:t>
            </w:r>
          </w:p>
        </w:tc>
        <w:tc>
          <w:tcPr>
            <w:tcW w:w="3132" w:type="dxa"/>
            <w:gridSpan w:val="8"/>
          </w:tcPr>
          <w:p>
            <w:pPr>
              <w:pStyle w:val="19"/>
              <w:spacing w:before="68"/>
              <w:ind w:left="1097" w:right="1084"/>
              <w:rPr>
                <w:rFonts w:hint="eastAsia" w:ascii="MS UI Gothic" w:hAnsi="MS UI Gothic" w:eastAsia="MS UI Gothic"/>
                <w:sz w:val="18"/>
              </w:rPr>
            </w:pPr>
            <w:r>
              <w:rPr>
                <w:sz w:val="18"/>
              </w:rPr>
              <w:t>不达标区</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916" w:type="dxa"/>
          </w:tcPr>
          <w:p>
            <w:pPr>
              <w:pStyle w:val="19"/>
              <w:spacing w:before="157" w:line="271" w:lineRule="auto"/>
              <w:ind w:left="368" w:right="86" w:hanging="272"/>
              <w:jc w:val="left"/>
              <w:rPr>
                <w:sz w:val="18"/>
              </w:rPr>
            </w:pPr>
            <w:r>
              <w:rPr>
                <w:sz w:val="18"/>
              </w:rPr>
              <w:t>污染源调查</w:t>
            </w:r>
          </w:p>
        </w:tc>
        <w:tc>
          <w:tcPr>
            <w:tcW w:w="1458" w:type="dxa"/>
          </w:tcPr>
          <w:p>
            <w:pPr>
              <w:pStyle w:val="19"/>
              <w:spacing w:before="5"/>
              <w:jc w:val="left"/>
              <w:rPr>
                <w:b/>
                <w:sz w:val="22"/>
              </w:rPr>
            </w:pPr>
          </w:p>
          <w:p>
            <w:pPr>
              <w:pStyle w:val="19"/>
              <w:ind w:left="369"/>
              <w:jc w:val="left"/>
              <w:rPr>
                <w:sz w:val="18"/>
              </w:rPr>
            </w:pPr>
            <w:r>
              <w:rPr>
                <w:sz w:val="18"/>
              </w:rPr>
              <w:t>调查内容</w:t>
            </w:r>
          </w:p>
        </w:tc>
        <w:tc>
          <w:tcPr>
            <w:tcW w:w="1992" w:type="dxa"/>
            <w:gridSpan w:val="4"/>
          </w:tcPr>
          <w:p>
            <w:pPr>
              <w:pStyle w:val="19"/>
              <w:spacing w:before="28" w:line="268" w:lineRule="auto"/>
              <w:ind w:left="27" w:right="223"/>
              <w:jc w:val="left"/>
              <w:rPr>
                <w:rFonts w:ascii="Calibri" w:hAnsi="Calibri" w:eastAsia="Calibri"/>
                <w:sz w:val="18"/>
              </w:rPr>
            </w:pPr>
            <w:r>
              <w:rPr>
                <w:sz w:val="18"/>
              </w:rPr>
              <w:t>本项目正常排放源</w:t>
            </w:r>
            <w:r>
              <w:rPr>
                <w:rFonts w:ascii="Wingdings 2" w:hAnsi="Wingdings 2" w:eastAsia="Wingdings 2"/>
                <w:sz w:val="18"/>
              </w:rPr>
              <w:t></w:t>
            </w:r>
            <w:r>
              <w:rPr>
                <w:sz w:val="18"/>
              </w:rPr>
              <w:t>本项目非正常排放源</w:t>
            </w:r>
            <w:r>
              <w:rPr>
                <w:rFonts w:ascii="Calibri" w:hAnsi="Calibri" w:eastAsia="Calibri"/>
                <w:sz w:val="18"/>
              </w:rPr>
              <w:t>□</w:t>
            </w:r>
          </w:p>
          <w:p>
            <w:pPr>
              <w:pStyle w:val="19"/>
              <w:spacing w:before="4" w:line="211" w:lineRule="exact"/>
              <w:ind w:left="27"/>
              <w:jc w:val="left"/>
              <w:rPr>
                <w:rFonts w:ascii="Calibri" w:hAnsi="Calibri" w:eastAsia="Calibri"/>
                <w:sz w:val="18"/>
              </w:rPr>
            </w:pPr>
            <w:r>
              <w:rPr>
                <w:sz w:val="18"/>
              </w:rPr>
              <w:t>现有污染源</w:t>
            </w:r>
            <w:r>
              <w:rPr>
                <w:rFonts w:ascii="Calibri" w:hAnsi="Calibri" w:eastAsia="Calibri"/>
                <w:sz w:val="18"/>
              </w:rPr>
              <w:t>□</w:t>
            </w:r>
          </w:p>
        </w:tc>
        <w:tc>
          <w:tcPr>
            <w:tcW w:w="861" w:type="dxa"/>
            <w:gridSpan w:val="2"/>
          </w:tcPr>
          <w:p>
            <w:pPr>
              <w:pStyle w:val="19"/>
              <w:spacing w:before="157" w:line="271" w:lineRule="auto"/>
              <w:ind w:left="106" w:right="58" w:hanging="36"/>
              <w:jc w:val="left"/>
              <w:rPr>
                <w:rFonts w:ascii="Calibri" w:hAnsi="Calibri" w:eastAsia="Calibri"/>
                <w:sz w:val="18"/>
              </w:rPr>
            </w:pPr>
            <w:r>
              <w:rPr>
                <w:sz w:val="18"/>
              </w:rPr>
              <w:t>拟替代的污染源</w:t>
            </w:r>
            <w:r>
              <w:rPr>
                <w:rFonts w:ascii="Calibri" w:hAnsi="Calibri" w:eastAsia="Calibri"/>
                <w:sz w:val="18"/>
              </w:rPr>
              <w:t>□</w:t>
            </w:r>
          </w:p>
        </w:tc>
        <w:tc>
          <w:tcPr>
            <w:tcW w:w="1938" w:type="dxa"/>
            <w:gridSpan w:val="6"/>
          </w:tcPr>
          <w:p>
            <w:pPr>
              <w:pStyle w:val="19"/>
              <w:spacing w:before="157" w:line="271" w:lineRule="auto"/>
              <w:ind w:left="735" w:right="57" w:hanging="668"/>
              <w:jc w:val="left"/>
              <w:rPr>
                <w:rFonts w:ascii="Calibri" w:hAnsi="Calibri" w:eastAsia="Calibri"/>
                <w:sz w:val="18"/>
              </w:rPr>
            </w:pPr>
            <w:r>
              <w:rPr>
                <w:sz w:val="18"/>
              </w:rPr>
              <w:t>其他在建、拟建项目污染源</w:t>
            </w:r>
            <w:r>
              <w:rPr>
                <w:rFonts w:ascii="Calibri" w:hAnsi="Calibri" w:eastAsia="Calibri"/>
                <w:sz w:val="18"/>
              </w:rPr>
              <w:t>□</w:t>
            </w:r>
          </w:p>
        </w:tc>
        <w:tc>
          <w:tcPr>
            <w:tcW w:w="1194" w:type="dxa"/>
            <w:gridSpan w:val="2"/>
          </w:tcPr>
          <w:p>
            <w:pPr>
              <w:pStyle w:val="19"/>
              <w:spacing w:before="5"/>
              <w:jc w:val="left"/>
              <w:rPr>
                <w:b/>
                <w:sz w:val="22"/>
              </w:rPr>
            </w:pPr>
          </w:p>
          <w:p>
            <w:pPr>
              <w:pStyle w:val="19"/>
              <w:ind w:left="93"/>
              <w:jc w:val="left"/>
              <w:rPr>
                <w:rFonts w:ascii="Calibri" w:hAnsi="Calibri" w:eastAsia="Calibri"/>
                <w:sz w:val="18"/>
              </w:rPr>
            </w:pPr>
            <w:r>
              <w:rPr>
                <w:sz w:val="18"/>
              </w:rPr>
              <w:t>区域污染源</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restart"/>
          </w:tcPr>
          <w:p>
            <w:pPr>
              <w:pStyle w:val="19"/>
              <w:jc w:val="left"/>
              <w:rPr>
                <w:b/>
                <w:sz w:val="18"/>
              </w:rPr>
            </w:pPr>
          </w:p>
          <w:p>
            <w:pPr>
              <w:pStyle w:val="19"/>
              <w:jc w:val="left"/>
              <w:rPr>
                <w:b/>
                <w:sz w:val="18"/>
              </w:rPr>
            </w:pPr>
          </w:p>
          <w:p>
            <w:pPr>
              <w:pStyle w:val="19"/>
              <w:jc w:val="left"/>
              <w:rPr>
                <w:b/>
                <w:sz w:val="18"/>
              </w:rPr>
            </w:pPr>
          </w:p>
          <w:p>
            <w:pPr>
              <w:pStyle w:val="19"/>
              <w:jc w:val="left"/>
              <w:rPr>
                <w:b/>
                <w:sz w:val="18"/>
              </w:rPr>
            </w:pPr>
          </w:p>
          <w:p>
            <w:pPr>
              <w:pStyle w:val="19"/>
              <w:jc w:val="left"/>
              <w:rPr>
                <w:b/>
                <w:sz w:val="18"/>
              </w:rPr>
            </w:pPr>
          </w:p>
          <w:p>
            <w:pPr>
              <w:pStyle w:val="19"/>
              <w:jc w:val="left"/>
              <w:rPr>
                <w:b/>
                <w:sz w:val="18"/>
              </w:rPr>
            </w:pPr>
          </w:p>
          <w:p>
            <w:pPr>
              <w:pStyle w:val="19"/>
              <w:jc w:val="left"/>
              <w:rPr>
                <w:b/>
                <w:sz w:val="18"/>
              </w:rPr>
            </w:pPr>
          </w:p>
          <w:p>
            <w:pPr>
              <w:pStyle w:val="19"/>
              <w:spacing w:before="7"/>
              <w:jc w:val="left"/>
              <w:rPr>
                <w:b/>
                <w:sz w:val="23"/>
              </w:rPr>
            </w:pPr>
          </w:p>
          <w:p>
            <w:pPr>
              <w:pStyle w:val="19"/>
              <w:spacing w:line="271" w:lineRule="auto"/>
              <w:ind w:left="97" w:right="86"/>
              <w:jc w:val="both"/>
              <w:rPr>
                <w:sz w:val="18"/>
              </w:rPr>
            </w:pPr>
            <w:r>
              <w:rPr>
                <w:sz w:val="18"/>
              </w:rPr>
              <w:t>大气环境影响预测与评价</w:t>
            </w:r>
          </w:p>
        </w:tc>
        <w:tc>
          <w:tcPr>
            <w:tcW w:w="1458" w:type="dxa"/>
          </w:tcPr>
          <w:p>
            <w:pPr>
              <w:pStyle w:val="19"/>
              <w:spacing w:before="157"/>
              <w:ind w:left="369"/>
              <w:jc w:val="left"/>
              <w:rPr>
                <w:sz w:val="18"/>
              </w:rPr>
            </w:pPr>
            <w:r>
              <w:rPr>
                <w:sz w:val="18"/>
              </w:rPr>
              <w:t>预测模型</w:t>
            </w:r>
          </w:p>
        </w:tc>
        <w:tc>
          <w:tcPr>
            <w:tcW w:w="853" w:type="dxa"/>
          </w:tcPr>
          <w:p>
            <w:pPr>
              <w:pStyle w:val="19"/>
              <w:spacing w:before="41"/>
              <w:ind w:left="46" w:right="35"/>
              <w:rPr>
                <w:rFonts w:ascii="Calibri"/>
                <w:sz w:val="18"/>
              </w:rPr>
            </w:pPr>
            <w:r>
              <w:rPr>
                <w:rFonts w:ascii="Calibri"/>
                <w:sz w:val="18"/>
              </w:rPr>
              <w:t>AERMOD</w:t>
            </w:r>
          </w:p>
          <w:p>
            <w:pPr>
              <w:pStyle w:val="19"/>
              <w:spacing w:before="39" w:line="200" w:lineRule="exact"/>
              <w:ind w:left="6"/>
              <w:rPr>
                <w:rFonts w:ascii="Calibri" w:hAnsi="Calibri"/>
                <w:sz w:val="18"/>
              </w:rPr>
            </w:pPr>
            <w:r>
              <w:rPr>
                <w:rFonts w:ascii="Calibri" w:hAnsi="Calibri"/>
                <w:sz w:val="18"/>
              </w:rPr>
              <w:t>□</w:t>
            </w:r>
          </w:p>
        </w:tc>
        <w:tc>
          <w:tcPr>
            <w:tcW w:w="628" w:type="dxa"/>
            <w:gridSpan w:val="2"/>
          </w:tcPr>
          <w:p>
            <w:pPr>
              <w:pStyle w:val="19"/>
              <w:spacing w:before="41"/>
              <w:ind w:left="20" w:right="22"/>
              <w:rPr>
                <w:rFonts w:ascii="Calibri"/>
                <w:sz w:val="18"/>
              </w:rPr>
            </w:pPr>
            <w:r>
              <w:rPr>
                <w:rFonts w:ascii="Calibri"/>
                <w:sz w:val="18"/>
              </w:rPr>
              <w:t>ADMS</w:t>
            </w:r>
          </w:p>
          <w:p>
            <w:pPr>
              <w:pStyle w:val="19"/>
              <w:spacing w:before="39" w:line="200" w:lineRule="exact"/>
              <w:ind w:right="3"/>
              <w:rPr>
                <w:rFonts w:ascii="Calibri" w:hAnsi="Calibri"/>
                <w:sz w:val="18"/>
              </w:rPr>
            </w:pPr>
            <w:r>
              <w:rPr>
                <w:rFonts w:ascii="Calibri" w:hAnsi="Calibri"/>
                <w:sz w:val="18"/>
              </w:rPr>
              <w:t>□</w:t>
            </w:r>
          </w:p>
        </w:tc>
        <w:tc>
          <w:tcPr>
            <w:tcW w:w="1013" w:type="dxa"/>
            <w:gridSpan w:val="2"/>
          </w:tcPr>
          <w:p>
            <w:pPr>
              <w:pStyle w:val="19"/>
              <w:spacing w:before="41"/>
              <w:ind w:left="60" w:right="61"/>
              <w:rPr>
                <w:rFonts w:ascii="Calibri"/>
                <w:sz w:val="18"/>
              </w:rPr>
            </w:pPr>
            <w:r>
              <w:rPr>
                <w:rFonts w:ascii="Calibri"/>
                <w:w w:val="90"/>
                <w:sz w:val="18"/>
              </w:rPr>
              <w:t>AUSTAL2000</w:t>
            </w:r>
          </w:p>
          <w:p>
            <w:pPr>
              <w:pStyle w:val="19"/>
              <w:spacing w:before="39" w:line="200" w:lineRule="exact"/>
              <w:ind w:right="1"/>
              <w:rPr>
                <w:rFonts w:ascii="Calibri" w:hAnsi="Calibri"/>
                <w:sz w:val="18"/>
              </w:rPr>
            </w:pPr>
            <w:r>
              <w:rPr>
                <w:rFonts w:ascii="Calibri" w:hAnsi="Calibri"/>
                <w:w w:val="88"/>
                <w:sz w:val="18"/>
              </w:rPr>
              <w:t>□</w:t>
            </w:r>
          </w:p>
        </w:tc>
        <w:tc>
          <w:tcPr>
            <w:tcW w:w="1021" w:type="dxa"/>
            <w:gridSpan w:val="3"/>
          </w:tcPr>
          <w:p>
            <w:pPr>
              <w:pStyle w:val="19"/>
              <w:spacing w:before="41"/>
              <w:ind w:left="53" w:right="66"/>
              <w:rPr>
                <w:rFonts w:ascii="Calibri"/>
                <w:sz w:val="18"/>
              </w:rPr>
            </w:pPr>
            <w:r>
              <w:rPr>
                <w:rFonts w:ascii="Calibri"/>
                <w:w w:val="95"/>
                <w:sz w:val="18"/>
              </w:rPr>
              <w:t>EDMS/AEDT</w:t>
            </w:r>
          </w:p>
          <w:p>
            <w:pPr>
              <w:pStyle w:val="19"/>
              <w:spacing w:before="39" w:line="200" w:lineRule="exact"/>
              <w:ind w:right="19"/>
              <w:rPr>
                <w:rFonts w:ascii="Calibri" w:hAnsi="Calibri"/>
                <w:sz w:val="18"/>
              </w:rPr>
            </w:pPr>
            <w:r>
              <w:rPr>
                <w:rFonts w:ascii="Calibri" w:hAnsi="Calibri"/>
                <w:w w:val="88"/>
                <w:sz w:val="18"/>
              </w:rPr>
              <w:t>□</w:t>
            </w:r>
          </w:p>
        </w:tc>
        <w:tc>
          <w:tcPr>
            <w:tcW w:w="747" w:type="dxa"/>
            <w:gridSpan w:val="2"/>
          </w:tcPr>
          <w:p>
            <w:pPr>
              <w:pStyle w:val="19"/>
              <w:spacing w:before="41"/>
              <w:ind w:left="32" w:right="47"/>
              <w:rPr>
                <w:rFonts w:ascii="Calibri"/>
                <w:sz w:val="18"/>
              </w:rPr>
            </w:pPr>
            <w:r>
              <w:rPr>
                <w:rFonts w:ascii="Calibri"/>
                <w:w w:val="95"/>
                <w:sz w:val="18"/>
              </w:rPr>
              <w:t>CALPUFF</w:t>
            </w:r>
          </w:p>
          <w:p>
            <w:pPr>
              <w:pStyle w:val="19"/>
              <w:spacing w:before="39" w:line="200" w:lineRule="exact"/>
              <w:ind w:right="16"/>
              <w:rPr>
                <w:rFonts w:ascii="Calibri" w:hAnsi="Calibri"/>
                <w:sz w:val="18"/>
              </w:rPr>
            </w:pPr>
            <w:r>
              <w:rPr>
                <w:rFonts w:ascii="Calibri" w:hAnsi="Calibri"/>
                <w:w w:val="88"/>
                <w:sz w:val="18"/>
              </w:rPr>
              <w:t>□</w:t>
            </w:r>
          </w:p>
        </w:tc>
        <w:tc>
          <w:tcPr>
            <w:tcW w:w="853" w:type="dxa"/>
            <w:gridSpan w:val="3"/>
          </w:tcPr>
          <w:p>
            <w:pPr>
              <w:pStyle w:val="19"/>
              <w:spacing w:before="27"/>
              <w:ind w:left="46" w:right="37"/>
              <w:rPr>
                <w:sz w:val="18"/>
              </w:rPr>
            </w:pPr>
            <w:r>
              <w:rPr>
                <w:sz w:val="18"/>
              </w:rPr>
              <w:t>网格模型</w:t>
            </w:r>
          </w:p>
          <w:p>
            <w:pPr>
              <w:pStyle w:val="19"/>
              <w:spacing w:before="42" w:line="200" w:lineRule="exact"/>
              <w:ind w:left="12"/>
              <w:rPr>
                <w:rFonts w:ascii="Calibri" w:hAnsi="Calibri"/>
                <w:sz w:val="18"/>
              </w:rPr>
            </w:pPr>
            <w:r>
              <w:rPr>
                <w:rFonts w:ascii="Calibri" w:hAnsi="Calibri"/>
                <w:sz w:val="18"/>
              </w:rPr>
              <w:t>□</w:t>
            </w:r>
          </w:p>
        </w:tc>
        <w:tc>
          <w:tcPr>
            <w:tcW w:w="870" w:type="dxa"/>
          </w:tcPr>
          <w:p>
            <w:pPr>
              <w:pStyle w:val="19"/>
              <w:spacing w:before="27"/>
              <w:ind w:left="234" w:right="225"/>
              <w:rPr>
                <w:sz w:val="18"/>
              </w:rPr>
            </w:pPr>
            <w:r>
              <w:rPr>
                <w:sz w:val="18"/>
              </w:rPr>
              <w:t>其他</w:t>
            </w:r>
          </w:p>
          <w:p>
            <w:pPr>
              <w:pStyle w:val="19"/>
              <w:spacing w:before="34" w:line="208" w:lineRule="exact"/>
              <w:ind w:left="11"/>
              <w:rPr>
                <w:rFonts w:ascii="MS UI Gothic" w:hAnsi="MS UI Gothic"/>
                <w:sz w:val="18"/>
              </w:rPr>
            </w:pPr>
            <w:r>
              <w:rPr>
                <w:rFonts w:ascii="MS UI Gothic" w:hAnsi="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9"/>
              <w:spacing w:before="68"/>
              <w:ind w:left="369"/>
              <w:jc w:val="left"/>
              <w:rPr>
                <w:sz w:val="18"/>
              </w:rPr>
            </w:pPr>
            <w:r>
              <w:rPr>
                <w:sz w:val="18"/>
              </w:rPr>
              <w:t>预测范围</w:t>
            </w:r>
          </w:p>
        </w:tc>
        <w:tc>
          <w:tcPr>
            <w:tcW w:w="1992" w:type="dxa"/>
            <w:gridSpan w:val="4"/>
          </w:tcPr>
          <w:p>
            <w:pPr>
              <w:pStyle w:val="19"/>
              <w:spacing w:before="68"/>
              <w:ind w:left="423"/>
              <w:jc w:val="left"/>
              <w:rPr>
                <w:rFonts w:ascii="Calibri" w:hAnsi="Calibri" w:eastAsia="Calibri"/>
                <w:sz w:val="18"/>
              </w:rPr>
            </w:pPr>
            <w:r>
              <w:rPr>
                <w:sz w:val="18"/>
              </w:rPr>
              <w:t>边长</w:t>
            </w:r>
            <w:r>
              <w:rPr>
                <w:rFonts w:hint="eastAsia" w:ascii="仿宋" w:hAnsi="仿宋" w:eastAsia="仿宋"/>
                <w:sz w:val="18"/>
              </w:rPr>
              <w:t>≥</w:t>
            </w:r>
            <w:r>
              <w:rPr>
                <w:rFonts w:ascii="Calibri" w:hAnsi="Calibri" w:eastAsia="Calibri"/>
                <w:sz w:val="18"/>
              </w:rPr>
              <w:t>50km□</w:t>
            </w:r>
          </w:p>
        </w:tc>
        <w:tc>
          <w:tcPr>
            <w:tcW w:w="1939" w:type="dxa"/>
            <w:gridSpan w:val="5"/>
          </w:tcPr>
          <w:p>
            <w:pPr>
              <w:pStyle w:val="19"/>
              <w:spacing w:before="68"/>
              <w:ind w:left="375"/>
              <w:jc w:val="left"/>
              <w:rPr>
                <w:rFonts w:ascii="Calibri" w:hAnsi="Calibri" w:eastAsia="Calibri"/>
                <w:sz w:val="18"/>
              </w:rPr>
            </w:pPr>
            <w:r>
              <w:rPr>
                <w:sz w:val="18"/>
              </w:rPr>
              <w:t>边长</w:t>
            </w:r>
            <w:r>
              <w:rPr>
                <w:rFonts w:ascii="Calibri" w:hAnsi="Calibri" w:eastAsia="Calibri"/>
                <w:sz w:val="18"/>
              </w:rPr>
              <w:t>5</w:t>
            </w:r>
            <w:r>
              <w:rPr>
                <w:sz w:val="18"/>
              </w:rPr>
              <w:t>～</w:t>
            </w:r>
            <w:r>
              <w:rPr>
                <w:rFonts w:ascii="Calibri" w:hAnsi="Calibri" w:eastAsia="Calibri"/>
                <w:sz w:val="18"/>
              </w:rPr>
              <w:t>50km□</w:t>
            </w:r>
          </w:p>
        </w:tc>
        <w:tc>
          <w:tcPr>
            <w:tcW w:w="2054" w:type="dxa"/>
            <w:gridSpan w:val="5"/>
          </w:tcPr>
          <w:p>
            <w:pPr>
              <w:pStyle w:val="19"/>
              <w:spacing w:before="68"/>
              <w:ind w:left="555"/>
              <w:jc w:val="left"/>
              <w:rPr>
                <w:rFonts w:hint="eastAsia" w:ascii="MS UI Gothic" w:hAnsi="MS UI Gothic" w:eastAsia="MS UI Gothic"/>
                <w:sz w:val="18"/>
              </w:rPr>
            </w:pPr>
            <w:r>
              <w:rPr>
                <w:sz w:val="18"/>
              </w:rPr>
              <w:t>边长</w:t>
            </w:r>
            <w:r>
              <w:rPr>
                <w:rFonts w:ascii="Calibri" w:hAnsi="Calibri" w:eastAsia="Calibri"/>
                <w:sz w:val="18"/>
              </w:rPr>
              <w:t>=5km</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9"/>
              <w:spacing w:before="158"/>
              <w:ind w:left="369"/>
              <w:jc w:val="left"/>
              <w:rPr>
                <w:sz w:val="18"/>
              </w:rPr>
            </w:pPr>
            <w:r>
              <w:rPr>
                <w:sz w:val="18"/>
              </w:rPr>
              <w:t>预测因子</w:t>
            </w:r>
          </w:p>
        </w:tc>
        <w:tc>
          <w:tcPr>
            <w:tcW w:w="3515" w:type="dxa"/>
            <w:gridSpan w:val="8"/>
          </w:tcPr>
          <w:p>
            <w:pPr>
              <w:pStyle w:val="19"/>
              <w:spacing w:before="155"/>
              <w:ind w:left="514"/>
              <w:jc w:val="left"/>
              <w:rPr>
                <w:sz w:val="18"/>
              </w:rPr>
            </w:pPr>
            <w:r>
              <w:rPr>
                <w:position w:val="2"/>
                <w:sz w:val="18"/>
              </w:rPr>
              <w:t>预测因子（</w:t>
            </w:r>
            <w:r>
              <w:rPr>
                <w:rFonts w:ascii="Calibri" w:eastAsia="Calibri"/>
                <w:position w:val="2"/>
                <w:sz w:val="18"/>
              </w:rPr>
              <w:t>NH</w:t>
            </w:r>
            <w:r>
              <w:rPr>
                <w:rFonts w:ascii="Calibri" w:eastAsia="Calibri"/>
                <w:position w:val="2"/>
                <w:sz w:val="18"/>
                <w:vertAlign w:val="subscript"/>
              </w:rPr>
              <w:t>3</w:t>
            </w:r>
            <w:r>
              <w:rPr>
                <w:position w:val="2"/>
                <w:sz w:val="18"/>
                <w:vertAlign w:val="baseline"/>
              </w:rPr>
              <w:t>、</w:t>
            </w:r>
            <w:r>
              <w:rPr>
                <w:rFonts w:ascii="Calibri" w:eastAsia="Calibri"/>
                <w:position w:val="2"/>
                <w:sz w:val="18"/>
                <w:vertAlign w:val="baseline"/>
              </w:rPr>
              <w:t>H</w:t>
            </w:r>
            <w:r>
              <w:rPr>
                <w:rFonts w:ascii="Calibri" w:eastAsia="Calibri"/>
                <w:position w:val="2"/>
                <w:sz w:val="18"/>
                <w:vertAlign w:val="subscript"/>
              </w:rPr>
              <w:t>2</w:t>
            </w:r>
            <w:r>
              <w:rPr>
                <w:rFonts w:ascii="Calibri" w:eastAsia="Calibri"/>
                <w:position w:val="2"/>
                <w:sz w:val="18"/>
                <w:vertAlign w:val="baseline"/>
              </w:rPr>
              <w:t>S</w:t>
            </w:r>
            <w:r>
              <w:rPr>
                <w:position w:val="2"/>
                <w:sz w:val="18"/>
                <w:vertAlign w:val="baseline"/>
              </w:rPr>
              <w:t>、颗粒物）</w:t>
            </w:r>
          </w:p>
        </w:tc>
        <w:tc>
          <w:tcPr>
            <w:tcW w:w="2470" w:type="dxa"/>
            <w:gridSpan w:val="6"/>
          </w:tcPr>
          <w:p>
            <w:pPr>
              <w:pStyle w:val="19"/>
              <w:spacing w:before="25"/>
              <w:ind w:left="135" w:right="718"/>
              <w:rPr>
                <w:rFonts w:ascii="Calibri" w:hAnsi="Calibri" w:eastAsia="Calibri"/>
                <w:sz w:val="18"/>
              </w:rPr>
            </w:pPr>
            <w:r>
              <w:rPr>
                <w:position w:val="2"/>
                <w:sz w:val="18"/>
              </w:rPr>
              <w:t>包括二次</w:t>
            </w:r>
            <w:r>
              <w:rPr>
                <w:rFonts w:ascii="Calibri" w:hAnsi="Calibri" w:eastAsia="Calibri"/>
                <w:position w:val="2"/>
                <w:sz w:val="18"/>
              </w:rPr>
              <w:t>PM</w:t>
            </w:r>
            <w:r>
              <w:rPr>
                <w:rFonts w:ascii="Calibri" w:hAnsi="Calibri" w:eastAsia="Calibri"/>
                <w:position w:val="2"/>
                <w:sz w:val="18"/>
                <w:vertAlign w:val="subscript"/>
              </w:rPr>
              <w:t>2.5</w:t>
            </w:r>
            <w:r>
              <w:rPr>
                <w:rFonts w:ascii="Calibri" w:hAnsi="Calibri" w:eastAsia="Calibri"/>
                <w:position w:val="2"/>
                <w:sz w:val="18"/>
                <w:vertAlign w:val="baseline"/>
              </w:rPr>
              <w:t>□</w:t>
            </w:r>
          </w:p>
          <w:p>
            <w:pPr>
              <w:pStyle w:val="19"/>
              <w:spacing w:before="11" w:line="216" w:lineRule="exact"/>
              <w:ind w:left="135" w:right="719"/>
              <w:rPr>
                <w:rFonts w:hint="eastAsia" w:ascii="MS UI Gothic" w:hAnsi="MS UI Gothic" w:eastAsia="MS UI Gothic"/>
                <w:sz w:val="18"/>
              </w:rPr>
            </w:pPr>
            <w:r>
              <w:rPr>
                <w:position w:val="2"/>
                <w:sz w:val="18"/>
              </w:rPr>
              <w:t>不包括二次</w:t>
            </w:r>
            <w:r>
              <w:rPr>
                <w:rFonts w:ascii="Calibri" w:hAnsi="Calibri" w:eastAsia="Calibri"/>
                <w:position w:val="2"/>
                <w:sz w:val="18"/>
              </w:rPr>
              <w:t>PM</w:t>
            </w:r>
            <w:r>
              <w:rPr>
                <w:rFonts w:ascii="Calibri" w:hAnsi="Calibri" w:eastAsia="Calibri"/>
                <w:position w:val="2"/>
                <w:sz w:val="18"/>
                <w:vertAlign w:val="subscript"/>
              </w:rPr>
              <w:t>2.5</w:t>
            </w:r>
            <w:r>
              <w:rPr>
                <w:rFonts w:hint="eastAsia" w:ascii="MS UI Gothic" w:hAnsi="MS UI Gothic" w:eastAsia="MS UI Gothic"/>
                <w:position w:val="2"/>
                <w:sz w:val="18"/>
                <w:vertAlign w:val="base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9"/>
              <w:spacing w:line="260" w:lineRule="atLeast"/>
              <w:ind w:left="369" w:right="87" w:hanging="272"/>
              <w:jc w:val="left"/>
              <w:rPr>
                <w:sz w:val="18"/>
              </w:rPr>
            </w:pPr>
            <w:r>
              <w:rPr>
                <w:sz w:val="18"/>
              </w:rPr>
              <w:t>正常排放短期浓度贡献值</w:t>
            </w:r>
          </w:p>
        </w:tc>
        <w:tc>
          <w:tcPr>
            <w:tcW w:w="3515" w:type="dxa"/>
            <w:gridSpan w:val="8"/>
          </w:tcPr>
          <w:p>
            <w:pPr>
              <w:pStyle w:val="19"/>
              <w:spacing w:before="12"/>
              <w:jc w:val="left"/>
              <w:rPr>
                <w:b/>
                <w:sz w:val="14"/>
              </w:rPr>
            </w:pPr>
          </w:p>
          <w:p>
            <w:pPr>
              <w:pStyle w:val="19"/>
              <w:ind w:left="1193"/>
              <w:jc w:val="left"/>
              <w:rPr>
                <w:rFonts w:hint="eastAsia" w:ascii="MS UI Gothic" w:hAnsi="MS UI Gothic" w:eastAsia="MS UI Gothic"/>
                <w:sz w:val="18"/>
              </w:rPr>
            </w:pPr>
            <w:r>
              <w:rPr>
                <w:sz w:val="18"/>
              </w:rPr>
              <w:t>最大占标率</w:t>
            </w:r>
            <w:r>
              <w:rPr>
                <w:rFonts w:hint="eastAsia" w:ascii="仿宋" w:hAnsi="仿宋" w:eastAsia="仿宋"/>
                <w:sz w:val="18"/>
              </w:rPr>
              <w:t>≤</w:t>
            </w:r>
            <w:r>
              <w:rPr>
                <w:rFonts w:ascii="Calibri" w:hAnsi="Calibri" w:eastAsia="Calibri"/>
                <w:sz w:val="18"/>
              </w:rPr>
              <w:t>100%</w:t>
            </w:r>
            <w:r>
              <w:rPr>
                <w:rFonts w:hint="eastAsia" w:ascii="MS UI Gothic" w:hAnsi="MS UI Gothic" w:eastAsia="MS UI Gothic"/>
                <w:sz w:val="18"/>
              </w:rPr>
              <w:t>☑</w:t>
            </w:r>
          </w:p>
        </w:tc>
        <w:tc>
          <w:tcPr>
            <w:tcW w:w="2470" w:type="dxa"/>
            <w:gridSpan w:val="6"/>
          </w:tcPr>
          <w:p>
            <w:pPr>
              <w:pStyle w:val="19"/>
              <w:spacing w:before="12"/>
              <w:jc w:val="left"/>
              <w:rPr>
                <w:b/>
                <w:sz w:val="14"/>
              </w:rPr>
            </w:pPr>
          </w:p>
          <w:p>
            <w:pPr>
              <w:pStyle w:val="19"/>
              <w:ind w:left="707"/>
              <w:jc w:val="left"/>
              <w:rPr>
                <w:rFonts w:ascii="Calibri" w:hAnsi="Calibri" w:eastAsia="Calibri"/>
                <w:sz w:val="18"/>
              </w:rPr>
            </w:pPr>
            <w:r>
              <w:rPr>
                <w:sz w:val="18"/>
              </w:rPr>
              <w:t>最大占标率</w:t>
            </w:r>
            <w:r>
              <w:rPr>
                <w:rFonts w:hint="eastAsia" w:ascii="仿宋" w:hAnsi="仿宋" w:eastAsia="仿宋"/>
                <w:sz w:val="18"/>
              </w:rPr>
              <w:t>＞</w:t>
            </w:r>
            <w:r>
              <w:rPr>
                <w:rFonts w:ascii="Calibri" w:hAnsi="Calibri" w:eastAsia="Calibri"/>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916" w:type="dxa"/>
            <w:vMerge w:val="continue"/>
            <w:tcBorders>
              <w:top w:val="nil"/>
            </w:tcBorders>
          </w:tcPr>
          <w:p>
            <w:pPr>
              <w:rPr>
                <w:sz w:val="2"/>
                <w:szCs w:val="2"/>
              </w:rPr>
            </w:pPr>
          </w:p>
        </w:tc>
        <w:tc>
          <w:tcPr>
            <w:tcW w:w="1458" w:type="dxa"/>
            <w:vMerge w:val="restart"/>
          </w:tcPr>
          <w:p>
            <w:pPr>
              <w:pStyle w:val="19"/>
              <w:spacing w:before="151" w:line="271" w:lineRule="auto"/>
              <w:ind w:left="369" w:right="87" w:hanging="272"/>
              <w:jc w:val="left"/>
              <w:rPr>
                <w:sz w:val="18"/>
              </w:rPr>
            </w:pPr>
            <w:r>
              <w:rPr>
                <w:sz w:val="18"/>
              </w:rPr>
              <w:t>正常排放年均浓度贡献值</w:t>
            </w:r>
          </w:p>
        </w:tc>
        <w:tc>
          <w:tcPr>
            <w:tcW w:w="1281" w:type="dxa"/>
            <w:gridSpan w:val="2"/>
          </w:tcPr>
          <w:p>
            <w:pPr>
              <w:pStyle w:val="19"/>
              <w:spacing w:before="106"/>
              <w:ind w:left="370"/>
              <w:jc w:val="left"/>
              <w:rPr>
                <w:sz w:val="18"/>
              </w:rPr>
            </w:pPr>
            <w:r>
              <w:rPr>
                <w:sz w:val="18"/>
              </w:rPr>
              <w:t>一类区</w:t>
            </w:r>
          </w:p>
        </w:tc>
        <w:tc>
          <w:tcPr>
            <w:tcW w:w="2650" w:type="dxa"/>
            <w:gridSpan w:val="7"/>
          </w:tcPr>
          <w:p>
            <w:pPr>
              <w:pStyle w:val="19"/>
              <w:spacing w:before="30"/>
              <w:ind w:left="323"/>
              <w:jc w:val="left"/>
              <w:rPr>
                <w:rFonts w:ascii="Calibri" w:hAnsi="Calibri" w:eastAsia="Calibri"/>
                <w:sz w:val="18"/>
              </w:rPr>
            </w:pPr>
            <w:r>
              <w:drawing>
                <wp:inline distT="0" distB="0" distL="0" distR="0">
                  <wp:extent cx="319405" cy="19304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50" cstate="print"/>
                          <a:stretch>
                            <a:fillRect/>
                          </a:stretch>
                        </pic:blipFill>
                        <pic:spPr>
                          <a:xfrm>
                            <a:off x="0" y="0"/>
                            <a:ext cx="320039" cy="193548"/>
                          </a:xfrm>
                          <a:prstGeom prst="rect">
                            <a:avLst/>
                          </a:prstGeom>
                        </pic:spPr>
                      </pic:pic>
                    </a:graphicData>
                  </a:graphic>
                </wp:inline>
              </w:drawing>
            </w:r>
            <w:r>
              <w:rPr>
                <w:sz w:val="18"/>
              </w:rPr>
              <w:t>最大占标率</w:t>
            </w:r>
            <w:r>
              <w:rPr>
                <w:rFonts w:hint="eastAsia" w:ascii="仿宋" w:hAnsi="仿宋" w:eastAsia="仿宋"/>
                <w:sz w:val="18"/>
              </w:rPr>
              <w:t>≤</w:t>
            </w:r>
            <w:r>
              <w:rPr>
                <w:rFonts w:ascii="Calibri" w:hAnsi="Calibri" w:eastAsia="Calibri"/>
                <w:sz w:val="18"/>
              </w:rPr>
              <w:t>10%□</w:t>
            </w:r>
          </w:p>
        </w:tc>
        <w:tc>
          <w:tcPr>
            <w:tcW w:w="2054" w:type="dxa"/>
            <w:gridSpan w:val="5"/>
          </w:tcPr>
          <w:p>
            <w:pPr>
              <w:pStyle w:val="19"/>
              <w:spacing w:before="139"/>
              <w:ind w:left="620"/>
              <w:jc w:val="left"/>
              <w:rPr>
                <w:rFonts w:ascii="Calibri" w:hAnsi="Calibri" w:eastAsia="Calibri"/>
                <w:sz w:val="18"/>
              </w:rPr>
            </w:pPr>
            <w:r>
              <w:rPr>
                <w:sz w:val="18"/>
              </w:rPr>
              <w:t>最大标率</w:t>
            </w:r>
            <w:r>
              <w:rPr>
                <w:rFonts w:hint="eastAsia" w:ascii="仿宋" w:hAnsi="仿宋" w:eastAsia="仿宋"/>
                <w:sz w:val="18"/>
              </w:rPr>
              <w:t>＞</w:t>
            </w:r>
            <w:r>
              <w:rPr>
                <w:rFonts w:ascii="Calibri" w:hAnsi="Calibri" w:eastAsia="Calibri"/>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vMerge w:val="continue"/>
            <w:tcBorders>
              <w:top w:val="nil"/>
            </w:tcBorders>
          </w:tcPr>
          <w:p>
            <w:pPr>
              <w:rPr>
                <w:sz w:val="2"/>
                <w:szCs w:val="2"/>
              </w:rPr>
            </w:pPr>
          </w:p>
        </w:tc>
        <w:tc>
          <w:tcPr>
            <w:tcW w:w="1281" w:type="dxa"/>
            <w:gridSpan w:val="2"/>
          </w:tcPr>
          <w:p>
            <w:pPr>
              <w:pStyle w:val="19"/>
              <w:spacing w:before="69"/>
              <w:ind w:left="370"/>
              <w:jc w:val="left"/>
              <w:rPr>
                <w:sz w:val="18"/>
              </w:rPr>
            </w:pPr>
            <w:r>
              <w:rPr>
                <w:sz w:val="18"/>
              </w:rPr>
              <w:t>二类区</w:t>
            </w:r>
          </w:p>
        </w:tc>
        <w:tc>
          <w:tcPr>
            <w:tcW w:w="2650" w:type="dxa"/>
            <w:gridSpan w:val="7"/>
          </w:tcPr>
          <w:p>
            <w:pPr>
              <w:pStyle w:val="19"/>
              <w:spacing w:before="100" w:line="220" w:lineRule="exact"/>
              <w:ind w:left="791"/>
              <w:jc w:val="left"/>
              <w:rPr>
                <w:rFonts w:hint="eastAsia" w:ascii="MS UI Gothic" w:hAnsi="MS UI Gothic" w:eastAsia="MS UI Gothic"/>
                <w:sz w:val="18"/>
              </w:rPr>
            </w:pPr>
            <w:r>
              <w:rPr>
                <w:sz w:val="18"/>
              </w:rPr>
              <w:t>最大占标率</w:t>
            </w:r>
            <w:r>
              <w:rPr>
                <w:rFonts w:hint="eastAsia" w:ascii="仿宋" w:hAnsi="仿宋" w:eastAsia="仿宋"/>
                <w:sz w:val="18"/>
              </w:rPr>
              <w:t>≤</w:t>
            </w:r>
            <w:r>
              <w:rPr>
                <w:rFonts w:ascii="Calibri" w:hAnsi="Calibri" w:eastAsia="Calibri"/>
                <w:sz w:val="18"/>
              </w:rPr>
              <w:t>30%</w:t>
            </w:r>
            <w:r>
              <w:rPr>
                <w:rFonts w:hint="eastAsia" w:ascii="MS UI Gothic" w:hAnsi="MS UI Gothic" w:eastAsia="MS UI Gothic"/>
                <w:sz w:val="18"/>
              </w:rPr>
              <w:t>☑</w:t>
            </w:r>
          </w:p>
        </w:tc>
        <w:tc>
          <w:tcPr>
            <w:tcW w:w="2054" w:type="dxa"/>
            <w:gridSpan w:val="5"/>
          </w:tcPr>
          <w:p>
            <w:pPr>
              <w:pStyle w:val="19"/>
              <w:spacing w:before="100" w:line="220" w:lineRule="exact"/>
              <w:ind w:left="620"/>
              <w:jc w:val="left"/>
              <w:rPr>
                <w:rFonts w:ascii="Calibri" w:hAnsi="Calibri" w:eastAsia="Calibri"/>
                <w:sz w:val="18"/>
              </w:rPr>
            </w:pPr>
            <w:r>
              <w:rPr>
                <w:sz w:val="18"/>
              </w:rPr>
              <w:t>最大标率</w:t>
            </w:r>
            <w:r>
              <w:rPr>
                <w:rFonts w:hint="eastAsia" w:ascii="仿宋" w:hAnsi="仿宋" w:eastAsia="仿宋"/>
                <w:sz w:val="18"/>
              </w:rPr>
              <w:t>＞</w:t>
            </w:r>
            <w:r>
              <w:rPr>
                <w:rFonts w:ascii="Calibri" w:hAnsi="Calibri" w:eastAsia="Calibri"/>
                <w:sz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9"/>
              <w:spacing w:line="260" w:lineRule="atLeast"/>
              <w:ind w:left="369" w:right="1" w:hanging="320"/>
              <w:jc w:val="left"/>
              <w:rPr>
                <w:sz w:val="18"/>
              </w:rPr>
            </w:pPr>
            <w:r>
              <w:rPr>
                <w:sz w:val="18"/>
              </w:rPr>
              <w:t>非正常排放</w:t>
            </w:r>
            <w:r>
              <w:rPr>
                <w:rFonts w:ascii="Calibri" w:eastAsia="Calibri"/>
                <w:sz w:val="18"/>
              </w:rPr>
              <w:t>1h</w:t>
            </w:r>
            <w:r>
              <w:rPr>
                <w:sz w:val="18"/>
              </w:rPr>
              <w:t>浓度贡献值</w:t>
            </w:r>
          </w:p>
        </w:tc>
        <w:tc>
          <w:tcPr>
            <w:tcW w:w="1992" w:type="dxa"/>
            <w:gridSpan w:val="4"/>
          </w:tcPr>
          <w:p>
            <w:pPr>
              <w:pStyle w:val="19"/>
              <w:spacing w:before="158"/>
              <w:ind w:left="48"/>
              <w:jc w:val="left"/>
              <w:rPr>
                <w:rFonts w:ascii="Calibri" w:eastAsia="Calibri"/>
                <w:sz w:val="18"/>
              </w:rPr>
            </w:pPr>
            <w:r>
              <w:rPr>
                <w:sz w:val="18"/>
              </w:rPr>
              <w:t>非正常持续时长（）</w:t>
            </w:r>
            <w:r>
              <w:rPr>
                <w:rFonts w:ascii="Calibri" w:eastAsia="Calibri"/>
                <w:sz w:val="18"/>
              </w:rPr>
              <w:t>h</w:t>
            </w:r>
          </w:p>
        </w:tc>
        <w:tc>
          <w:tcPr>
            <w:tcW w:w="1939" w:type="dxa"/>
            <w:gridSpan w:val="5"/>
          </w:tcPr>
          <w:p>
            <w:pPr>
              <w:pStyle w:val="19"/>
              <w:spacing w:before="1"/>
              <w:jc w:val="left"/>
              <w:rPr>
                <w:b/>
                <w:sz w:val="16"/>
              </w:rPr>
            </w:pPr>
          </w:p>
          <w:p>
            <w:pPr>
              <w:pStyle w:val="19"/>
              <w:ind w:left="586"/>
              <w:jc w:val="left"/>
              <w:rPr>
                <w:rFonts w:ascii="Calibri" w:hAnsi="Calibri" w:eastAsia="Calibri"/>
                <w:sz w:val="18"/>
              </w:rPr>
            </w:pPr>
            <w:r>
              <w:rPr>
                <w:sz w:val="18"/>
              </w:rPr>
              <w:t>占标率</w:t>
            </w:r>
            <w:r>
              <w:rPr>
                <w:rFonts w:hint="eastAsia" w:ascii="仿宋" w:hAnsi="仿宋" w:eastAsia="仿宋"/>
                <w:sz w:val="18"/>
              </w:rPr>
              <w:t>≤</w:t>
            </w:r>
            <w:r>
              <w:rPr>
                <w:rFonts w:ascii="Calibri" w:hAnsi="Calibri" w:eastAsia="Calibri"/>
                <w:sz w:val="18"/>
              </w:rPr>
              <w:t>100%□</w:t>
            </w:r>
          </w:p>
        </w:tc>
        <w:tc>
          <w:tcPr>
            <w:tcW w:w="2054" w:type="dxa"/>
            <w:gridSpan w:val="5"/>
          </w:tcPr>
          <w:p>
            <w:pPr>
              <w:pStyle w:val="19"/>
              <w:spacing w:before="12"/>
              <w:jc w:val="left"/>
              <w:rPr>
                <w:b/>
                <w:sz w:val="14"/>
              </w:rPr>
            </w:pPr>
          </w:p>
          <w:p>
            <w:pPr>
              <w:pStyle w:val="19"/>
              <w:ind w:left="663"/>
              <w:jc w:val="left"/>
              <w:rPr>
                <w:rFonts w:ascii="Calibri" w:hAnsi="Calibri" w:eastAsia="Calibri"/>
                <w:sz w:val="18"/>
              </w:rPr>
            </w:pPr>
            <w:r>
              <w:rPr>
                <w:sz w:val="18"/>
              </w:rPr>
              <w:t>占标率</w:t>
            </w:r>
            <w:r>
              <w:rPr>
                <w:rFonts w:hint="eastAsia" w:ascii="仿宋" w:hAnsi="仿宋" w:eastAsia="仿宋"/>
                <w:sz w:val="18"/>
              </w:rPr>
              <w:t>＞</w:t>
            </w:r>
            <w:r>
              <w:rPr>
                <w:rFonts w:ascii="Calibri" w:hAnsi="Calibri" w:eastAsia="Calibri"/>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916" w:type="dxa"/>
            <w:vMerge w:val="continue"/>
            <w:tcBorders>
              <w:top w:val="nil"/>
            </w:tcBorders>
          </w:tcPr>
          <w:p>
            <w:pPr>
              <w:rPr>
                <w:sz w:val="2"/>
                <w:szCs w:val="2"/>
              </w:rPr>
            </w:pPr>
          </w:p>
        </w:tc>
        <w:tc>
          <w:tcPr>
            <w:tcW w:w="1458" w:type="dxa"/>
          </w:tcPr>
          <w:p>
            <w:pPr>
              <w:pStyle w:val="19"/>
              <w:spacing w:line="260" w:lineRule="atLeast"/>
              <w:ind w:left="98" w:right="87"/>
              <w:rPr>
                <w:sz w:val="18"/>
              </w:rPr>
            </w:pPr>
            <w:r>
              <w:rPr>
                <w:sz w:val="18"/>
              </w:rPr>
              <w:t>保证率日平均浓度和年平均浓度叠加值</w:t>
            </w:r>
          </w:p>
        </w:tc>
        <w:tc>
          <w:tcPr>
            <w:tcW w:w="3931" w:type="dxa"/>
            <w:gridSpan w:val="9"/>
          </w:tcPr>
          <w:p>
            <w:pPr>
              <w:pStyle w:val="19"/>
              <w:spacing w:before="1"/>
              <w:jc w:val="left"/>
              <w:rPr>
                <w:b/>
                <w:sz w:val="25"/>
              </w:rPr>
            </w:pPr>
          </w:p>
          <w:p>
            <w:pPr>
              <w:pStyle w:val="19"/>
              <w:ind w:left="1522" w:right="1138"/>
              <w:rPr>
                <w:rFonts w:hint="eastAsia" w:ascii="MS UI Gothic" w:hAnsi="MS UI Gothic" w:eastAsia="MS UI Gothic"/>
                <w:sz w:val="18"/>
              </w:rPr>
            </w:pPr>
            <w:r>
              <w:rPr>
                <w:sz w:val="18"/>
              </w:rPr>
              <w:t>达标</w:t>
            </w:r>
            <w:r>
              <w:rPr>
                <w:rFonts w:hint="eastAsia" w:ascii="MS UI Gothic" w:hAnsi="MS UI Gothic" w:eastAsia="MS UI Gothic"/>
                <w:sz w:val="18"/>
              </w:rPr>
              <w:t>☑</w:t>
            </w:r>
          </w:p>
        </w:tc>
        <w:tc>
          <w:tcPr>
            <w:tcW w:w="2054" w:type="dxa"/>
            <w:gridSpan w:val="5"/>
          </w:tcPr>
          <w:p>
            <w:pPr>
              <w:pStyle w:val="19"/>
              <w:spacing w:before="1"/>
              <w:jc w:val="left"/>
              <w:rPr>
                <w:b/>
                <w:sz w:val="25"/>
              </w:rPr>
            </w:pPr>
          </w:p>
          <w:p>
            <w:pPr>
              <w:pStyle w:val="19"/>
              <w:ind w:left="891"/>
              <w:jc w:val="left"/>
              <w:rPr>
                <w:rFonts w:ascii="Calibri" w:hAnsi="Calibri" w:eastAsia="Calibri"/>
                <w:sz w:val="18"/>
              </w:rPr>
            </w:pPr>
            <w:r>
              <w:rPr>
                <w:sz w:val="18"/>
              </w:rPr>
              <w:t>不达标</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9"/>
              <w:spacing w:line="260" w:lineRule="atLeast"/>
              <w:ind w:left="189" w:right="87" w:hanging="92"/>
              <w:jc w:val="left"/>
              <w:rPr>
                <w:sz w:val="18"/>
              </w:rPr>
            </w:pPr>
            <w:r>
              <w:rPr>
                <w:sz w:val="18"/>
              </w:rPr>
              <w:t>区域环境质量的整体变化情况</w:t>
            </w:r>
          </w:p>
        </w:tc>
        <w:tc>
          <w:tcPr>
            <w:tcW w:w="3931" w:type="dxa"/>
            <w:gridSpan w:val="9"/>
          </w:tcPr>
          <w:p>
            <w:pPr>
              <w:pStyle w:val="19"/>
              <w:spacing w:before="158"/>
              <w:ind w:left="1490" w:right="1478"/>
              <w:rPr>
                <w:rFonts w:ascii="MS UI Gothic" w:hAnsi="MS UI Gothic"/>
                <w:sz w:val="18"/>
              </w:rPr>
            </w:pPr>
            <w:r>
              <w:rPr>
                <w:rFonts w:ascii="Calibri" w:hAnsi="Calibri"/>
                <w:i/>
                <w:sz w:val="18"/>
              </w:rPr>
              <w:t>k</w:t>
            </w:r>
            <w:r>
              <w:rPr>
                <w:rFonts w:ascii="仿宋" w:hAnsi="仿宋"/>
                <w:sz w:val="18"/>
              </w:rPr>
              <w:t>≤</w:t>
            </w:r>
            <w:r>
              <w:rPr>
                <w:rFonts w:ascii="Calibri" w:hAnsi="Calibri"/>
                <w:sz w:val="18"/>
              </w:rPr>
              <w:t>-20%</w:t>
            </w:r>
            <w:r>
              <w:rPr>
                <w:rFonts w:ascii="MS UI Gothic" w:hAnsi="MS UI Gothic"/>
                <w:sz w:val="18"/>
              </w:rPr>
              <w:t>☑</w:t>
            </w:r>
          </w:p>
        </w:tc>
        <w:tc>
          <w:tcPr>
            <w:tcW w:w="2054" w:type="dxa"/>
            <w:gridSpan w:val="5"/>
          </w:tcPr>
          <w:p>
            <w:pPr>
              <w:pStyle w:val="19"/>
              <w:spacing w:before="158"/>
              <w:ind w:left="661"/>
              <w:jc w:val="left"/>
              <w:rPr>
                <w:rFonts w:ascii="Calibri" w:hAnsi="Calibri" w:eastAsia="Calibri"/>
                <w:sz w:val="18"/>
              </w:rPr>
            </w:pPr>
            <w:r>
              <w:rPr>
                <w:rFonts w:ascii="Calibri" w:hAnsi="Calibri" w:eastAsia="Calibri"/>
                <w:i/>
                <w:sz w:val="18"/>
              </w:rPr>
              <w:t>k</w:t>
            </w:r>
            <w:r>
              <w:rPr>
                <w:rFonts w:hint="eastAsia" w:ascii="仿宋" w:hAnsi="仿宋" w:eastAsia="仿宋"/>
                <w:sz w:val="18"/>
              </w:rPr>
              <w:t>＞</w:t>
            </w:r>
            <w:r>
              <w:rPr>
                <w:rFonts w:ascii="Calibri" w:hAnsi="Calibri" w:eastAsia="Calibri"/>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restart"/>
          </w:tcPr>
          <w:p>
            <w:pPr>
              <w:pStyle w:val="19"/>
              <w:spacing w:before="9"/>
              <w:jc w:val="left"/>
              <w:rPr>
                <w:b/>
                <w:sz w:val="15"/>
              </w:rPr>
            </w:pPr>
          </w:p>
          <w:p>
            <w:pPr>
              <w:pStyle w:val="19"/>
              <w:spacing w:before="1" w:line="271" w:lineRule="auto"/>
              <w:ind w:left="277" w:right="86" w:hanging="180"/>
              <w:jc w:val="left"/>
              <w:rPr>
                <w:sz w:val="18"/>
              </w:rPr>
            </w:pPr>
            <w:r>
              <w:rPr>
                <w:sz w:val="18"/>
              </w:rPr>
              <w:t>环境监测计划</w:t>
            </w:r>
          </w:p>
        </w:tc>
        <w:tc>
          <w:tcPr>
            <w:tcW w:w="1458" w:type="dxa"/>
          </w:tcPr>
          <w:p>
            <w:pPr>
              <w:pStyle w:val="19"/>
              <w:spacing w:before="159"/>
              <w:ind w:left="278"/>
              <w:jc w:val="left"/>
              <w:rPr>
                <w:sz w:val="18"/>
              </w:rPr>
            </w:pPr>
            <w:r>
              <w:rPr>
                <w:sz w:val="18"/>
              </w:rPr>
              <w:t>污染源监测</w:t>
            </w:r>
          </w:p>
        </w:tc>
        <w:tc>
          <w:tcPr>
            <w:tcW w:w="2853" w:type="dxa"/>
            <w:gridSpan w:val="6"/>
          </w:tcPr>
          <w:p>
            <w:pPr>
              <w:pStyle w:val="19"/>
              <w:spacing w:before="155"/>
              <w:ind w:left="77"/>
              <w:jc w:val="left"/>
              <w:rPr>
                <w:sz w:val="18"/>
              </w:rPr>
            </w:pPr>
            <w:r>
              <w:rPr>
                <w:position w:val="2"/>
                <w:sz w:val="18"/>
              </w:rPr>
              <w:t>监测因子：（</w:t>
            </w:r>
            <w:r>
              <w:rPr>
                <w:rFonts w:ascii="Calibri" w:eastAsia="Calibri"/>
                <w:position w:val="2"/>
                <w:sz w:val="18"/>
              </w:rPr>
              <w:t>NH</w:t>
            </w:r>
            <w:r>
              <w:rPr>
                <w:rFonts w:ascii="Calibri" w:eastAsia="Calibri"/>
                <w:position w:val="2"/>
                <w:sz w:val="18"/>
                <w:vertAlign w:val="subscript"/>
              </w:rPr>
              <w:t>3</w:t>
            </w:r>
            <w:r>
              <w:rPr>
                <w:position w:val="2"/>
                <w:sz w:val="18"/>
                <w:vertAlign w:val="baseline"/>
              </w:rPr>
              <w:t>、</w:t>
            </w:r>
            <w:r>
              <w:rPr>
                <w:rFonts w:ascii="Calibri" w:eastAsia="Calibri"/>
                <w:position w:val="2"/>
                <w:sz w:val="18"/>
                <w:vertAlign w:val="baseline"/>
              </w:rPr>
              <w:t>H</w:t>
            </w:r>
            <w:r>
              <w:rPr>
                <w:rFonts w:ascii="Calibri" w:eastAsia="Calibri"/>
                <w:position w:val="2"/>
                <w:sz w:val="18"/>
                <w:vertAlign w:val="subscript"/>
              </w:rPr>
              <w:t>2</w:t>
            </w:r>
            <w:r>
              <w:rPr>
                <w:rFonts w:ascii="Calibri" w:eastAsia="Calibri"/>
                <w:position w:val="2"/>
                <w:sz w:val="18"/>
                <w:vertAlign w:val="baseline"/>
              </w:rPr>
              <w:t>S</w:t>
            </w:r>
            <w:r>
              <w:rPr>
                <w:position w:val="2"/>
                <w:sz w:val="18"/>
                <w:vertAlign w:val="baseline"/>
              </w:rPr>
              <w:t>、颗粒物）</w:t>
            </w:r>
          </w:p>
        </w:tc>
        <w:tc>
          <w:tcPr>
            <w:tcW w:w="1938" w:type="dxa"/>
            <w:gridSpan w:val="6"/>
          </w:tcPr>
          <w:p>
            <w:pPr>
              <w:pStyle w:val="19"/>
              <w:spacing w:line="260" w:lineRule="atLeast"/>
              <w:ind w:left="248" w:right="237"/>
              <w:jc w:val="left"/>
              <w:rPr>
                <w:rFonts w:hint="eastAsia" w:ascii="MS UI Gothic" w:hAnsi="MS UI Gothic" w:eastAsia="MS UI Gothic"/>
                <w:sz w:val="18"/>
              </w:rPr>
            </w:pPr>
            <w:r>
              <w:rPr>
                <w:sz w:val="18"/>
              </w:rPr>
              <w:t>有组织废气监测</w:t>
            </w:r>
            <w:r>
              <w:rPr>
                <w:rFonts w:hint="eastAsia" w:ascii="MS UI Gothic" w:hAnsi="MS UI Gothic" w:eastAsia="MS UI Gothic"/>
                <w:sz w:val="18"/>
              </w:rPr>
              <w:t>☑</w:t>
            </w:r>
            <w:r>
              <w:rPr>
                <w:sz w:val="18"/>
              </w:rPr>
              <w:t>无组织废气监测</w:t>
            </w:r>
            <w:r>
              <w:rPr>
                <w:rFonts w:hint="eastAsia" w:ascii="MS UI Gothic" w:hAnsi="MS UI Gothic" w:eastAsia="MS UI Gothic"/>
                <w:sz w:val="18"/>
              </w:rPr>
              <w:t>☑</w:t>
            </w:r>
          </w:p>
        </w:tc>
        <w:tc>
          <w:tcPr>
            <w:tcW w:w="1194" w:type="dxa"/>
            <w:gridSpan w:val="2"/>
          </w:tcPr>
          <w:p>
            <w:pPr>
              <w:pStyle w:val="19"/>
              <w:spacing w:before="159"/>
              <w:ind w:left="273"/>
              <w:jc w:val="left"/>
              <w:rPr>
                <w:rFonts w:ascii="Calibri" w:hAnsi="Calibri" w:eastAsia="Calibri"/>
                <w:sz w:val="18"/>
              </w:rPr>
            </w:pPr>
            <w:r>
              <w:rPr>
                <w:sz w:val="18"/>
              </w:rPr>
              <w:t>无监测</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9"/>
              <w:spacing w:before="68"/>
              <w:ind w:left="189"/>
              <w:jc w:val="left"/>
              <w:rPr>
                <w:sz w:val="18"/>
              </w:rPr>
            </w:pPr>
            <w:r>
              <w:rPr>
                <w:sz w:val="18"/>
              </w:rPr>
              <w:t>环境质量监测</w:t>
            </w:r>
          </w:p>
        </w:tc>
        <w:tc>
          <w:tcPr>
            <w:tcW w:w="2853" w:type="dxa"/>
            <w:gridSpan w:val="6"/>
          </w:tcPr>
          <w:p>
            <w:pPr>
              <w:pStyle w:val="19"/>
              <w:spacing w:before="65"/>
              <w:ind w:left="77"/>
              <w:jc w:val="left"/>
              <w:rPr>
                <w:sz w:val="18"/>
              </w:rPr>
            </w:pPr>
            <w:r>
              <w:rPr>
                <w:position w:val="2"/>
                <w:sz w:val="18"/>
              </w:rPr>
              <w:t>监测因子：（</w:t>
            </w:r>
            <w:r>
              <w:rPr>
                <w:rFonts w:ascii="Calibri" w:eastAsia="Calibri"/>
                <w:position w:val="2"/>
                <w:sz w:val="18"/>
              </w:rPr>
              <w:t>NH</w:t>
            </w:r>
            <w:r>
              <w:rPr>
                <w:rFonts w:ascii="Calibri" w:eastAsia="Calibri"/>
                <w:position w:val="2"/>
                <w:sz w:val="18"/>
                <w:vertAlign w:val="subscript"/>
              </w:rPr>
              <w:t>3</w:t>
            </w:r>
            <w:r>
              <w:rPr>
                <w:position w:val="2"/>
                <w:sz w:val="18"/>
                <w:vertAlign w:val="baseline"/>
              </w:rPr>
              <w:t>、</w:t>
            </w:r>
            <w:r>
              <w:rPr>
                <w:rFonts w:ascii="Calibri" w:eastAsia="Calibri"/>
                <w:position w:val="2"/>
                <w:sz w:val="18"/>
                <w:vertAlign w:val="baseline"/>
              </w:rPr>
              <w:t>H</w:t>
            </w:r>
            <w:r>
              <w:rPr>
                <w:rFonts w:ascii="Calibri" w:eastAsia="Calibri"/>
                <w:position w:val="2"/>
                <w:sz w:val="18"/>
                <w:vertAlign w:val="subscript"/>
              </w:rPr>
              <w:t>2</w:t>
            </w:r>
            <w:r>
              <w:rPr>
                <w:rFonts w:ascii="Calibri" w:eastAsia="Calibri"/>
                <w:position w:val="2"/>
                <w:sz w:val="18"/>
                <w:vertAlign w:val="baseline"/>
              </w:rPr>
              <w:t>S</w:t>
            </w:r>
            <w:r>
              <w:rPr>
                <w:position w:val="2"/>
                <w:sz w:val="18"/>
                <w:vertAlign w:val="baseline"/>
              </w:rPr>
              <w:t>、颗粒物）</w:t>
            </w:r>
          </w:p>
        </w:tc>
        <w:tc>
          <w:tcPr>
            <w:tcW w:w="1938" w:type="dxa"/>
            <w:gridSpan w:val="6"/>
          </w:tcPr>
          <w:p>
            <w:pPr>
              <w:pStyle w:val="19"/>
              <w:spacing w:before="68"/>
              <w:ind w:left="294"/>
              <w:jc w:val="left"/>
              <w:rPr>
                <w:sz w:val="18"/>
              </w:rPr>
            </w:pPr>
            <w:r>
              <w:rPr>
                <w:sz w:val="18"/>
              </w:rPr>
              <w:t>监测点位数（</w:t>
            </w:r>
            <w:r>
              <w:rPr>
                <w:rFonts w:ascii="Calibri" w:eastAsia="Calibri"/>
                <w:sz w:val="18"/>
              </w:rPr>
              <w:t>4</w:t>
            </w:r>
            <w:r>
              <w:rPr>
                <w:sz w:val="18"/>
              </w:rPr>
              <w:t>）</w:t>
            </w:r>
          </w:p>
        </w:tc>
        <w:tc>
          <w:tcPr>
            <w:tcW w:w="1194" w:type="dxa"/>
            <w:gridSpan w:val="2"/>
          </w:tcPr>
          <w:p>
            <w:pPr>
              <w:pStyle w:val="19"/>
              <w:spacing w:before="68"/>
              <w:ind w:left="273"/>
              <w:jc w:val="left"/>
              <w:rPr>
                <w:rFonts w:ascii="Calibri" w:hAnsi="Calibri" w:eastAsia="Calibri"/>
                <w:sz w:val="18"/>
              </w:rPr>
            </w:pPr>
            <w:r>
              <w:rPr>
                <w:sz w:val="18"/>
              </w:rPr>
              <w:t>无监测</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restart"/>
          </w:tcPr>
          <w:p>
            <w:pPr>
              <w:pStyle w:val="19"/>
              <w:jc w:val="left"/>
              <w:rPr>
                <w:b/>
                <w:sz w:val="18"/>
              </w:rPr>
            </w:pPr>
          </w:p>
          <w:p>
            <w:pPr>
              <w:pStyle w:val="19"/>
              <w:spacing w:before="7"/>
              <w:jc w:val="left"/>
              <w:rPr>
                <w:b/>
                <w:sz w:val="21"/>
              </w:rPr>
            </w:pPr>
          </w:p>
          <w:p>
            <w:pPr>
              <w:pStyle w:val="19"/>
              <w:spacing w:before="1"/>
              <w:ind w:left="97"/>
              <w:jc w:val="left"/>
              <w:rPr>
                <w:sz w:val="18"/>
              </w:rPr>
            </w:pPr>
            <w:r>
              <w:rPr>
                <w:sz w:val="18"/>
              </w:rPr>
              <w:t>评价结论</w:t>
            </w:r>
          </w:p>
        </w:tc>
        <w:tc>
          <w:tcPr>
            <w:tcW w:w="1458" w:type="dxa"/>
          </w:tcPr>
          <w:p>
            <w:pPr>
              <w:pStyle w:val="19"/>
              <w:spacing w:before="68"/>
              <w:ind w:left="369"/>
              <w:jc w:val="left"/>
              <w:rPr>
                <w:sz w:val="18"/>
              </w:rPr>
            </w:pPr>
            <w:r>
              <w:rPr>
                <w:sz w:val="18"/>
              </w:rPr>
              <w:t>环境影响</w:t>
            </w:r>
          </w:p>
        </w:tc>
        <w:tc>
          <w:tcPr>
            <w:tcW w:w="5985" w:type="dxa"/>
            <w:gridSpan w:val="14"/>
          </w:tcPr>
          <w:p>
            <w:pPr>
              <w:pStyle w:val="19"/>
              <w:tabs>
                <w:tab w:val="left" w:pos="3209"/>
              </w:tabs>
              <w:spacing w:before="68"/>
              <w:ind w:left="1769"/>
              <w:jc w:val="left"/>
              <w:rPr>
                <w:rFonts w:ascii="Calibri" w:hAnsi="Calibri" w:eastAsia="Calibri"/>
                <w:sz w:val="18"/>
              </w:rPr>
            </w:pPr>
            <w:r>
              <w:rPr>
                <w:sz w:val="18"/>
              </w:rPr>
              <w:t>可以接受</w:t>
            </w:r>
            <w:r>
              <w:rPr>
                <w:rFonts w:hint="eastAsia" w:ascii="MS UI Gothic" w:hAnsi="MS UI Gothic" w:eastAsia="MS UI Gothic"/>
                <w:sz w:val="18"/>
              </w:rPr>
              <w:t>☑</w:t>
            </w:r>
            <w:r>
              <w:rPr>
                <w:rFonts w:hint="eastAsia" w:ascii="MS UI Gothic" w:hAnsi="MS UI Gothic" w:eastAsia="MS UI Gothic"/>
                <w:sz w:val="18"/>
              </w:rPr>
              <w:tab/>
            </w:r>
            <w:r>
              <w:rPr>
                <w:sz w:val="18"/>
              </w:rPr>
              <w:t>不可以接受</w:t>
            </w:r>
            <w:r>
              <w:rPr>
                <w:rFonts w:ascii="Calibri" w:hAnsi="Calibri" w:eastAsia="Calibri"/>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16" w:type="dxa"/>
            <w:vMerge w:val="continue"/>
            <w:tcBorders>
              <w:top w:val="nil"/>
            </w:tcBorders>
          </w:tcPr>
          <w:p>
            <w:pPr>
              <w:rPr>
                <w:sz w:val="2"/>
                <w:szCs w:val="2"/>
              </w:rPr>
            </w:pPr>
          </w:p>
        </w:tc>
        <w:tc>
          <w:tcPr>
            <w:tcW w:w="1458" w:type="dxa"/>
          </w:tcPr>
          <w:p>
            <w:pPr>
              <w:pStyle w:val="19"/>
              <w:spacing w:line="260" w:lineRule="exact"/>
              <w:ind w:left="638" w:right="87" w:hanging="540"/>
              <w:jc w:val="left"/>
              <w:rPr>
                <w:sz w:val="18"/>
              </w:rPr>
            </w:pPr>
            <w:r>
              <w:rPr>
                <w:sz w:val="18"/>
              </w:rPr>
              <w:t>大气环境防护距离</w:t>
            </w:r>
          </w:p>
        </w:tc>
        <w:tc>
          <w:tcPr>
            <w:tcW w:w="5985" w:type="dxa"/>
            <w:gridSpan w:val="14"/>
          </w:tcPr>
          <w:p>
            <w:pPr>
              <w:pStyle w:val="19"/>
              <w:tabs>
                <w:tab w:val="left" w:pos="1358"/>
              </w:tabs>
              <w:spacing w:before="157"/>
              <w:ind w:left="9"/>
              <w:rPr>
                <w:rFonts w:ascii="Calibri" w:eastAsia="Calibri"/>
                <w:sz w:val="18"/>
              </w:rPr>
            </w:pPr>
            <w:r>
              <w:rPr>
                <w:sz w:val="18"/>
              </w:rPr>
              <w:t>距厂界最远（</w:t>
            </w:r>
            <w:r>
              <w:rPr>
                <w:sz w:val="18"/>
              </w:rPr>
              <w:tab/>
            </w:r>
            <w:r>
              <w:rPr>
                <w:sz w:val="18"/>
              </w:rPr>
              <w:t>）</w:t>
            </w:r>
            <w:r>
              <w:rPr>
                <w:rFonts w:ascii="Calibri" w:eastAsia="Calibri"/>
                <w:sz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6" w:type="dxa"/>
            <w:vMerge w:val="continue"/>
            <w:tcBorders>
              <w:top w:val="nil"/>
            </w:tcBorders>
          </w:tcPr>
          <w:p>
            <w:pPr>
              <w:rPr>
                <w:sz w:val="2"/>
                <w:szCs w:val="2"/>
              </w:rPr>
            </w:pPr>
          </w:p>
        </w:tc>
        <w:tc>
          <w:tcPr>
            <w:tcW w:w="1458" w:type="dxa"/>
          </w:tcPr>
          <w:p>
            <w:pPr>
              <w:pStyle w:val="19"/>
              <w:spacing w:before="69"/>
              <w:ind w:left="98"/>
              <w:jc w:val="left"/>
              <w:rPr>
                <w:sz w:val="18"/>
              </w:rPr>
            </w:pPr>
            <w:r>
              <w:rPr>
                <w:sz w:val="18"/>
              </w:rPr>
              <w:t>污染源年排放量</w:t>
            </w:r>
          </w:p>
        </w:tc>
        <w:tc>
          <w:tcPr>
            <w:tcW w:w="1481" w:type="dxa"/>
            <w:gridSpan w:val="3"/>
          </w:tcPr>
          <w:p>
            <w:pPr>
              <w:pStyle w:val="19"/>
              <w:tabs>
                <w:tab w:val="left" w:pos="929"/>
              </w:tabs>
              <w:spacing w:before="66"/>
              <w:ind w:left="173"/>
              <w:jc w:val="left"/>
              <w:rPr>
                <w:rFonts w:ascii="Calibri" w:eastAsia="Calibri"/>
                <w:sz w:val="18"/>
              </w:rPr>
            </w:pPr>
            <w:r>
              <w:rPr>
                <w:rFonts w:ascii="Calibri" w:eastAsia="Calibri"/>
                <w:position w:val="2"/>
                <w:sz w:val="18"/>
              </w:rPr>
              <w:t>SO</w:t>
            </w:r>
            <w:r>
              <w:rPr>
                <w:rFonts w:ascii="Calibri" w:eastAsia="Calibri"/>
                <w:position w:val="2"/>
                <w:sz w:val="18"/>
                <w:vertAlign w:val="subscript"/>
              </w:rPr>
              <w:t>2</w:t>
            </w:r>
            <w:r>
              <w:rPr>
                <w:rFonts w:ascii="Calibri" w:eastAsia="Calibri"/>
                <w:position w:val="2"/>
                <w:sz w:val="18"/>
                <w:vertAlign w:val="baseline"/>
              </w:rPr>
              <w:t>:</w:t>
            </w:r>
            <w:r>
              <w:rPr>
                <w:position w:val="2"/>
                <w:sz w:val="18"/>
                <w:vertAlign w:val="baseline"/>
              </w:rPr>
              <w:t>（</w:t>
            </w:r>
            <w:r>
              <w:rPr>
                <w:position w:val="2"/>
                <w:sz w:val="18"/>
                <w:vertAlign w:val="baseline"/>
              </w:rPr>
              <w:tab/>
            </w:r>
            <w:r>
              <w:rPr>
                <w:position w:val="2"/>
                <w:sz w:val="18"/>
                <w:vertAlign w:val="baseline"/>
              </w:rPr>
              <w:t>）</w:t>
            </w:r>
            <w:r>
              <w:rPr>
                <w:rFonts w:ascii="Calibri" w:eastAsia="Calibri"/>
                <w:position w:val="2"/>
                <w:sz w:val="18"/>
                <w:vertAlign w:val="baseline"/>
              </w:rPr>
              <w:t>t/a</w:t>
            </w:r>
          </w:p>
        </w:tc>
        <w:tc>
          <w:tcPr>
            <w:tcW w:w="1507" w:type="dxa"/>
            <w:gridSpan w:val="4"/>
          </w:tcPr>
          <w:p>
            <w:pPr>
              <w:pStyle w:val="19"/>
              <w:tabs>
                <w:tab w:val="left" w:pos="955"/>
              </w:tabs>
              <w:spacing w:before="66"/>
              <w:ind w:left="173"/>
              <w:jc w:val="left"/>
              <w:rPr>
                <w:rFonts w:ascii="Calibri" w:eastAsia="Calibri"/>
                <w:sz w:val="18"/>
              </w:rPr>
            </w:pPr>
            <w:r>
              <w:rPr>
                <w:rFonts w:ascii="Calibri" w:eastAsia="Calibri"/>
                <w:position w:val="2"/>
                <w:sz w:val="18"/>
              </w:rPr>
              <w:t>NO</w:t>
            </w:r>
            <w:r>
              <w:rPr>
                <w:rFonts w:ascii="Calibri" w:eastAsia="Calibri"/>
                <w:position w:val="2"/>
                <w:sz w:val="18"/>
                <w:vertAlign w:val="subscript"/>
              </w:rPr>
              <w:t>x</w:t>
            </w:r>
            <w:r>
              <w:rPr>
                <w:rFonts w:ascii="Calibri" w:eastAsia="Calibri"/>
                <w:position w:val="2"/>
                <w:sz w:val="18"/>
                <w:vertAlign w:val="baseline"/>
              </w:rPr>
              <w:t>:</w:t>
            </w:r>
            <w:r>
              <w:rPr>
                <w:position w:val="2"/>
                <w:sz w:val="18"/>
                <w:vertAlign w:val="baseline"/>
              </w:rPr>
              <w:t>（</w:t>
            </w:r>
            <w:r>
              <w:rPr>
                <w:position w:val="2"/>
                <w:sz w:val="18"/>
                <w:vertAlign w:val="baseline"/>
              </w:rPr>
              <w:tab/>
            </w:r>
            <w:r>
              <w:rPr>
                <w:position w:val="2"/>
                <w:sz w:val="18"/>
                <w:vertAlign w:val="baseline"/>
              </w:rPr>
              <w:t>）</w:t>
            </w:r>
            <w:r>
              <w:rPr>
                <w:rFonts w:ascii="Calibri" w:eastAsia="Calibri"/>
                <w:position w:val="2"/>
                <w:sz w:val="18"/>
                <w:vertAlign w:val="baseline"/>
              </w:rPr>
              <w:t>t/a</w:t>
            </w:r>
          </w:p>
        </w:tc>
        <w:tc>
          <w:tcPr>
            <w:tcW w:w="1495" w:type="dxa"/>
            <w:gridSpan w:val="4"/>
          </w:tcPr>
          <w:p>
            <w:pPr>
              <w:pStyle w:val="19"/>
              <w:tabs>
                <w:tab w:val="left" w:pos="1071"/>
              </w:tabs>
              <w:spacing w:before="69"/>
              <w:ind w:left="32"/>
              <w:jc w:val="left"/>
              <w:rPr>
                <w:rFonts w:ascii="Calibri" w:eastAsia="Calibri"/>
                <w:sz w:val="18"/>
              </w:rPr>
            </w:pPr>
            <w:r>
              <w:rPr>
                <w:sz w:val="18"/>
              </w:rPr>
              <w:t>颗粒物</w:t>
            </w:r>
            <w:r>
              <w:rPr>
                <w:rFonts w:ascii="Calibri" w:eastAsia="Calibri"/>
                <w:sz w:val="18"/>
              </w:rPr>
              <w:t>:</w:t>
            </w:r>
            <w:r>
              <w:rPr>
                <w:sz w:val="18"/>
              </w:rPr>
              <w:t>（</w:t>
            </w:r>
            <w:r>
              <w:rPr>
                <w:sz w:val="18"/>
              </w:rPr>
              <w:tab/>
            </w:r>
            <w:r>
              <w:rPr>
                <w:sz w:val="18"/>
              </w:rPr>
              <w:t>）</w:t>
            </w:r>
            <w:r>
              <w:rPr>
                <w:rFonts w:ascii="Calibri" w:eastAsia="Calibri"/>
                <w:sz w:val="18"/>
              </w:rPr>
              <w:t>t/a</w:t>
            </w:r>
          </w:p>
        </w:tc>
        <w:tc>
          <w:tcPr>
            <w:tcW w:w="1502" w:type="dxa"/>
            <w:gridSpan w:val="3"/>
          </w:tcPr>
          <w:p>
            <w:pPr>
              <w:pStyle w:val="19"/>
              <w:tabs>
                <w:tab w:val="left" w:pos="985"/>
              </w:tabs>
              <w:spacing w:before="66"/>
              <w:ind w:left="128"/>
              <w:jc w:val="left"/>
              <w:rPr>
                <w:rFonts w:ascii="Calibri" w:eastAsia="Calibri"/>
                <w:sz w:val="18"/>
              </w:rPr>
            </w:pPr>
            <w:r>
              <w:rPr>
                <w:rFonts w:ascii="Calibri" w:eastAsia="Calibri"/>
                <w:position w:val="2"/>
                <w:sz w:val="18"/>
              </w:rPr>
              <w:t>VOC</w:t>
            </w:r>
            <w:r>
              <w:rPr>
                <w:rFonts w:ascii="Calibri" w:eastAsia="Calibri"/>
                <w:position w:val="2"/>
                <w:sz w:val="18"/>
                <w:vertAlign w:val="subscript"/>
              </w:rPr>
              <w:t>s</w:t>
            </w:r>
            <w:r>
              <w:rPr>
                <w:rFonts w:ascii="Calibri" w:eastAsia="Calibri"/>
                <w:position w:val="2"/>
                <w:sz w:val="18"/>
                <w:vertAlign w:val="baseline"/>
              </w:rPr>
              <w:t>:</w:t>
            </w:r>
            <w:r>
              <w:rPr>
                <w:position w:val="2"/>
                <w:sz w:val="18"/>
                <w:vertAlign w:val="baseline"/>
              </w:rPr>
              <w:t>（</w:t>
            </w:r>
            <w:r>
              <w:rPr>
                <w:position w:val="2"/>
                <w:sz w:val="18"/>
                <w:vertAlign w:val="baseline"/>
              </w:rPr>
              <w:tab/>
            </w:r>
            <w:r>
              <w:rPr>
                <w:position w:val="2"/>
                <w:sz w:val="18"/>
                <w:vertAlign w:val="baseline"/>
              </w:rPr>
              <w:t>）</w:t>
            </w:r>
            <w:r>
              <w:rPr>
                <w:rFonts w:ascii="Calibri" w:eastAsia="Calibri"/>
                <w:position w:val="2"/>
                <w:sz w:val="18"/>
                <w:vertAlign w:val="baseline"/>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59" w:type="dxa"/>
            <w:gridSpan w:val="16"/>
          </w:tcPr>
          <w:p>
            <w:pPr>
              <w:pStyle w:val="19"/>
              <w:tabs>
                <w:tab w:val="left" w:pos="3195"/>
              </w:tabs>
              <w:spacing w:before="67"/>
              <w:ind w:left="27"/>
              <w:jc w:val="left"/>
              <w:rPr>
                <w:sz w:val="18"/>
              </w:rPr>
            </w:pPr>
            <w:r>
              <w:rPr>
                <w:sz w:val="18"/>
              </w:rPr>
              <w:t>注：“</w:t>
            </w:r>
            <w:r>
              <w:rPr>
                <w:rFonts w:ascii="Calibri" w:hAnsi="Calibri" w:eastAsia="Calibri"/>
                <w:sz w:val="18"/>
              </w:rPr>
              <w:t>□</w:t>
            </w:r>
            <w:r>
              <w:rPr>
                <w:rFonts w:hint="eastAsia" w:ascii="仿宋" w:hAnsi="仿宋" w:eastAsia="仿宋"/>
                <w:sz w:val="18"/>
              </w:rPr>
              <w:t>”</w:t>
            </w:r>
            <w:r>
              <w:rPr>
                <w:sz w:val="18"/>
              </w:rPr>
              <w:t>为勾选项，填“</w:t>
            </w:r>
            <w:r>
              <w:rPr>
                <w:rFonts w:ascii="Calibri" w:hAnsi="Calibri" w:eastAsia="Calibri"/>
                <w:sz w:val="18"/>
              </w:rPr>
              <w:t>√</w:t>
            </w:r>
            <w:r>
              <w:rPr>
                <w:sz w:val="18"/>
              </w:rPr>
              <w:t>”；“（</w:t>
            </w:r>
            <w:r>
              <w:rPr>
                <w:sz w:val="18"/>
              </w:rPr>
              <w:tab/>
            </w:r>
            <w:r>
              <w:rPr>
                <w:sz w:val="18"/>
              </w:rPr>
              <w:t>）”为内容填写项</w:t>
            </w:r>
          </w:p>
        </w:tc>
      </w:tr>
    </w:tbl>
    <w:p>
      <w:pPr>
        <w:spacing w:after="0"/>
        <w:jc w:val="left"/>
        <w:rPr>
          <w:sz w:val="18"/>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8"/>
        <w:ind w:left="0"/>
        <w:rPr>
          <w:b/>
          <w:sz w:val="9"/>
        </w:rPr>
      </w:pPr>
    </w:p>
    <w:p>
      <w:pPr>
        <w:pStyle w:val="18"/>
        <w:numPr>
          <w:ilvl w:val="2"/>
          <w:numId w:val="46"/>
        </w:numPr>
        <w:tabs>
          <w:tab w:val="left" w:pos="1241"/>
        </w:tabs>
        <w:spacing w:before="73" w:after="0" w:line="240" w:lineRule="auto"/>
        <w:ind w:left="1240" w:right="0" w:hanging="701"/>
        <w:jc w:val="left"/>
        <w:outlineLvl w:val="2"/>
        <w:rPr>
          <w:b/>
          <w:sz w:val="28"/>
        </w:rPr>
      </w:pPr>
      <w:bookmarkStart w:id="290" w:name="5.2.2 运营期水环境影响分析"/>
      <w:bookmarkEnd w:id="290"/>
      <w:bookmarkStart w:id="291" w:name="5.2.2 运营期水环境影响分析"/>
      <w:bookmarkEnd w:id="291"/>
      <w:bookmarkStart w:id="292" w:name="_Toc24406"/>
      <w:r>
        <w:rPr>
          <w:b/>
          <w:sz w:val="28"/>
        </w:rPr>
        <w:t>运营期水环境影响分析</w:t>
      </w:r>
      <w:bookmarkEnd w:id="292"/>
    </w:p>
    <w:p>
      <w:pPr>
        <w:pStyle w:val="7"/>
        <w:spacing w:before="12"/>
        <w:ind w:left="0"/>
        <w:rPr>
          <w:b/>
          <w:sz w:val="21"/>
        </w:rPr>
      </w:pPr>
    </w:p>
    <w:p>
      <w:pPr>
        <w:pStyle w:val="18"/>
        <w:numPr>
          <w:ilvl w:val="3"/>
          <w:numId w:val="53"/>
        </w:numPr>
        <w:tabs>
          <w:tab w:val="left" w:pos="1320"/>
        </w:tabs>
        <w:spacing w:before="0" w:after="0" w:line="240" w:lineRule="auto"/>
        <w:ind w:left="1320" w:right="0" w:hanging="780"/>
        <w:jc w:val="left"/>
        <w:rPr>
          <w:sz w:val="24"/>
        </w:rPr>
      </w:pPr>
      <w:bookmarkStart w:id="293" w:name="5.2.2.1 废水排放情况"/>
      <w:bookmarkEnd w:id="293"/>
      <w:bookmarkStart w:id="294" w:name="5.2.2.1 废水排放情况"/>
      <w:bookmarkEnd w:id="294"/>
      <w:r>
        <w:rPr>
          <w:sz w:val="24"/>
        </w:rPr>
        <w:t>废水排放情况</w:t>
      </w:r>
    </w:p>
    <w:p>
      <w:pPr>
        <w:pStyle w:val="7"/>
        <w:spacing w:before="202" w:line="343" w:lineRule="auto"/>
        <w:ind w:left="1020" w:right="485"/>
        <w:jc w:val="both"/>
        <w:rPr>
          <w:color w:val="0000FF"/>
        </w:rPr>
      </w:pPr>
      <w:r>
        <w:rPr>
          <w:color w:val="0000FF"/>
        </w:rPr>
        <w:t>根据工程分析，本项目废水包括畜禽无害化处理车间化制废水和消毒废水。本项目采用干清粪工艺，不产生圈舍冲洗废水；羊饮水一部分参与羊的新陈</w:t>
      </w:r>
    </w:p>
    <w:p>
      <w:pPr>
        <w:pStyle w:val="7"/>
        <w:spacing w:line="343" w:lineRule="auto"/>
        <w:ind w:right="457"/>
        <w:jc w:val="both"/>
        <w:rPr>
          <w:rFonts w:hint="eastAsia"/>
          <w:color w:val="0000FF"/>
          <w:spacing w:val="-1"/>
        </w:rPr>
      </w:pPr>
      <w:r>
        <w:rPr>
          <w:color w:val="0000FF"/>
          <w:spacing w:val="-10"/>
        </w:rPr>
        <w:t>代谢，另一部分饮水以尿液的方式排放，根据《畜禽养殖业污染治理工程技术规</w:t>
      </w:r>
      <w:r>
        <w:rPr>
          <w:color w:val="0000FF"/>
          <w:spacing w:val="-14"/>
        </w:rPr>
        <w:t>范》中附录</w:t>
      </w:r>
      <w:r>
        <w:rPr>
          <w:rFonts w:ascii="Times New Roman" w:hAnsi="Times New Roman" w:eastAsia="Times New Roman"/>
          <w:color w:val="0000FF"/>
        </w:rPr>
        <w:t>A</w:t>
      </w:r>
      <w:r>
        <w:rPr>
          <w:color w:val="0000FF"/>
          <w:spacing w:val="-7"/>
        </w:rPr>
        <w:t>中可知，每头每天排放尿液约</w:t>
      </w:r>
      <w:r>
        <w:rPr>
          <w:rFonts w:ascii="Times New Roman" w:hAnsi="Times New Roman" w:eastAsia="Times New Roman"/>
          <w:color w:val="0000FF"/>
        </w:rPr>
        <w:t>10L/</w:t>
      </w:r>
      <w:r>
        <w:rPr>
          <w:color w:val="0000FF"/>
        </w:rPr>
        <w:t>（头</w:t>
      </w:r>
      <w:r>
        <w:rPr>
          <w:rFonts w:ascii="Times New Roman" w:hAnsi="Times New Roman" w:eastAsia="Times New Roman"/>
          <w:color w:val="0000FF"/>
          <w:spacing w:val="-3"/>
        </w:rPr>
        <w:t>•d</w:t>
      </w:r>
      <w:r>
        <w:rPr>
          <w:color w:val="0000FF"/>
          <w:spacing w:val="-3"/>
        </w:rPr>
        <w:t>），</w:t>
      </w:r>
      <w:r>
        <w:rPr>
          <w:color w:val="0000FF"/>
          <w:spacing w:val="-2"/>
        </w:rPr>
        <w:t>羊排放的尿液很小，</w:t>
      </w:r>
      <w:r>
        <w:rPr>
          <w:color w:val="0000FF"/>
          <w:spacing w:val="-6"/>
        </w:rPr>
        <w:t>经类比分析，肉羊在圈养期间，羊尿的排放量约为</w:t>
      </w:r>
      <w:r>
        <w:rPr>
          <w:rFonts w:ascii="Times New Roman" w:hAnsi="Times New Roman" w:eastAsia="Times New Roman"/>
          <w:color w:val="0000FF"/>
        </w:rPr>
        <w:t>0.66L/</w:t>
      </w:r>
      <w:r>
        <w:rPr>
          <w:color w:val="0000FF"/>
        </w:rPr>
        <w:t>（只</w:t>
      </w:r>
      <w:r>
        <w:rPr>
          <w:rFonts w:ascii="Times New Roman" w:hAnsi="Times New Roman" w:eastAsia="Times New Roman"/>
          <w:color w:val="0000FF"/>
          <w:spacing w:val="-4"/>
        </w:rPr>
        <w:t>•d</w:t>
      </w:r>
      <w:r>
        <w:rPr>
          <w:color w:val="0000FF"/>
          <w:spacing w:val="-4"/>
        </w:rPr>
        <w:t>）</w:t>
      </w:r>
      <w:r>
        <w:rPr>
          <w:color w:val="0000FF"/>
          <w:spacing w:val="-2"/>
        </w:rPr>
        <w:t>，则羊尿的产</w:t>
      </w:r>
      <w:r>
        <w:rPr>
          <w:color w:val="0000FF"/>
          <w:spacing w:val="-18"/>
        </w:rPr>
        <w:t>生量为</w:t>
      </w:r>
      <w:r>
        <w:rPr>
          <w:rFonts w:hint="eastAsia"/>
          <w:color w:val="0000FF"/>
          <w:spacing w:val="-18"/>
          <w:lang w:val="en-US" w:eastAsia="zh-CN"/>
        </w:rPr>
        <w:t>24090</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/a</w:t>
      </w:r>
      <w:r>
        <w:rPr>
          <w:color w:val="0000FF"/>
        </w:rPr>
        <w:t>（</w:t>
      </w:r>
      <w:r>
        <w:rPr>
          <w:rFonts w:hint="eastAsia"/>
          <w:color w:val="0000FF"/>
          <w:lang w:val="en-US" w:eastAsia="zh-CN"/>
        </w:rPr>
        <w:t>66</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/d</w:t>
      </w:r>
      <w:r>
        <w:rPr>
          <w:color w:val="0000FF"/>
        </w:rPr>
        <w:t>），</w:t>
      </w:r>
      <w:r>
        <w:rPr>
          <w:color w:val="0000FF"/>
          <w:spacing w:val="-1"/>
        </w:rPr>
        <w:t>项目区夏季蒸发量很大，羊尿主要和粪便混合在一起，每日及时清除，不进入排水系统。</w:t>
      </w:r>
      <w:r>
        <w:rPr>
          <w:rFonts w:hint="eastAsia"/>
          <w:color w:val="0000FF"/>
          <w:spacing w:val="-1"/>
          <w:lang w:val="en-US" w:eastAsia="zh-CN"/>
        </w:rPr>
        <w:t>本项目运行人员为 30 人，</w:t>
      </w:r>
      <w:r>
        <w:rPr>
          <w:rFonts w:hint="eastAsia"/>
          <w:color w:val="0000FF"/>
          <w:spacing w:val="-1"/>
        </w:rPr>
        <w:t>生活用水量 0.08 m</w:t>
      </w:r>
      <w:r>
        <w:rPr>
          <w:rFonts w:hint="eastAsia"/>
          <w:color w:val="0000FF"/>
          <w:spacing w:val="-1"/>
          <w:vertAlign w:val="superscript"/>
        </w:rPr>
        <w:t>3</w:t>
      </w:r>
      <w:r>
        <w:rPr>
          <w:rFonts w:hint="eastAsia"/>
          <w:color w:val="0000FF"/>
          <w:spacing w:val="-1"/>
        </w:rPr>
        <w:t xml:space="preserve"> /(人·d)计，生活污水排放系数取 0.8，年排放量约</w:t>
      </w:r>
      <w:r>
        <w:rPr>
          <w:rFonts w:hint="eastAsia"/>
          <w:color w:val="0000FF"/>
          <w:spacing w:val="-1"/>
          <w:lang w:val="en-US" w:eastAsia="zh-CN"/>
        </w:rPr>
        <w:t>700m</w:t>
      </w:r>
      <w:r>
        <w:rPr>
          <w:rFonts w:hint="eastAsia"/>
          <w:color w:val="0000FF"/>
          <w:spacing w:val="-1"/>
          <w:vertAlign w:val="superscript"/>
          <w:lang w:val="en-US" w:eastAsia="zh-CN"/>
        </w:rPr>
        <w:t>3</w:t>
      </w:r>
      <w:r>
        <w:rPr>
          <w:rFonts w:hint="eastAsia"/>
          <w:color w:val="0000FF"/>
          <w:spacing w:val="-1"/>
        </w:rPr>
        <w:t xml:space="preserve"> /a，生活污水含有污染物主要为 CODcr、BOD5、SS、氨氮等，</w:t>
      </w:r>
      <w:r>
        <w:rPr>
          <w:rFonts w:hint="eastAsia"/>
          <w:color w:val="0000FF"/>
          <w:spacing w:val="-1"/>
          <w:lang w:val="en-US" w:eastAsia="zh-CN"/>
        </w:rPr>
        <w:t>污水经过</w:t>
      </w:r>
      <w:r>
        <w:rPr>
          <w:rFonts w:hint="eastAsia"/>
          <w:color w:val="0000FF"/>
          <w:spacing w:val="-1"/>
        </w:rPr>
        <w:t>化粪池及一套地埋式</w:t>
      </w:r>
      <w:r>
        <w:rPr>
          <w:rFonts w:hint="eastAsia"/>
          <w:color w:val="0000FF"/>
          <w:spacing w:val="-1"/>
          <w:lang w:val="en-US" w:eastAsia="zh-CN"/>
        </w:rPr>
        <w:t>一体化</w:t>
      </w:r>
      <w:r>
        <w:rPr>
          <w:rFonts w:hint="eastAsia"/>
          <w:color w:val="0000FF"/>
          <w:spacing w:val="-1"/>
        </w:rPr>
        <w:t>污水处理设备</w:t>
      </w:r>
      <w:r>
        <w:rPr>
          <w:rFonts w:hint="eastAsia"/>
          <w:color w:val="0000FF"/>
          <w:spacing w:val="-1"/>
          <w:lang w:val="en-US" w:eastAsia="zh-CN"/>
        </w:rPr>
        <w:t>处理过的水冬季储存，夏季用于场区洒水降尘。沉淀物由相关环卫部门抽运。 达到《污水综合排放标准》(GB8978-1996)中的二级标准。</w:t>
      </w:r>
    </w:p>
    <w:p>
      <w:pPr>
        <w:pStyle w:val="7"/>
        <w:spacing w:before="1" w:line="343" w:lineRule="auto"/>
        <w:ind w:right="485" w:firstLine="480"/>
        <w:jc w:val="both"/>
      </w:pPr>
      <w:r>
        <w:rPr>
          <w:spacing w:val="-9"/>
        </w:rPr>
        <w:t>按照《国务院办公厅关于加快推进畜禽养殖废弃物资源化利用的意见》中要</w:t>
      </w:r>
      <w:r>
        <w:rPr>
          <w:spacing w:val="-10"/>
        </w:rPr>
        <w:t>求：“鼓励沼液和经无害化处理的畜禽养殖废水作为肥料科学还田利用”。养殖</w:t>
      </w:r>
      <w:r>
        <w:rPr>
          <w:spacing w:val="-14"/>
        </w:rPr>
        <w:t>场每栋羊舍地面为混凝土地面，上端覆盖</w:t>
      </w:r>
      <w:r>
        <w:rPr>
          <w:rFonts w:ascii="Times New Roman" w:hAnsi="Times New Roman" w:eastAsia="Times New Roman"/>
        </w:rPr>
        <w:t>35cm</w:t>
      </w:r>
      <w:r>
        <w:rPr>
          <w:spacing w:val="-4"/>
        </w:rPr>
        <w:t>厚垫料，铺设垫床一般采用废气</w:t>
      </w:r>
      <w:r>
        <w:rPr>
          <w:spacing w:val="-11"/>
        </w:rPr>
        <w:t>杂草、农作物秸秆粉、锯末等农业材料，羊排泄的尿液被垫料吸收、蒸发，项目</w:t>
      </w:r>
      <w:r>
        <w:rPr>
          <w:spacing w:val="-12"/>
        </w:rPr>
        <w:t>定期对垫料层和粪便进行清理更换，不需要对畜舍进行冲洗，无冲栏废水产生。</w:t>
      </w:r>
      <w:r>
        <w:rPr>
          <w:spacing w:val="-5"/>
        </w:rPr>
        <w:t>垫料层与羊粪一起进入堆肥厂堆肥发酵，废水实现综合利用，不外排。</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p>
    <w:p>
      <w:pPr>
        <w:pStyle w:val="7"/>
        <w:spacing w:before="1" w:line="343" w:lineRule="auto"/>
        <w:ind w:right="461" w:firstLine="480"/>
        <w:jc w:val="both"/>
      </w:pPr>
      <w:r>
        <w:rPr>
          <w:spacing w:val="-2"/>
        </w:rPr>
        <w:t>项目进场需对车辆进行消毒处理，设置消毒池，每车消毒耗水约为</w:t>
      </w:r>
      <w:r>
        <w:rPr>
          <w:rFonts w:ascii="Times New Roman" w:eastAsia="Times New Roman"/>
          <w:spacing w:val="-4"/>
        </w:rPr>
        <w:t>0.05m</w:t>
      </w:r>
      <w:r>
        <w:rPr>
          <w:rFonts w:ascii="Times New Roman" w:eastAsia="Times New Roman"/>
          <w:spacing w:val="-4"/>
          <w:position w:val="8"/>
          <w:sz w:val="15"/>
        </w:rPr>
        <w:t>3</w:t>
      </w:r>
      <w:r>
        <w:rPr>
          <w:spacing w:val="-4"/>
        </w:rPr>
        <w:t>，</w:t>
      </w:r>
      <w:r>
        <w:rPr>
          <w:spacing w:val="-7"/>
        </w:rPr>
        <w:t>进入厂区车辆平均约</w:t>
      </w:r>
      <w:r>
        <w:rPr>
          <w:rFonts w:ascii="Times New Roman" w:eastAsia="Times New Roman"/>
        </w:rPr>
        <w:t>2</w:t>
      </w:r>
      <w:r>
        <w:t>辆</w:t>
      </w:r>
      <w:r>
        <w:rPr>
          <w:rFonts w:ascii="Times New Roman" w:eastAsia="Times New Roman"/>
        </w:rPr>
        <w:t>/d</w:t>
      </w:r>
      <w:r>
        <w:rPr>
          <w:spacing w:val="-5"/>
        </w:rPr>
        <w:t>，则每天车辆消毒用水量为</w:t>
      </w:r>
      <w:r>
        <w:rPr>
          <w:rFonts w:ascii="Times New Roman" w:eastAsia="Times New Roman"/>
        </w:rPr>
        <w:t>0.1m</w:t>
      </w:r>
      <w:r>
        <w:rPr>
          <w:rFonts w:ascii="Times New Roman" w:eastAsia="Times New Roman"/>
          <w:position w:val="8"/>
          <w:sz w:val="15"/>
        </w:rPr>
        <w:t>3</w:t>
      </w:r>
      <w:r>
        <w:rPr>
          <w:rFonts w:ascii="Times New Roman" w:eastAsia="Times New Roman"/>
        </w:rPr>
        <w:t>/d</w:t>
      </w:r>
      <w:r>
        <w:t>。消毒用水量较小，不会在厂区形成径流，随之蒸发。</w:t>
      </w:r>
    </w:p>
    <w:p>
      <w:pPr>
        <w:pStyle w:val="7"/>
        <w:spacing w:before="17" w:line="360" w:lineRule="auto"/>
        <w:ind w:right="577" w:firstLine="480"/>
        <w:jc w:val="both"/>
      </w:pPr>
      <w:r>
        <w:rPr>
          <w:spacing w:val="-6"/>
        </w:rPr>
        <w:t>畜禽无害化处理车间化制废水进入废水槽，收集后拉运至</w:t>
      </w:r>
      <w:r>
        <w:rPr>
          <w:rFonts w:hint="eastAsia"/>
          <w:spacing w:val="-6"/>
          <w:lang w:eastAsia="zh-CN"/>
        </w:rPr>
        <w:t>莎车</w:t>
      </w:r>
      <w:r>
        <w:rPr>
          <w:spacing w:val="-6"/>
        </w:rPr>
        <w:t>县污水处理站</w:t>
      </w:r>
      <w:r>
        <w:t>处理，不外排。</w:t>
      </w:r>
    </w:p>
    <w:p>
      <w:pPr>
        <w:pStyle w:val="18"/>
        <w:numPr>
          <w:ilvl w:val="3"/>
          <w:numId w:val="53"/>
        </w:numPr>
        <w:tabs>
          <w:tab w:val="left" w:pos="1320"/>
        </w:tabs>
        <w:spacing w:before="0" w:after="0" w:line="266" w:lineRule="exact"/>
        <w:ind w:left="1320" w:right="0" w:hanging="780"/>
        <w:jc w:val="left"/>
        <w:rPr>
          <w:sz w:val="24"/>
        </w:rPr>
      </w:pPr>
      <w:bookmarkStart w:id="295" w:name="5.2.2.2 地下水环境影响分析"/>
      <w:bookmarkEnd w:id="295"/>
      <w:bookmarkStart w:id="296" w:name="5.2.2.2 地下水环境影响分析"/>
      <w:bookmarkEnd w:id="296"/>
      <w:r>
        <w:rPr>
          <w:sz w:val="24"/>
        </w:rPr>
        <w:t>地下水环境影响分析</w:t>
      </w:r>
    </w:p>
    <w:p>
      <w:pPr>
        <w:pStyle w:val="18"/>
        <w:numPr>
          <w:ilvl w:val="4"/>
          <w:numId w:val="53"/>
        </w:numPr>
        <w:tabs>
          <w:tab w:val="left" w:pos="1621"/>
        </w:tabs>
        <w:spacing w:before="168" w:after="0" w:line="240" w:lineRule="auto"/>
        <w:ind w:left="1621" w:right="0" w:hanging="601"/>
        <w:jc w:val="left"/>
        <w:rPr>
          <w:sz w:val="24"/>
        </w:rPr>
      </w:pPr>
      <w:r>
        <w:rPr>
          <w:sz w:val="24"/>
        </w:rPr>
        <w:t>主要污染源</w:t>
      </w:r>
    </w:p>
    <w:p>
      <w:pPr>
        <w:pStyle w:val="7"/>
        <w:spacing w:before="161" w:line="364" w:lineRule="auto"/>
        <w:ind w:right="575" w:firstLine="480"/>
        <w:jc w:val="both"/>
      </w:pPr>
      <w:r>
        <w:rPr>
          <w:spacing w:val="-6"/>
        </w:rPr>
        <w:t>本项目对地下水的主要污染源为羊舍及堆肥厂等，上述区块防渗措施受损污</w:t>
      </w:r>
      <w:r>
        <w:rPr>
          <w:spacing w:val="-2"/>
        </w:rPr>
        <w:t>染物</w:t>
      </w:r>
      <w:r>
        <w:rPr>
          <w:spacing w:val="-3"/>
        </w:rPr>
        <w:t>（</w:t>
      </w:r>
      <w:r>
        <w:rPr>
          <w:spacing w:val="-15"/>
        </w:rPr>
        <w:t>主要为</w:t>
      </w:r>
      <w:r>
        <w:rPr>
          <w:rFonts w:ascii="Times New Roman" w:eastAsia="Times New Roman"/>
        </w:rPr>
        <w:t>pH</w:t>
      </w:r>
      <w:r>
        <w:rPr>
          <w:spacing w:val="-3"/>
        </w:rPr>
        <w:t>、</w:t>
      </w:r>
      <w:r>
        <w:rPr>
          <w:rFonts w:ascii="Times New Roman" w:eastAsia="Times New Roman"/>
        </w:rPr>
        <w:t>SS</w:t>
      </w:r>
      <w:r>
        <w:rPr>
          <w:spacing w:val="-3"/>
        </w:rPr>
        <w:t>、</w:t>
      </w:r>
      <w:r>
        <w:rPr>
          <w:rFonts w:ascii="Times New Roman" w:eastAsia="Times New Roman"/>
        </w:rPr>
        <w:t>COD</w:t>
      </w:r>
      <w:r>
        <w:rPr>
          <w:spacing w:val="-2"/>
        </w:rPr>
        <w:t>、氨氮</w:t>
      </w:r>
      <w:r>
        <w:rPr>
          <w:spacing w:val="-5"/>
        </w:rPr>
        <w:t>）</w:t>
      </w:r>
      <w:r>
        <w:rPr>
          <w:spacing w:val="-1"/>
        </w:rPr>
        <w:t>通过垂直渗透进入包气带，进入包气带的污染物在物理、化学和生物作用下经吸附、转化、迁移和分解后输入地下水。</w:t>
      </w:r>
    </w:p>
    <w:p>
      <w:pPr>
        <w:pStyle w:val="7"/>
        <w:spacing w:before="143" w:line="364" w:lineRule="auto"/>
        <w:ind w:right="455"/>
        <w:jc w:val="both"/>
      </w:pPr>
      <w:r>
        <w:rPr>
          <w:spacing w:val="-2"/>
          <w:sz w:val="24"/>
        </w:rPr>
        <w:t>主要污染途径污染物通过土层垂直下渗首先经过表土，再进入包气带</w:t>
      </w:r>
      <w:r>
        <w:rPr>
          <w:spacing w:val="-9"/>
          <w:sz w:val="24"/>
        </w:rPr>
        <w:t>，在包气带污染可以得到一定程度的净化，包气带的净化能力与其自身的岩性和</w:t>
      </w:r>
      <w:r>
        <w:rPr>
          <w:spacing w:val="-13"/>
          <w:sz w:val="24"/>
        </w:rPr>
        <w:t>机构组成有关，包气带厚度越大，粘性矿物和有机质含量越高，其对污染物的净化能力越强。不能被净化或固定的污染物随入渗水进入地下水层。地层对污染物质</w:t>
      </w:r>
      <w:r>
        <w:rPr>
          <w:spacing w:val="-5"/>
        </w:rPr>
        <w:t>的防护性能取决于污染源到含水层之间地层岩性、包气带厚度、污染物质的特性</w:t>
      </w:r>
      <w:r>
        <w:rPr>
          <w:spacing w:val="-16"/>
        </w:rPr>
        <w:t>及排放形式的差异等因素。废水进入包气带入渗过程中会发生交换、吸附、过滤、</w:t>
      </w:r>
      <w:r>
        <w:rPr>
          <w:spacing w:val="-10"/>
        </w:rPr>
        <w:t>沉降等作用，因而被不同程度的净化，吸附的大部分有机物可被土壤中的微生物分解而去除。只有在包气带土壤吸附饱和后，污染物才会继续下渗进入含水层。</w:t>
      </w:r>
    </w:p>
    <w:p>
      <w:pPr>
        <w:pStyle w:val="18"/>
        <w:numPr>
          <w:ilvl w:val="4"/>
          <w:numId w:val="53"/>
        </w:numPr>
        <w:tabs>
          <w:tab w:val="left" w:pos="1621"/>
        </w:tabs>
        <w:spacing w:before="2" w:after="0" w:line="240" w:lineRule="auto"/>
        <w:ind w:left="1621" w:right="0" w:hanging="601"/>
        <w:jc w:val="left"/>
        <w:rPr>
          <w:sz w:val="24"/>
        </w:rPr>
      </w:pPr>
      <w:r>
        <w:rPr>
          <w:sz w:val="24"/>
        </w:rPr>
        <w:t>区域地下水现状</w:t>
      </w:r>
    </w:p>
    <w:p>
      <w:pPr>
        <w:pStyle w:val="7"/>
        <w:spacing w:before="161" w:line="364" w:lineRule="auto"/>
        <w:ind w:right="577" w:firstLine="480"/>
        <w:jc w:val="both"/>
        <w:rPr>
          <w:color w:val="0000FF"/>
        </w:rPr>
      </w:pPr>
      <w:r>
        <w:rPr>
          <w:color w:val="0000FF"/>
          <w:spacing w:val="-3"/>
        </w:rPr>
        <w:t>本次勘察，地下水埋深在现状自然地面以下</w:t>
      </w:r>
      <w:r>
        <w:rPr>
          <w:rFonts w:ascii="Times New Roman" w:eastAsia="Times New Roman"/>
          <w:color w:val="0000FF"/>
        </w:rPr>
        <w:t>1.03</w:t>
      </w:r>
      <w:r>
        <w:rPr>
          <w:color w:val="0000FF"/>
        </w:rPr>
        <w:t>～</w:t>
      </w:r>
      <w:r>
        <w:rPr>
          <w:rFonts w:ascii="Times New Roman" w:eastAsia="Times New Roman"/>
          <w:color w:val="0000FF"/>
        </w:rPr>
        <w:t>1.20m</w:t>
      </w:r>
      <w:r>
        <w:rPr>
          <w:color w:val="0000FF"/>
          <w:spacing w:val="-2"/>
        </w:rPr>
        <w:t>，属孔隙潜水，含</w:t>
      </w:r>
      <w:r>
        <w:rPr>
          <w:color w:val="0000FF"/>
          <w:spacing w:val="-9"/>
        </w:rPr>
        <w:t>水层为粉砂层，主要由大气降水、地下迳流、上游灌溉水等补给，以地下水迳流</w:t>
      </w:r>
      <w:r>
        <w:rPr>
          <w:color w:val="0000FF"/>
          <w:spacing w:val="-2"/>
        </w:rPr>
        <w:t>及蒸发方式排泄。根据地区建筑经验，该场地地下水年变化幅度一般在</w:t>
      </w:r>
      <w:r>
        <w:rPr>
          <w:rFonts w:ascii="Times New Roman" w:eastAsia="Times New Roman"/>
          <w:color w:val="0000FF"/>
        </w:rPr>
        <w:t>0.50</w:t>
      </w:r>
      <w:r>
        <w:rPr>
          <w:color w:val="0000FF"/>
        </w:rPr>
        <w:t>～</w:t>
      </w:r>
      <w:r>
        <w:rPr>
          <w:rFonts w:ascii="Times New Roman" w:eastAsia="Times New Roman"/>
          <w:color w:val="0000FF"/>
        </w:rPr>
        <w:t>1.00m</w:t>
      </w:r>
      <w:r>
        <w:rPr>
          <w:color w:val="0000FF"/>
        </w:rPr>
        <w:t>左右。</w:t>
      </w:r>
    </w:p>
    <w:p>
      <w:pPr>
        <w:keepNext w:val="0"/>
        <w:keepLines w:val="0"/>
        <w:pageBreakBefore w:val="0"/>
        <w:widowControl w:val="0"/>
        <w:kinsoku/>
        <w:wordWrap/>
        <w:overflowPunct/>
        <w:topLinePunct w:val="0"/>
        <w:autoSpaceDE w:val="0"/>
        <w:autoSpaceDN w:val="0"/>
        <w:bidi w:val="0"/>
        <w:adjustRightInd/>
        <w:snapToGrid/>
        <w:spacing w:before="140" w:line="360" w:lineRule="auto"/>
        <w:ind w:left="189" w:leftChars="86" w:right="539" w:firstLine="456" w:firstLineChars="200"/>
        <w:jc w:val="both"/>
        <w:textAlignment w:val="auto"/>
        <w:rPr>
          <w:color w:val="0000FF"/>
          <w:sz w:val="24"/>
          <w:szCs w:val="24"/>
        </w:rPr>
      </w:pPr>
      <w:r>
        <w:rPr>
          <w:color w:val="0000FF"/>
          <w:spacing w:val="-6"/>
          <w:sz w:val="24"/>
          <w:szCs w:val="24"/>
        </w:rPr>
        <w:t>项目地下水现状监测设置</w:t>
      </w:r>
      <w:r>
        <w:rPr>
          <w:rFonts w:hint="eastAsia"/>
          <w:color w:val="0000FF"/>
          <w:spacing w:val="-6"/>
          <w:sz w:val="24"/>
          <w:szCs w:val="24"/>
          <w:lang w:val="en-US" w:eastAsia="zh-CN"/>
        </w:rPr>
        <w:t>一</w:t>
      </w:r>
      <w:r>
        <w:rPr>
          <w:color w:val="0000FF"/>
          <w:spacing w:val="-6"/>
          <w:sz w:val="24"/>
          <w:szCs w:val="24"/>
        </w:rPr>
        <w:t>个点位，经监测，地下水监测因子中</w:t>
      </w:r>
      <w:r>
        <w:rPr>
          <w:rFonts w:hint="eastAsia" w:ascii="Times New Roman" w:hAnsi="Times New Roman" w:eastAsia="宋体" w:cs="Times New Roman"/>
          <w:color w:val="0000FF"/>
          <w:sz w:val="24"/>
          <w:szCs w:val="24"/>
          <w:lang w:val="en-US" w:eastAsia="zh-CN"/>
        </w:rPr>
        <w:t>硫酸盐、出现超标</w:t>
      </w:r>
      <w:r>
        <w:rPr>
          <w:color w:val="0000FF"/>
          <w:spacing w:val="-16"/>
          <w:sz w:val="24"/>
          <w:szCs w:val="24"/>
        </w:rPr>
        <w:t>，氨氮、铜、锌、硒、砷、汞、</w:t>
      </w:r>
      <w:r>
        <w:rPr>
          <w:color w:val="0000FF"/>
          <w:spacing w:val="-10"/>
          <w:sz w:val="24"/>
          <w:szCs w:val="24"/>
        </w:rPr>
        <w:t>镉、六价铬、铁、铅、猛、挥发酚、氰化物均未检出，其他监测因子均满足《地</w:t>
      </w:r>
      <w:r>
        <w:rPr>
          <w:color w:val="0000FF"/>
          <w:spacing w:val="3"/>
          <w:sz w:val="24"/>
          <w:szCs w:val="24"/>
        </w:rPr>
        <w:t>下水质量标准》</w:t>
      </w:r>
      <w:r>
        <w:rPr>
          <w:color w:val="0000FF"/>
          <w:sz w:val="24"/>
          <w:szCs w:val="24"/>
        </w:rPr>
        <w:t>（</w:t>
      </w:r>
      <w:r>
        <w:rPr>
          <w:rFonts w:ascii="Times New Roman" w:hAnsi="Times New Roman" w:eastAsia="Times New Roman"/>
          <w:color w:val="0000FF"/>
          <w:sz w:val="24"/>
          <w:szCs w:val="24"/>
        </w:rPr>
        <w:t>GB/T14848-2017</w:t>
      </w:r>
      <w:r>
        <w:rPr>
          <w:color w:val="0000FF"/>
          <w:sz w:val="24"/>
          <w:szCs w:val="24"/>
        </w:rPr>
        <w:t>）</w:t>
      </w:r>
      <w:r>
        <w:rPr>
          <w:color w:val="0000FF"/>
          <w:spacing w:val="-4"/>
          <w:sz w:val="24"/>
          <w:szCs w:val="24"/>
        </w:rPr>
        <w:t>中的Ⅲ类标准要求。经分析，上述</w:t>
      </w:r>
      <w:r>
        <w:rPr>
          <w:rFonts w:hint="eastAsia"/>
          <w:color w:val="0000FF"/>
          <w:spacing w:val="-4"/>
          <w:sz w:val="24"/>
          <w:szCs w:val="24"/>
          <w:lang w:val="en-US" w:eastAsia="zh-CN"/>
        </w:rPr>
        <w:t>1</w:t>
      </w:r>
      <w:r>
        <w:rPr>
          <w:color w:val="0000FF"/>
          <w:spacing w:val="2"/>
          <w:sz w:val="24"/>
          <w:szCs w:val="24"/>
        </w:rPr>
        <w:t>项指</w:t>
      </w:r>
      <w:r>
        <w:rPr>
          <w:color w:val="0000FF"/>
          <w:spacing w:val="-3"/>
          <w:sz w:val="24"/>
          <w:szCs w:val="24"/>
        </w:rPr>
        <w:t>标超标的原因</w:t>
      </w:r>
      <w:r>
        <w:rPr>
          <w:rFonts w:hint="eastAsia" w:ascii="Times New Roman" w:hAnsi="Times New Roman" w:cs="Times New Roman"/>
          <w:color w:val="0000FF"/>
          <w:sz w:val="24"/>
          <w:szCs w:val="24"/>
          <w:lang w:val="en-US" w:eastAsia="zh-CN"/>
        </w:rPr>
        <w:t>是南疆地区土壤盐碱化程度高，故导致地下水硫酸盐出现超标。</w:t>
      </w:r>
      <w:r>
        <w:rPr>
          <w:color w:val="0000FF"/>
          <w:spacing w:val="-3"/>
          <w:sz w:val="24"/>
          <w:szCs w:val="24"/>
        </w:rPr>
        <w:t>不是污染所致。项目区地下水环境质量一般。</w:t>
      </w:r>
    </w:p>
    <w:p>
      <w:pPr>
        <w:pStyle w:val="18"/>
        <w:numPr>
          <w:ilvl w:val="4"/>
          <w:numId w:val="53"/>
        </w:numPr>
        <w:tabs>
          <w:tab w:val="left" w:pos="1621"/>
        </w:tabs>
        <w:spacing w:before="4" w:after="0" w:line="240" w:lineRule="auto"/>
        <w:ind w:left="1621" w:right="0" w:hanging="601"/>
        <w:jc w:val="left"/>
        <w:rPr>
          <w:sz w:val="24"/>
        </w:rPr>
      </w:pPr>
      <w:r>
        <w:rPr>
          <w:sz w:val="24"/>
        </w:rPr>
        <w:t>地下水污染及防治措施</w:t>
      </w:r>
    </w:p>
    <w:p>
      <w:pPr>
        <w:pStyle w:val="7"/>
        <w:spacing w:before="160" w:line="364" w:lineRule="auto"/>
        <w:ind w:right="577" w:firstLine="480"/>
      </w:pPr>
      <w:r>
        <w:rPr>
          <w:spacing w:val="-11"/>
        </w:rPr>
        <w:t>根据《畜禽养殖业污染防治技术规范》，本工程各区针对污染途径采取相应</w:t>
      </w:r>
      <w:r>
        <w:rPr>
          <w:spacing w:val="-12"/>
        </w:rPr>
        <w:t>措施如表</w:t>
      </w:r>
      <w:r>
        <w:rPr>
          <w:rFonts w:ascii="Times New Roman" w:eastAsia="Times New Roman"/>
        </w:rPr>
        <w:t>5.2-6</w:t>
      </w:r>
      <w:r>
        <w:t>所示。</w:t>
      </w:r>
    </w:p>
    <w:p>
      <w:pPr>
        <w:pStyle w:val="7"/>
        <w:bidi w:val="0"/>
        <w:jc w:val="center"/>
      </w:pPr>
      <w:r>
        <w:t>表</w:t>
      </w:r>
      <w:r>
        <w:rPr>
          <w:rFonts w:ascii="Times New Roman" w:eastAsia="Times New Roman"/>
        </w:rPr>
        <w:t>5.2-6</w:t>
      </w:r>
      <w:r>
        <w:rPr>
          <w:rFonts w:ascii="Times New Roman" w:eastAsia="Times New Roman"/>
        </w:rPr>
        <w:tab/>
      </w:r>
      <w:r>
        <w:t>项目污染地下水途径及防治措施一览表</w:t>
      </w:r>
    </w:p>
    <w:tbl>
      <w:tblPr>
        <w:tblStyle w:val="15"/>
        <w:tblpPr w:leftFromText="180" w:rightFromText="180" w:vertAnchor="text" w:horzAnchor="page" w:tblpX="1755" w:tblpY="27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
        <w:gridCol w:w="2486"/>
        <w:gridCol w:w="2804"/>
        <w:gridCol w:w="26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538" w:type="dxa"/>
            <w:tcBorders>
              <w:tl2br w:val="nil"/>
              <w:tr2bl w:val="nil"/>
            </w:tcBorders>
          </w:tcPr>
          <w:p>
            <w:pPr>
              <w:pStyle w:val="19"/>
              <w:spacing w:before="35"/>
              <w:ind w:left="38" w:right="27"/>
              <w:rPr>
                <w:b/>
                <w:sz w:val="21"/>
              </w:rPr>
            </w:pPr>
            <w:r>
              <w:rPr>
                <w:b/>
                <w:sz w:val="21"/>
              </w:rPr>
              <w:t>序号</w:t>
            </w:r>
          </w:p>
        </w:tc>
        <w:tc>
          <w:tcPr>
            <w:tcW w:w="2486" w:type="dxa"/>
            <w:tcBorders>
              <w:tl2br w:val="nil"/>
              <w:tr2bl w:val="nil"/>
            </w:tcBorders>
          </w:tcPr>
          <w:p>
            <w:pPr>
              <w:pStyle w:val="19"/>
              <w:spacing w:before="35"/>
              <w:ind w:left="67" w:right="56"/>
              <w:rPr>
                <w:b/>
                <w:sz w:val="21"/>
              </w:rPr>
            </w:pPr>
            <w:r>
              <w:rPr>
                <w:b/>
                <w:sz w:val="21"/>
              </w:rPr>
              <w:t>项目</w:t>
            </w:r>
          </w:p>
        </w:tc>
        <w:tc>
          <w:tcPr>
            <w:tcW w:w="2804" w:type="dxa"/>
            <w:tcBorders>
              <w:tl2br w:val="nil"/>
              <w:tr2bl w:val="nil"/>
            </w:tcBorders>
          </w:tcPr>
          <w:p>
            <w:pPr>
              <w:pStyle w:val="19"/>
              <w:spacing w:before="35"/>
              <w:ind w:left="960" w:right="949"/>
              <w:rPr>
                <w:b/>
                <w:sz w:val="21"/>
              </w:rPr>
            </w:pPr>
            <w:r>
              <w:rPr>
                <w:b/>
                <w:sz w:val="21"/>
              </w:rPr>
              <w:t>保护措施</w:t>
            </w:r>
          </w:p>
        </w:tc>
        <w:tc>
          <w:tcPr>
            <w:tcW w:w="2624" w:type="dxa"/>
            <w:tcBorders>
              <w:tl2br w:val="nil"/>
              <w:tr2bl w:val="nil"/>
            </w:tcBorders>
          </w:tcPr>
          <w:p>
            <w:pPr>
              <w:pStyle w:val="19"/>
              <w:spacing w:before="35"/>
              <w:ind w:left="871" w:right="859"/>
              <w:rPr>
                <w:b/>
                <w:sz w:val="21"/>
              </w:rPr>
            </w:pPr>
            <w:r>
              <w:rPr>
                <w:b/>
                <w:sz w:val="21"/>
              </w:rPr>
              <w:t>达到效果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8" w:type="dxa"/>
            <w:tcBorders>
              <w:tl2br w:val="nil"/>
              <w:tr2bl w:val="nil"/>
            </w:tcBorders>
          </w:tcPr>
          <w:p>
            <w:pPr>
              <w:pStyle w:val="19"/>
              <w:spacing w:before="50"/>
              <w:ind w:left="8"/>
              <w:rPr>
                <w:rFonts w:ascii="Times New Roman"/>
                <w:sz w:val="21"/>
              </w:rPr>
            </w:pPr>
            <w:r>
              <w:rPr>
                <w:rFonts w:ascii="Times New Roman"/>
                <w:w w:val="99"/>
                <w:sz w:val="21"/>
              </w:rPr>
              <w:t>1</w:t>
            </w:r>
          </w:p>
        </w:tc>
        <w:tc>
          <w:tcPr>
            <w:tcW w:w="2486" w:type="dxa"/>
            <w:tcBorders>
              <w:tl2br w:val="nil"/>
              <w:tr2bl w:val="nil"/>
            </w:tcBorders>
          </w:tcPr>
          <w:p>
            <w:pPr>
              <w:pStyle w:val="19"/>
              <w:spacing w:before="36"/>
              <w:ind w:left="67" w:right="58"/>
              <w:rPr>
                <w:sz w:val="21"/>
              </w:rPr>
            </w:pPr>
            <w:r>
              <w:rPr>
                <w:sz w:val="21"/>
              </w:rPr>
              <w:t>圈舍</w:t>
            </w:r>
          </w:p>
        </w:tc>
        <w:tc>
          <w:tcPr>
            <w:tcW w:w="2804" w:type="dxa"/>
            <w:vMerge w:val="restart"/>
            <w:tcBorders>
              <w:tl2br w:val="nil"/>
              <w:tr2bl w:val="nil"/>
            </w:tcBorders>
          </w:tcPr>
          <w:p>
            <w:pPr>
              <w:pStyle w:val="19"/>
              <w:spacing w:before="21" w:line="255" w:lineRule="exact"/>
              <w:ind w:left="4"/>
              <w:jc w:val="both"/>
              <w:rPr>
                <w:sz w:val="21"/>
              </w:rPr>
            </w:pPr>
            <w:r>
              <w:rPr>
                <w:sz w:val="21"/>
              </w:rPr>
              <w:t>采用高密度聚乙烯土工膜</w:t>
            </w:r>
          </w:p>
          <w:p>
            <w:pPr>
              <w:pStyle w:val="19"/>
              <w:spacing w:before="9" w:line="213" w:lineRule="auto"/>
              <w:ind w:left="4" w:right="-15"/>
              <w:jc w:val="both"/>
              <w:rPr>
                <w:sz w:val="21"/>
              </w:rPr>
            </w:pPr>
            <w:r>
              <w:rPr>
                <w:spacing w:val="-6"/>
                <w:sz w:val="21"/>
              </w:rPr>
              <w:t>（</w:t>
            </w:r>
            <w:r>
              <w:rPr>
                <w:rFonts w:ascii="Times New Roman" w:hAnsi="Times New Roman" w:eastAsia="Times New Roman"/>
                <w:spacing w:val="-6"/>
                <w:sz w:val="21"/>
              </w:rPr>
              <w:t>HDPE</w:t>
            </w:r>
            <w:r>
              <w:rPr>
                <w:spacing w:val="-6"/>
                <w:sz w:val="21"/>
              </w:rPr>
              <w:t>）进行防渗，其渗透系</w:t>
            </w:r>
            <w:r>
              <w:rPr>
                <w:spacing w:val="5"/>
                <w:sz w:val="21"/>
              </w:rPr>
              <w:t xml:space="preserve">数不大于 </w:t>
            </w:r>
            <w:r>
              <w:rPr>
                <w:rFonts w:ascii="Times New Roman" w:hAnsi="Times New Roman" w:eastAsia="Times New Roman"/>
                <w:sz w:val="21"/>
              </w:rPr>
              <w:t>1.0×10</w:t>
            </w:r>
            <w:r>
              <w:rPr>
                <w:rFonts w:ascii="Times New Roman" w:hAnsi="Times New Roman" w:eastAsia="Times New Roman"/>
                <w:position w:val="7"/>
                <w:sz w:val="13"/>
              </w:rPr>
              <w:t>-12</w:t>
            </w:r>
            <w:r>
              <w:rPr>
                <w:rFonts w:ascii="Times New Roman" w:hAnsi="Times New Roman" w:eastAsia="Times New Roman"/>
                <w:sz w:val="21"/>
              </w:rPr>
              <w:t>cm/s</w:t>
            </w:r>
            <w:r>
              <w:rPr>
                <w:spacing w:val="5"/>
                <w:sz w:val="21"/>
              </w:rPr>
              <w:t>，厚度</w:t>
            </w:r>
            <w:r>
              <w:rPr>
                <w:spacing w:val="-10"/>
                <w:sz w:val="21"/>
              </w:rPr>
              <w:t xml:space="preserve">不小于 </w:t>
            </w:r>
            <w:r>
              <w:rPr>
                <w:rFonts w:ascii="Times New Roman" w:hAnsi="Times New Roman" w:eastAsia="Times New Roman"/>
                <w:sz w:val="21"/>
              </w:rPr>
              <w:t>1.5mm</w:t>
            </w:r>
            <w:r>
              <w:rPr>
                <w:sz w:val="21"/>
              </w:rPr>
              <w:t>。</w:t>
            </w:r>
          </w:p>
        </w:tc>
        <w:tc>
          <w:tcPr>
            <w:tcW w:w="2624" w:type="dxa"/>
            <w:vMerge w:val="restart"/>
            <w:tcBorders>
              <w:tl2br w:val="nil"/>
              <w:tr2bl w:val="nil"/>
            </w:tcBorders>
          </w:tcPr>
          <w:p>
            <w:pPr>
              <w:pStyle w:val="19"/>
              <w:spacing w:before="164" w:line="213" w:lineRule="auto"/>
              <w:ind w:left="3" w:right="-15"/>
              <w:jc w:val="left"/>
              <w:rPr>
                <w:sz w:val="21"/>
              </w:rPr>
            </w:pPr>
            <w:r>
              <w:rPr>
                <w:spacing w:val="8"/>
                <w:w w:val="95"/>
                <w:sz w:val="21"/>
              </w:rPr>
              <w:t>满足《畜禽养殖业污染物防</w:t>
            </w:r>
            <w:r>
              <w:rPr>
                <w:spacing w:val="-7"/>
                <w:sz w:val="21"/>
              </w:rPr>
              <w:t>治技术规范》</w:t>
            </w:r>
            <w:r>
              <w:rPr>
                <w:sz w:val="21"/>
              </w:rPr>
              <w:t>（</w:t>
            </w:r>
            <w:r>
              <w:rPr>
                <w:rFonts w:ascii="Times New Roman" w:eastAsia="Times New Roman"/>
                <w:sz w:val="21"/>
              </w:rPr>
              <w:t xml:space="preserve">HJ/T81-2001 </w:t>
            </w:r>
            <w:r>
              <w:rPr>
                <w:sz w:val="21"/>
              </w:rPr>
              <w:t>的相关要求。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8" w:type="dxa"/>
            <w:tcBorders>
              <w:tl2br w:val="nil"/>
              <w:tr2bl w:val="nil"/>
            </w:tcBorders>
          </w:tcPr>
          <w:p>
            <w:pPr>
              <w:pStyle w:val="19"/>
              <w:spacing w:before="48"/>
              <w:ind w:left="8"/>
              <w:rPr>
                <w:rFonts w:ascii="Times New Roman"/>
                <w:sz w:val="21"/>
              </w:rPr>
            </w:pPr>
            <w:r>
              <w:rPr>
                <w:rFonts w:ascii="Times New Roman"/>
                <w:w w:val="99"/>
                <w:sz w:val="21"/>
              </w:rPr>
              <w:t>2</w:t>
            </w:r>
          </w:p>
        </w:tc>
        <w:tc>
          <w:tcPr>
            <w:tcW w:w="2486" w:type="dxa"/>
            <w:tcBorders>
              <w:tl2br w:val="nil"/>
              <w:tr2bl w:val="nil"/>
            </w:tcBorders>
          </w:tcPr>
          <w:p>
            <w:pPr>
              <w:pStyle w:val="19"/>
              <w:spacing w:before="34"/>
              <w:ind w:left="67" w:right="58"/>
              <w:rPr>
                <w:sz w:val="21"/>
              </w:rPr>
            </w:pPr>
            <w:r>
              <w:rPr>
                <w:sz w:val="21"/>
              </w:rPr>
              <w:t>堆肥厂</w:t>
            </w:r>
          </w:p>
        </w:tc>
        <w:tc>
          <w:tcPr>
            <w:tcW w:w="2804" w:type="dxa"/>
            <w:vMerge w:val="continue"/>
            <w:tcBorders>
              <w:tl2br w:val="nil"/>
              <w:tr2bl w:val="nil"/>
            </w:tcBorders>
          </w:tcPr>
          <w:p>
            <w:pPr>
              <w:rPr>
                <w:sz w:val="2"/>
                <w:szCs w:val="2"/>
              </w:rPr>
            </w:pPr>
          </w:p>
        </w:tc>
        <w:tc>
          <w:tcPr>
            <w:tcW w:w="2624" w:type="dxa"/>
            <w:vMerge w:val="continue"/>
            <w:tcBorders>
              <w:tl2br w:val="nil"/>
              <w:tr2bl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8" w:type="dxa"/>
            <w:tcBorders>
              <w:tl2br w:val="nil"/>
              <w:tr2bl w:val="nil"/>
            </w:tcBorders>
          </w:tcPr>
          <w:p>
            <w:pPr>
              <w:pStyle w:val="19"/>
              <w:spacing w:before="48"/>
              <w:ind w:left="8"/>
              <w:rPr>
                <w:rFonts w:ascii="Times New Roman"/>
                <w:sz w:val="21"/>
              </w:rPr>
            </w:pPr>
            <w:r>
              <w:rPr>
                <w:rFonts w:ascii="Times New Roman"/>
                <w:w w:val="99"/>
                <w:sz w:val="21"/>
              </w:rPr>
              <w:t>3</w:t>
            </w:r>
          </w:p>
        </w:tc>
        <w:tc>
          <w:tcPr>
            <w:tcW w:w="2486" w:type="dxa"/>
            <w:tcBorders>
              <w:tl2br w:val="nil"/>
              <w:tr2bl w:val="nil"/>
            </w:tcBorders>
          </w:tcPr>
          <w:p>
            <w:pPr>
              <w:pStyle w:val="19"/>
              <w:spacing w:before="34"/>
              <w:ind w:left="67" w:right="58"/>
              <w:rPr>
                <w:sz w:val="21"/>
              </w:rPr>
            </w:pPr>
            <w:r>
              <w:rPr>
                <w:sz w:val="21"/>
              </w:rPr>
              <w:t>病死尸体无害化处理车间</w:t>
            </w:r>
          </w:p>
        </w:tc>
        <w:tc>
          <w:tcPr>
            <w:tcW w:w="2804" w:type="dxa"/>
            <w:vMerge w:val="continue"/>
            <w:tcBorders>
              <w:tl2br w:val="nil"/>
              <w:tr2bl w:val="nil"/>
            </w:tcBorders>
          </w:tcPr>
          <w:p>
            <w:pPr>
              <w:rPr>
                <w:sz w:val="2"/>
                <w:szCs w:val="2"/>
              </w:rPr>
            </w:pPr>
          </w:p>
        </w:tc>
        <w:tc>
          <w:tcPr>
            <w:tcW w:w="2624" w:type="dxa"/>
            <w:vMerge w:val="continue"/>
            <w:tcBorders>
              <w:tl2br w:val="nil"/>
              <w:tr2bl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8" w:type="dxa"/>
            <w:tcBorders>
              <w:tl2br w:val="nil"/>
              <w:tr2bl w:val="nil"/>
            </w:tcBorders>
          </w:tcPr>
          <w:p>
            <w:pPr>
              <w:pStyle w:val="19"/>
              <w:spacing w:before="48"/>
              <w:ind w:left="8"/>
              <w:rPr>
                <w:rFonts w:hint="eastAsia" w:ascii="Times New Roman"/>
                <w:w w:val="99"/>
                <w:sz w:val="21"/>
                <w:lang w:val="en-US" w:eastAsia="zh-CN"/>
              </w:rPr>
            </w:pPr>
          </w:p>
          <w:p>
            <w:pPr>
              <w:pStyle w:val="19"/>
              <w:spacing w:before="48"/>
              <w:ind w:left="8"/>
              <w:rPr>
                <w:rFonts w:hint="eastAsia" w:ascii="Times New Roman" w:eastAsia="宋体"/>
                <w:w w:val="99"/>
                <w:sz w:val="21"/>
                <w:lang w:val="en-US" w:eastAsia="zh-CN"/>
              </w:rPr>
            </w:pPr>
            <w:r>
              <w:rPr>
                <w:rFonts w:hint="eastAsia" w:ascii="Times New Roman"/>
                <w:w w:val="99"/>
                <w:sz w:val="21"/>
                <w:lang w:val="en-US" w:eastAsia="zh-CN"/>
              </w:rPr>
              <w:t>4</w:t>
            </w:r>
          </w:p>
        </w:tc>
        <w:tc>
          <w:tcPr>
            <w:tcW w:w="2486" w:type="dxa"/>
            <w:tcBorders>
              <w:tl2br w:val="nil"/>
              <w:tr2bl w:val="nil"/>
            </w:tcBorders>
          </w:tcPr>
          <w:p>
            <w:pPr>
              <w:pStyle w:val="19"/>
              <w:spacing w:before="34"/>
              <w:ind w:left="67" w:right="58"/>
              <w:jc w:val="center"/>
              <w:rPr>
                <w:rFonts w:hint="eastAsia" w:eastAsia="宋体"/>
                <w:sz w:val="21"/>
                <w:lang w:val="en-US" w:eastAsia="zh-CN"/>
              </w:rPr>
            </w:pPr>
            <w:r>
              <w:rPr>
                <w:rFonts w:hint="eastAsia"/>
                <w:sz w:val="21"/>
                <w:lang w:val="en-US" w:eastAsia="zh-CN"/>
              </w:rPr>
              <w:t>生活污水</w:t>
            </w:r>
          </w:p>
        </w:tc>
        <w:tc>
          <w:tcPr>
            <w:tcW w:w="2804" w:type="dxa"/>
            <w:tcBorders>
              <w:tl2br w:val="nil"/>
              <w:tr2bl w:val="nil"/>
            </w:tcBorders>
          </w:tcPr>
          <w:p>
            <w:pPr>
              <w:rPr>
                <w:sz w:val="2"/>
                <w:szCs w:val="2"/>
              </w:rPr>
            </w:pPr>
            <w:r>
              <w:rPr>
                <w:rFonts w:hint="eastAsia" w:ascii="宋体" w:hAnsi="宋体" w:eastAsia="宋体" w:cs="宋体"/>
                <w:color w:val="FF0000"/>
                <w:sz w:val="21"/>
                <w:szCs w:val="21"/>
              </w:rPr>
              <w:t>化粪池及一套地埋式</w:t>
            </w:r>
            <w:r>
              <w:rPr>
                <w:rFonts w:hint="eastAsia" w:cs="宋体"/>
                <w:color w:val="FF0000"/>
                <w:sz w:val="21"/>
                <w:szCs w:val="21"/>
                <w:lang w:val="en-US" w:eastAsia="zh-CN"/>
              </w:rPr>
              <w:t>一体化</w:t>
            </w:r>
            <w:r>
              <w:rPr>
                <w:rFonts w:hint="eastAsia" w:ascii="宋体" w:hAnsi="宋体" w:eastAsia="宋体" w:cs="宋体"/>
                <w:color w:val="FF0000"/>
                <w:sz w:val="21"/>
                <w:szCs w:val="21"/>
              </w:rPr>
              <w:t>污水处理设备</w:t>
            </w:r>
            <w:r>
              <w:rPr>
                <w:rFonts w:hint="eastAsia" w:ascii="宋体" w:hAnsi="宋体" w:eastAsia="宋体" w:cs="宋体"/>
                <w:color w:val="FF0000"/>
                <w:sz w:val="21"/>
                <w:szCs w:val="21"/>
                <w:lang w:val="en-US" w:eastAsia="zh-CN"/>
              </w:rPr>
              <w:t>处理过的水</w:t>
            </w:r>
            <w:r>
              <w:rPr>
                <w:rFonts w:hint="eastAsia" w:ascii="宋体" w:hAnsi="宋体" w:eastAsia="宋体" w:cs="宋体"/>
                <w:color w:val="FF0000"/>
                <w:spacing w:val="-1"/>
                <w:sz w:val="21"/>
                <w:szCs w:val="21"/>
                <w:lang w:val="en-US" w:eastAsia="zh-CN"/>
              </w:rPr>
              <w:t>冬季储存，夏季用于场区洒水降尘。沉淀物由相关环卫部门抽运</w:t>
            </w:r>
          </w:p>
        </w:tc>
        <w:tc>
          <w:tcPr>
            <w:tcW w:w="2624" w:type="dxa"/>
            <w:tcBorders>
              <w:tl2br w:val="nil"/>
              <w:tr2bl w:val="nil"/>
            </w:tcBorders>
          </w:tcPr>
          <w:p>
            <w:pPr>
              <w:rPr>
                <w:sz w:val="2"/>
                <w:szCs w:val="2"/>
              </w:rPr>
            </w:pPr>
            <w:r>
              <w:rPr>
                <w:rFonts w:hint="eastAsia" w:ascii="宋体" w:hAnsi="宋体" w:eastAsia="宋体" w:cs="宋体"/>
                <w:color w:val="FF0000"/>
                <w:spacing w:val="-1"/>
                <w:sz w:val="21"/>
                <w:szCs w:val="21"/>
                <w:lang w:val="en-US" w:eastAsia="zh-CN"/>
              </w:rPr>
              <w:t>《污水综合排放标准》(GB8978-1996)中的二级标准</w:t>
            </w:r>
          </w:p>
        </w:tc>
      </w:tr>
    </w:tbl>
    <w:p>
      <w:pPr>
        <w:pStyle w:val="7"/>
        <w:ind w:left="0"/>
        <w:rPr>
          <w:b/>
          <w:sz w:val="26"/>
        </w:rPr>
      </w:pPr>
    </w:p>
    <w:p>
      <w:pPr>
        <w:pStyle w:val="7"/>
        <w:spacing w:before="12"/>
        <w:ind w:left="0"/>
        <w:rPr>
          <w:b/>
          <w:sz w:val="31"/>
        </w:rPr>
      </w:pPr>
    </w:p>
    <w:p>
      <w:pPr>
        <w:spacing w:before="0"/>
        <w:ind w:left="0" w:right="330" w:firstLine="0"/>
        <w:jc w:val="right"/>
        <w:rPr>
          <w:sz w:val="21"/>
        </w:rPr>
      </w:pPr>
      <w:r>
        <w:rPr>
          <w:w w:val="99"/>
          <w:sz w:val="21"/>
        </w:rPr>
        <w:t>）</w:t>
      </w:r>
    </w:p>
    <w:p>
      <w:pPr>
        <w:pStyle w:val="7"/>
        <w:spacing w:line="364" w:lineRule="auto"/>
        <w:ind w:right="577" w:firstLine="480"/>
      </w:pPr>
      <w:r>
        <w:rPr>
          <w:spacing w:val="-10"/>
        </w:rPr>
        <w:t>在落实好防渗、防污措施后，本项目的污染物能够得到有效的处理，避免正</w:t>
      </w:r>
      <w:r>
        <w:t>常情况下污染物下渗或泄露对地下水造成影响。</w:t>
      </w:r>
    </w:p>
    <w:p>
      <w:pPr>
        <w:pStyle w:val="18"/>
        <w:numPr>
          <w:ilvl w:val="4"/>
          <w:numId w:val="53"/>
        </w:numPr>
        <w:tabs>
          <w:tab w:val="left" w:pos="1621"/>
        </w:tabs>
        <w:spacing w:before="1" w:after="0" w:line="240" w:lineRule="auto"/>
        <w:ind w:left="1621" w:right="0" w:hanging="601"/>
        <w:jc w:val="left"/>
        <w:rPr>
          <w:sz w:val="24"/>
        </w:rPr>
      </w:pPr>
      <w:r>
        <w:rPr>
          <w:sz w:val="24"/>
        </w:rPr>
        <w:t>地下水影响预防措施</w:t>
      </w:r>
    </w:p>
    <w:p>
      <w:pPr>
        <w:pStyle w:val="7"/>
        <w:spacing w:before="143" w:line="364" w:lineRule="auto"/>
        <w:ind w:right="455" w:firstLine="440" w:firstLineChars="200"/>
        <w:jc w:val="both"/>
      </w:pPr>
      <w:r>
        <w:rPr>
          <w:spacing w:val="-10"/>
        </w:rPr>
        <w:t>根据项目实际特征，评价认为在采取羊舍、堆肥厂和病死尸体无害化处理车</w:t>
      </w:r>
      <w:r>
        <w:rPr>
          <w:spacing w:val="-7"/>
        </w:rPr>
        <w:t>间等地面采取采取防渗措施；确保污水管道质量，应用质量良好的管材，增加管</w:t>
      </w:r>
      <w:r>
        <w:rPr>
          <w:spacing w:val="-11"/>
        </w:rPr>
        <w:t>段长度，减少管道接口，避免废水的跑、冒、滴、漏现象的发生；加强管理，建</w:t>
      </w:r>
      <w:r>
        <w:rPr>
          <w:spacing w:val="-10"/>
        </w:rPr>
        <w:t>立巡逻制度，定期对堆肥厂和病死尸体无害化处理车间等地进行检查，及时发现</w:t>
      </w:r>
      <w:r>
        <w:rPr>
          <w:spacing w:val="-16"/>
        </w:rPr>
        <w:t>问题，查找隐患，杜绝污染物的外排；厂内绿化区种植乔灌木、果树等绿化植物，</w:t>
      </w:r>
      <w:r>
        <w:rPr>
          <w:spacing w:val="-7"/>
        </w:rPr>
        <w:t>对恶臭气体进行吸附，减少污染物伴随雨水渗漏而污染地下水环境等措施后，废水不会对地下水源造成影响。</w:t>
      </w:r>
    </w:p>
    <w:p>
      <w:pPr>
        <w:pStyle w:val="5"/>
        <w:numPr>
          <w:ilvl w:val="2"/>
          <w:numId w:val="46"/>
        </w:numPr>
        <w:tabs>
          <w:tab w:val="left" w:pos="1241"/>
        </w:tabs>
        <w:spacing w:before="115" w:after="0" w:line="240" w:lineRule="auto"/>
        <w:ind w:left="1240" w:right="0" w:hanging="701"/>
        <w:jc w:val="left"/>
        <w:outlineLvl w:val="2"/>
      </w:pPr>
      <w:bookmarkStart w:id="297" w:name="5.2.3 运营期声环境影响分析"/>
      <w:bookmarkEnd w:id="297"/>
      <w:bookmarkStart w:id="298" w:name="5.2.3 运营期声环境影响分析"/>
      <w:bookmarkEnd w:id="298"/>
      <w:bookmarkStart w:id="299" w:name="_Toc13421"/>
      <w:r>
        <w:t>运营期声环境影响分析</w:t>
      </w:r>
      <w:bookmarkEnd w:id="299"/>
    </w:p>
    <w:p>
      <w:pPr>
        <w:pStyle w:val="7"/>
        <w:spacing w:before="2"/>
        <w:ind w:left="0"/>
        <w:rPr>
          <w:b/>
          <w:sz w:val="22"/>
        </w:rPr>
      </w:pPr>
    </w:p>
    <w:p>
      <w:pPr>
        <w:pStyle w:val="18"/>
        <w:numPr>
          <w:ilvl w:val="3"/>
          <w:numId w:val="54"/>
        </w:numPr>
        <w:tabs>
          <w:tab w:val="left" w:pos="1320"/>
        </w:tabs>
        <w:spacing w:before="0" w:after="0" w:line="240" w:lineRule="auto"/>
        <w:ind w:left="1320" w:right="0" w:hanging="780"/>
        <w:jc w:val="left"/>
        <w:rPr>
          <w:sz w:val="24"/>
        </w:rPr>
      </w:pPr>
      <w:bookmarkStart w:id="300" w:name="5.2.3.1 噪声源强"/>
      <w:bookmarkEnd w:id="300"/>
      <w:bookmarkStart w:id="301" w:name="5.2.3.1 噪声源强"/>
      <w:bookmarkEnd w:id="301"/>
      <w:r>
        <w:rPr>
          <w:sz w:val="24"/>
        </w:rPr>
        <w:t>噪声源强</w:t>
      </w:r>
    </w:p>
    <w:p>
      <w:pPr>
        <w:pStyle w:val="7"/>
        <w:spacing w:before="168" w:line="364" w:lineRule="auto"/>
        <w:ind w:right="577" w:firstLine="480"/>
        <w:jc w:val="both"/>
      </w:pPr>
      <w:r>
        <w:rPr>
          <w:spacing w:val="-6"/>
        </w:rPr>
        <w:t>本项目在运营期间噪声主要来源于羊舍畜禽叫声、饲料混合机、铡草机等设</w:t>
      </w:r>
      <w:r>
        <w:rPr>
          <w:spacing w:val="-2"/>
        </w:rPr>
        <w:t>备运行噪声以及运输车辆噪声等，噪声源强约为</w:t>
      </w:r>
      <w:r>
        <w:rPr>
          <w:rFonts w:ascii="Times New Roman" w:eastAsia="Times New Roman"/>
        </w:rPr>
        <w:t>60</w:t>
      </w:r>
      <w:r>
        <w:t>～</w:t>
      </w:r>
      <w:r>
        <w:rPr>
          <w:rFonts w:ascii="Times New Roman" w:eastAsia="Times New Roman"/>
        </w:rPr>
        <w:t>85dB</w:t>
      </w:r>
      <w:r>
        <w:t>（</w:t>
      </w:r>
      <w:r>
        <w:rPr>
          <w:rFonts w:ascii="Times New Roman" w:eastAsia="Times New Roman"/>
        </w:rPr>
        <w:t>A</w:t>
      </w:r>
      <w:r>
        <w:t>），各个机械设</w:t>
      </w:r>
      <w:r>
        <w:rPr>
          <w:spacing w:val="-8"/>
        </w:rPr>
        <w:t>备均置于厂房内，大部分噪声设备均置于室内，在采取墙体隔声、基础减震措施</w:t>
      </w:r>
      <w:r>
        <w:rPr>
          <w:spacing w:val="-9"/>
        </w:rPr>
        <w:t>后，噪声值在</w:t>
      </w:r>
      <w:r>
        <w:rPr>
          <w:rFonts w:ascii="Times New Roman" w:eastAsia="Times New Roman"/>
        </w:rPr>
        <w:t>50</w:t>
      </w:r>
      <w:r>
        <w:t>～</w:t>
      </w:r>
      <w:r>
        <w:rPr>
          <w:rFonts w:ascii="Times New Roman" w:eastAsia="Times New Roman"/>
        </w:rPr>
        <w:t>65dB</w:t>
      </w:r>
      <w:r>
        <w:t>（</w:t>
      </w:r>
      <w:r>
        <w:rPr>
          <w:rFonts w:ascii="Times New Roman" w:eastAsia="Times New Roman"/>
        </w:rPr>
        <w:t>A</w:t>
      </w:r>
      <w:r>
        <w:t>）</w:t>
      </w:r>
      <w:r>
        <w:rPr>
          <w:spacing w:val="-5"/>
        </w:rPr>
        <w:t>之间。噪声排放情况见表</w:t>
      </w:r>
      <w:r>
        <w:rPr>
          <w:rFonts w:ascii="Times New Roman" w:eastAsia="Times New Roman"/>
        </w:rPr>
        <w:t>5.2-7</w:t>
      </w:r>
      <w:r>
        <w:t>。</w:t>
      </w:r>
    </w:p>
    <w:p>
      <w:pPr>
        <w:pStyle w:val="7"/>
        <w:bidi w:val="0"/>
        <w:jc w:val="center"/>
      </w:pPr>
      <w:r>
        <w:t>表</w:t>
      </w:r>
      <w:r>
        <w:rPr>
          <w:rFonts w:ascii="Times New Roman" w:eastAsia="Times New Roman"/>
        </w:rPr>
        <w:t>5.2-7</w:t>
      </w:r>
      <w:r>
        <w:rPr>
          <w:rFonts w:ascii="Times New Roman" w:eastAsia="Times New Roman"/>
        </w:rPr>
        <w:tab/>
      </w:r>
      <w:r>
        <w:t>项目主要噪声源强表单位：</w:t>
      </w:r>
      <w:r>
        <w:rPr>
          <w:rFonts w:ascii="Times New Roman" w:eastAsia="Times New Roman"/>
        </w:rPr>
        <w:t>dB</w:t>
      </w:r>
      <w:r>
        <w:t>（</w:t>
      </w:r>
      <w:r>
        <w:rPr>
          <w:rFonts w:ascii="Times New Roman" w:eastAsia="Times New Roman"/>
        </w:rPr>
        <w:t>A</w:t>
      </w:r>
      <w:r>
        <w:t>）</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6"/>
        <w:gridCol w:w="1112"/>
        <w:gridCol w:w="1425"/>
        <w:gridCol w:w="1019"/>
        <w:gridCol w:w="2627"/>
        <w:gridCol w:w="1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066" w:type="dxa"/>
          </w:tcPr>
          <w:p>
            <w:pPr>
              <w:pStyle w:val="19"/>
              <w:spacing w:before="78"/>
              <w:ind w:left="61" w:right="52"/>
              <w:rPr>
                <w:b/>
                <w:sz w:val="21"/>
              </w:rPr>
            </w:pPr>
            <w:r>
              <w:rPr>
                <w:b/>
                <w:sz w:val="21"/>
              </w:rPr>
              <w:t>种类</w:t>
            </w:r>
          </w:p>
        </w:tc>
        <w:tc>
          <w:tcPr>
            <w:tcW w:w="1112" w:type="dxa"/>
          </w:tcPr>
          <w:p>
            <w:pPr>
              <w:pStyle w:val="19"/>
              <w:spacing w:before="78"/>
              <w:ind w:left="220" w:right="210"/>
              <w:rPr>
                <w:b/>
                <w:sz w:val="21"/>
              </w:rPr>
            </w:pPr>
            <w:r>
              <w:rPr>
                <w:b/>
                <w:sz w:val="21"/>
              </w:rPr>
              <w:t>来源</w:t>
            </w:r>
          </w:p>
        </w:tc>
        <w:tc>
          <w:tcPr>
            <w:tcW w:w="1425" w:type="dxa"/>
          </w:tcPr>
          <w:p>
            <w:pPr>
              <w:pStyle w:val="19"/>
              <w:spacing w:before="78"/>
              <w:ind w:left="61" w:right="48"/>
              <w:rPr>
                <w:b/>
                <w:sz w:val="21"/>
              </w:rPr>
            </w:pPr>
            <w:r>
              <w:rPr>
                <w:b/>
                <w:sz w:val="21"/>
              </w:rPr>
              <w:t>产生方式</w:t>
            </w:r>
          </w:p>
        </w:tc>
        <w:tc>
          <w:tcPr>
            <w:tcW w:w="1019" w:type="dxa"/>
          </w:tcPr>
          <w:p>
            <w:pPr>
              <w:pStyle w:val="19"/>
              <w:spacing w:before="78"/>
              <w:ind w:left="96" w:right="87"/>
              <w:rPr>
                <w:rFonts w:ascii="Times New Roman" w:eastAsia="Times New Roman"/>
                <w:b/>
                <w:sz w:val="21"/>
              </w:rPr>
            </w:pPr>
            <w:r>
              <w:rPr>
                <w:b/>
                <w:sz w:val="21"/>
              </w:rPr>
              <w:t>源强</w:t>
            </w:r>
            <w:r>
              <w:rPr>
                <w:rFonts w:ascii="Times New Roman" w:eastAsia="Times New Roman"/>
                <w:b/>
                <w:sz w:val="21"/>
              </w:rPr>
              <w:t>dB</w:t>
            </w:r>
          </w:p>
        </w:tc>
        <w:tc>
          <w:tcPr>
            <w:tcW w:w="2627" w:type="dxa"/>
          </w:tcPr>
          <w:p>
            <w:pPr>
              <w:pStyle w:val="19"/>
              <w:spacing w:before="78"/>
              <w:ind w:left="557" w:right="548"/>
              <w:rPr>
                <w:b/>
                <w:sz w:val="21"/>
              </w:rPr>
            </w:pPr>
            <w:r>
              <w:rPr>
                <w:b/>
                <w:sz w:val="21"/>
              </w:rPr>
              <w:t>治理措施</w:t>
            </w:r>
          </w:p>
        </w:tc>
        <w:tc>
          <w:tcPr>
            <w:tcW w:w="1270" w:type="dxa"/>
          </w:tcPr>
          <w:p>
            <w:pPr>
              <w:pStyle w:val="19"/>
              <w:spacing w:before="78"/>
              <w:ind w:left="193" w:right="183"/>
              <w:rPr>
                <w:b/>
                <w:sz w:val="21"/>
              </w:rPr>
            </w:pPr>
            <w:r>
              <w:rPr>
                <w:b/>
                <w:sz w:val="21"/>
              </w:rPr>
              <w:t>降噪效果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066" w:type="dxa"/>
          </w:tcPr>
          <w:p>
            <w:pPr>
              <w:pStyle w:val="19"/>
              <w:spacing w:before="161"/>
              <w:ind w:left="59" w:right="52"/>
              <w:rPr>
                <w:sz w:val="21"/>
              </w:rPr>
            </w:pPr>
            <w:r>
              <w:rPr>
                <w:sz w:val="21"/>
              </w:rPr>
              <w:t>羊叫</w:t>
            </w:r>
          </w:p>
        </w:tc>
        <w:tc>
          <w:tcPr>
            <w:tcW w:w="1112" w:type="dxa"/>
          </w:tcPr>
          <w:p>
            <w:pPr>
              <w:pStyle w:val="19"/>
              <w:spacing w:before="161"/>
              <w:ind w:left="220" w:right="212"/>
              <w:rPr>
                <w:sz w:val="21"/>
              </w:rPr>
            </w:pPr>
            <w:r>
              <w:rPr>
                <w:sz w:val="21"/>
              </w:rPr>
              <w:t>羊舍</w:t>
            </w:r>
          </w:p>
        </w:tc>
        <w:tc>
          <w:tcPr>
            <w:tcW w:w="1425" w:type="dxa"/>
          </w:tcPr>
          <w:p>
            <w:pPr>
              <w:pStyle w:val="19"/>
              <w:spacing w:before="161"/>
              <w:ind w:left="61" w:right="53"/>
              <w:rPr>
                <w:sz w:val="21"/>
              </w:rPr>
            </w:pPr>
            <w:r>
              <w:rPr>
                <w:sz w:val="21"/>
              </w:rPr>
              <w:t>流动、间歇性</w:t>
            </w:r>
          </w:p>
        </w:tc>
        <w:tc>
          <w:tcPr>
            <w:tcW w:w="1019" w:type="dxa"/>
          </w:tcPr>
          <w:p>
            <w:pPr>
              <w:pStyle w:val="19"/>
              <w:spacing w:before="175"/>
              <w:ind w:left="95" w:right="87"/>
              <w:rPr>
                <w:rFonts w:ascii="Times New Roman"/>
                <w:sz w:val="21"/>
              </w:rPr>
            </w:pPr>
            <w:r>
              <w:rPr>
                <w:rFonts w:ascii="Times New Roman"/>
                <w:sz w:val="21"/>
              </w:rPr>
              <w:t>60-70</w:t>
            </w:r>
          </w:p>
        </w:tc>
        <w:tc>
          <w:tcPr>
            <w:tcW w:w="2627" w:type="dxa"/>
          </w:tcPr>
          <w:p>
            <w:pPr>
              <w:pStyle w:val="19"/>
              <w:spacing w:before="61" w:line="213" w:lineRule="auto"/>
              <w:ind w:left="368" w:right="148" w:hanging="212"/>
              <w:jc w:val="left"/>
              <w:rPr>
                <w:sz w:val="21"/>
              </w:rPr>
            </w:pPr>
            <w:r>
              <w:rPr>
                <w:sz w:val="21"/>
              </w:rPr>
              <w:t>隔声，喂足饲料和水，避免饥渴及突发性噪声</w:t>
            </w:r>
          </w:p>
        </w:tc>
        <w:tc>
          <w:tcPr>
            <w:tcW w:w="1270" w:type="dxa"/>
          </w:tcPr>
          <w:p>
            <w:pPr>
              <w:pStyle w:val="19"/>
              <w:spacing w:before="175"/>
              <w:ind w:left="193"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066" w:type="dxa"/>
          </w:tcPr>
          <w:p>
            <w:pPr>
              <w:pStyle w:val="19"/>
              <w:spacing w:before="77"/>
              <w:ind w:left="124" w:right="50"/>
              <w:rPr>
                <w:sz w:val="21"/>
              </w:rPr>
            </w:pPr>
            <w:r>
              <w:rPr>
                <w:sz w:val="21"/>
              </w:rPr>
              <w:t>风机</w:t>
            </w:r>
          </w:p>
        </w:tc>
        <w:tc>
          <w:tcPr>
            <w:tcW w:w="1112" w:type="dxa"/>
          </w:tcPr>
          <w:p>
            <w:pPr>
              <w:pStyle w:val="19"/>
              <w:spacing w:before="77"/>
              <w:ind w:left="220" w:right="212"/>
              <w:rPr>
                <w:sz w:val="21"/>
              </w:rPr>
            </w:pPr>
            <w:r>
              <w:rPr>
                <w:sz w:val="21"/>
              </w:rPr>
              <w:t>羊舍</w:t>
            </w:r>
          </w:p>
        </w:tc>
        <w:tc>
          <w:tcPr>
            <w:tcW w:w="1425" w:type="dxa"/>
          </w:tcPr>
          <w:p>
            <w:pPr>
              <w:pStyle w:val="19"/>
              <w:spacing w:before="77"/>
              <w:ind w:left="58" w:right="53"/>
              <w:rPr>
                <w:sz w:val="21"/>
              </w:rPr>
            </w:pPr>
            <w:r>
              <w:rPr>
                <w:sz w:val="21"/>
              </w:rPr>
              <w:t>连续性</w:t>
            </w:r>
          </w:p>
        </w:tc>
        <w:tc>
          <w:tcPr>
            <w:tcW w:w="1019" w:type="dxa"/>
          </w:tcPr>
          <w:p>
            <w:pPr>
              <w:pStyle w:val="19"/>
              <w:spacing w:before="91"/>
              <w:ind w:left="95" w:right="87"/>
              <w:rPr>
                <w:rFonts w:ascii="Times New Roman"/>
                <w:sz w:val="21"/>
              </w:rPr>
            </w:pPr>
            <w:r>
              <w:rPr>
                <w:rFonts w:ascii="Times New Roman"/>
                <w:sz w:val="21"/>
              </w:rPr>
              <w:t>65-75</w:t>
            </w:r>
          </w:p>
        </w:tc>
        <w:tc>
          <w:tcPr>
            <w:tcW w:w="2627" w:type="dxa"/>
            <w:vMerge w:val="restart"/>
          </w:tcPr>
          <w:p>
            <w:pPr>
              <w:pStyle w:val="19"/>
              <w:spacing w:before="156" w:line="213" w:lineRule="auto"/>
              <w:ind w:left="263" w:right="-15" w:hanging="156"/>
              <w:jc w:val="left"/>
              <w:rPr>
                <w:sz w:val="21"/>
              </w:rPr>
            </w:pPr>
            <w:r>
              <w:rPr>
                <w:spacing w:val="-1"/>
                <w:sz w:val="21"/>
              </w:rPr>
              <w:t>选低噪声设备，墙体隔声，基础减振，消声，隔声</w:t>
            </w:r>
          </w:p>
        </w:tc>
        <w:tc>
          <w:tcPr>
            <w:tcW w:w="1270" w:type="dxa"/>
          </w:tcPr>
          <w:p>
            <w:pPr>
              <w:pStyle w:val="19"/>
              <w:spacing w:before="91"/>
              <w:ind w:left="193"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066" w:type="dxa"/>
          </w:tcPr>
          <w:p>
            <w:pPr>
              <w:pStyle w:val="19"/>
              <w:spacing w:before="77"/>
              <w:ind w:left="72"/>
              <w:rPr>
                <w:sz w:val="21"/>
              </w:rPr>
            </w:pPr>
            <w:r>
              <w:rPr>
                <w:w w:val="99"/>
                <w:sz w:val="21"/>
              </w:rPr>
              <w:t>泵</w:t>
            </w:r>
          </w:p>
        </w:tc>
        <w:tc>
          <w:tcPr>
            <w:tcW w:w="1112" w:type="dxa"/>
          </w:tcPr>
          <w:p>
            <w:pPr>
              <w:pStyle w:val="19"/>
              <w:spacing w:before="77"/>
              <w:ind w:left="220" w:right="212"/>
              <w:rPr>
                <w:sz w:val="21"/>
              </w:rPr>
            </w:pPr>
            <w:r>
              <w:rPr>
                <w:sz w:val="21"/>
              </w:rPr>
              <w:t>泵房</w:t>
            </w:r>
          </w:p>
        </w:tc>
        <w:tc>
          <w:tcPr>
            <w:tcW w:w="1425" w:type="dxa"/>
          </w:tcPr>
          <w:p>
            <w:pPr>
              <w:pStyle w:val="19"/>
              <w:spacing w:before="77"/>
              <w:ind w:left="61" w:right="53"/>
              <w:rPr>
                <w:sz w:val="21"/>
              </w:rPr>
            </w:pPr>
            <w:r>
              <w:rPr>
                <w:sz w:val="21"/>
              </w:rPr>
              <w:t>固定、持续性</w:t>
            </w:r>
          </w:p>
        </w:tc>
        <w:tc>
          <w:tcPr>
            <w:tcW w:w="1019" w:type="dxa"/>
          </w:tcPr>
          <w:p>
            <w:pPr>
              <w:pStyle w:val="19"/>
              <w:spacing w:before="90"/>
              <w:ind w:left="95" w:right="87"/>
              <w:rPr>
                <w:rFonts w:ascii="Times New Roman"/>
                <w:sz w:val="21"/>
              </w:rPr>
            </w:pPr>
            <w:r>
              <w:rPr>
                <w:rFonts w:ascii="Times New Roman"/>
                <w:sz w:val="21"/>
              </w:rPr>
              <w:t>70-75</w:t>
            </w:r>
          </w:p>
        </w:tc>
        <w:tc>
          <w:tcPr>
            <w:tcW w:w="2627" w:type="dxa"/>
            <w:vMerge w:val="continue"/>
            <w:tcBorders>
              <w:top w:val="nil"/>
            </w:tcBorders>
          </w:tcPr>
          <w:p>
            <w:pPr>
              <w:rPr>
                <w:sz w:val="2"/>
                <w:szCs w:val="2"/>
              </w:rPr>
            </w:pPr>
          </w:p>
        </w:tc>
        <w:tc>
          <w:tcPr>
            <w:tcW w:w="1270" w:type="dxa"/>
          </w:tcPr>
          <w:p>
            <w:pPr>
              <w:pStyle w:val="19"/>
              <w:spacing w:before="90"/>
              <w:ind w:left="193"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066" w:type="dxa"/>
          </w:tcPr>
          <w:p>
            <w:pPr>
              <w:pStyle w:val="19"/>
              <w:spacing w:before="60" w:line="213" w:lineRule="auto"/>
              <w:ind w:left="250" w:right="71" w:hanging="106"/>
              <w:jc w:val="left"/>
              <w:rPr>
                <w:sz w:val="21"/>
              </w:rPr>
            </w:pPr>
            <w:r>
              <w:rPr>
                <w:sz w:val="21"/>
              </w:rPr>
              <w:t>无害化处理设备</w:t>
            </w:r>
          </w:p>
        </w:tc>
        <w:tc>
          <w:tcPr>
            <w:tcW w:w="1112" w:type="dxa"/>
          </w:tcPr>
          <w:p>
            <w:pPr>
              <w:pStyle w:val="19"/>
              <w:spacing w:before="60" w:line="213" w:lineRule="auto"/>
              <w:ind w:left="240" w:right="127" w:hanging="106"/>
              <w:jc w:val="left"/>
              <w:rPr>
                <w:sz w:val="21"/>
              </w:rPr>
            </w:pPr>
            <w:r>
              <w:rPr>
                <w:sz w:val="21"/>
              </w:rPr>
              <w:t>无害化处理车间</w:t>
            </w:r>
          </w:p>
        </w:tc>
        <w:tc>
          <w:tcPr>
            <w:tcW w:w="1425" w:type="dxa"/>
          </w:tcPr>
          <w:p>
            <w:pPr>
              <w:pStyle w:val="19"/>
              <w:spacing w:before="162"/>
              <w:ind w:left="61" w:right="53"/>
              <w:rPr>
                <w:sz w:val="21"/>
              </w:rPr>
            </w:pPr>
            <w:r>
              <w:rPr>
                <w:sz w:val="21"/>
              </w:rPr>
              <w:t>固定、持续性</w:t>
            </w:r>
          </w:p>
        </w:tc>
        <w:tc>
          <w:tcPr>
            <w:tcW w:w="1019" w:type="dxa"/>
          </w:tcPr>
          <w:p>
            <w:pPr>
              <w:pStyle w:val="19"/>
              <w:spacing w:before="176"/>
              <w:ind w:left="95" w:right="87"/>
              <w:rPr>
                <w:rFonts w:ascii="Times New Roman"/>
                <w:sz w:val="21"/>
              </w:rPr>
            </w:pPr>
            <w:r>
              <w:rPr>
                <w:rFonts w:ascii="Times New Roman"/>
                <w:sz w:val="21"/>
              </w:rPr>
              <w:t>70-85</w:t>
            </w:r>
          </w:p>
        </w:tc>
        <w:tc>
          <w:tcPr>
            <w:tcW w:w="2627" w:type="dxa"/>
          </w:tcPr>
          <w:p>
            <w:pPr>
              <w:pStyle w:val="19"/>
              <w:spacing w:before="162"/>
              <w:ind w:left="557" w:right="550"/>
              <w:rPr>
                <w:sz w:val="21"/>
              </w:rPr>
            </w:pPr>
            <w:r>
              <w:rPr>
                <w:sz w:val="21"/>
              </w:rPr>
              <w:t>基础减振，消声</w:t>
            </w:r>
          </w:p>
        </w:tc>
        <w:tc>
          <w:tcPr>
            <w:tcW w:w="1270" w:type="dxa"/>
          </w:tcPr>
          <w:p>
            <w:pPr>
              <w:pStyle w:val="19"/>
              <w:spacing w:before="176"/>
              <w:ind w:left="193"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066" w:type="dxa"/>
          </w:tcPr>
          <w:p>
            <w:pPr>
              <w:pStyle w:val="19"/>
              <w:spacing w:before="76"/>
              <w:ind w:left="124" w:right="52"/>
              <w:rPr>
                <w:sz w:val="21"/>
              </w:rPr>
            </w:pPr>
            <w:r>
              <w:rPr>
                <w:sz w:val="21"/>
              </w:rPr>
              <w:t>运输车辆</w:t>
            </w:r>
          </w:p>
        </w:tc>
        <w:tc>
          <w:tcPr>
            <w:tcW w:w="1112" w:type="dxa"/>
          </w:tcPr>
          <w:p>
            <w:pPr>
              <w:pStyle w:val="19"/>
              <w:spacing w:before="76"/>
              <w:ind w:left="220" w:right="212"/>
              <w:rPr>
                <w:sz w:val="21"/>
              </w:rPr>
            </w:pPr>
            <w:r>
              <w:rPr>
                <w:sz w:val="21"/>
              </w:rPr>
              <w:t>养殖区</w:t>
            </w:r>
          </w:p>
        </w:tc>
        <w:tc>
          <w:tcPr>
            <w:tcW w:w="1425" w:type="dxa"/>
          </w:tcPr>
          <w:p>
            <w:pPr>
              <w:pStyle w:val="19"/>
              <w:spacing w:before="76"/>
              <w:ind w:left="61" w:right="53"/>
              <w:rPr>
                <w:sz w:val="21"/>
              </w:rPr>
            </w:pPr>
            <w:r>
              <w:rPr>
                <w:sz w:val="21"/>
              </w:rPr>
              <w:t>流动、间歇性</w:t>
            </w:r>
          </w:p>
        </w:tc>
        <w:tc>
          <w:tcPr>
            <w:tcW w:w="1019" w:type="dxa"/>
          </w:tcPr>
          <w:p>
            <w:pPr>
              <w:pStyle w:val="19"/>
              <w:spacing w:before="90"/>
              <w:ind w:left="95" w:right="87"/>
              <w:rPr>
                <w:rFonts w:ascii="Times New Roman"/>
                <w:sz w:val="21"/>
              </w:rPr>
            </w:pPr>
            <w:r>
              <w:rPr>
                <w:rFonts w:ascii="Times New Roman"/>
                <w:sz w:val="21"/>
              </w:rPr>
              <w:t>75-85</w:t>
            </w:r>
          </w:p>
        </w:tc>
        <w:tc>
          <w:tcPr>
            <w:tcW w:w="2627" w:type="dxa"/>
          </w:tcPr>
          <w:p>
            <w:pPr>
              <w:pStyle w:val="19"/>
              <w:spacing w:before="76"/>
              <w:ind w:left="557" w:right="550"/>
              <w:rPr>
                <w:sz w:val="21"/>
              </w:rPr>
            </w:pPr>
            <w:r>
              <w:rPr>
                <w:sz w:val="21"/>
              </w:rPr>
              <w:t>禁止鸣笛、限速</w:t>
            </w:r>
          </w:p>
        </w:tc>
        <w:tc>
          <w:tcPr>
            <w:tcW w:w="1270" w:type="dxa"/>
          </w:tcPr>
          <w:p>
            <w:pPr>
              <w:pStyle w:val="19"/>
              <w:spacing w:before="90"/>
              <w:ind w:left="193" w:right="182"/>
              <w:rPr>
                <w:rFonts w:ascii="Times New Roman"/>
                <w:sz w:val="21"/>
              </w:rPr>
            </w:pPr>
            <w:r>
              <w:rPr>
                <w:rFonts w:ascii="Times New Roman"/>
                <w:sz w:val="21"/>
              </w:rPr>
              <w:t>20</w:t>
            </w:r>
          </w:p>
        </w:tc>
      </w:tr>
    </w:tbl>
    <w:p>
      <w:pPr>
        <w:pStyle w:val="7"/>
        <w:spacing w:before="1"/>
        <w:ind w:left="0"/>
        <w:rPr>
          <w:b/>
          <w:sz w:val="19"/>
        </w:rPr>
      </w:pPr>
    </w:p>
    <w:p>
      <w:pPr>
        <w:pStyle w:val="18"/>
        <w:numPr>
          <w:ilvl w:val="3"/>
          <w:numId w:val="54"/>
        </w:numPr>
        <w:tabs>
          <w:tab w:val="left" w:pos="1320"/>
        </w:tabs>
        <w:spacing w:before="0" w:after="0" w:line="240" w:lineRule="auto"/>
        <w:ind w:left="1320" w:right="0" w:hanging="780"/>
        <w:jc w:val="left"/>
        <w:rPr>
          <w:sz w:val="24"/>
        </w:rPr>
      </w:pPr>
      <w:bookmarkStart w:id="302" w:name="5.2.3.2 预测模式"/>
      <w:bookmarkEnd w:id="302"/>
      <w:bookmarkStart w:id="303" w:name="5.2.3.2 预测模式"/>
      <w:bookmarkEnd w:id="303"/>
      <w:r>
        <w:rPr>
          <w:sz w:val="24"/>
        </w:rPr>
        <w:t>预测模式</w:t>
      </w:r>
    </w:p>
    <w:p>
      <w:pPr>
        <w:pStyle w:val="7"/>
        <w:spacing w:before="168" w:line="364" w:lineRule="auto"/>
        <w:ind w:right="577" w:firstLine="480"/>
      </w:pPr>
      <w:r>
        <w:rPr>
          <w:spacing w:val="-7"/>
        </w:rPr>
        <w:t>本项目高噪声机械设备均置于室内，本次预测考虑距离厂界较近声源对厂界</w:t>
      </w:r>
      <w:r>
        <w:t>噪声贡献值，预测声源衰减模式及多源叠加模式进行：</w:t>
      </w:r>
    </w:p>
    <w:p>
      <w:pPr>
        <w:pStyle w:val="7"/>
        <w:spacing w:line="362" w:lineRule="auto"/>
        <w:ind w:left="2940" w:right="2578" w:hanging="240"/>
      </w:pPr>
      <w:r>
        <w:rPr>
          <w:rFonts w:ascii="Times New Roman" w:hAnsi="Times New Roman" w:eastAsia="Times New Roman"/>
          <w:position w:val="2"/>
        </w:rPr>
        <w:t>L</w:t>
      </w:r>
      <w:r>
        <w:rPr>
          <w:rFonts w:ascii="Times New Roman" w:hAnsi="Times New Roman" w:eastAsia="Times New Roman"/>
          <w:position w:val="2"/>
          <w:vertAlign w:val="subscript"/>
        </w:rPr>
        <w:t>A</w:t>
      </w:r>
      <w:r>
        <w:rPr>
          <w:position w:val="2"/>
          <w:vertAlign w:val="baseline"/>
        </w:rPr>
        <w:t>（</w:t>
      </w:r>
      <w:r>
        <w:rPr>
          <w:rFonts w:ascii="Times New Roman" w:hAnsi="Times New Roman" w:eastAsia="Times New Roman"/>
          <w:position w:val="2"/>
          <w:vertAlign w:val="baseline"/>
        </w:rPr>
        <w:t>r</w:t>
      </w:r>
      <w:r>
        <w:rPr>
          <w:position w:val="2"/>
          <w:vertAlign w:val="baseline"/>
        </w:rPr>
        <w:t>）</w:t>
      </w:r>
      <w:r>
        <w:rPr>
          <w:rFonts w:ascii="Times New Roman" w:hAnsi="Times New Roman" w:eastAsia="Times New Roman"/>
          <w:position w:val="2"/>
          <w:vertAlign w:val="baseline"/>
        </w:rPr>
        <w:t>=L</w:t>
      </w:r>
      <w:r>
        <w:rPr>
          <w:rFonts w:ascii="Times New Roman" w:hAnsi="Times New Roman" w:eastAsia="Times New Roman"/>
          <w:position w:val="2"/>
          <w:vertAlign w:val="subscript"/>
        </w:rPr>
        <w:t>WA</w:t>
      </w:r>
      <w:r>
        <w:rPr>
          <w:position w:val="2"/>
          <w:vertAlign w:val="baseline"/>
        </w:rPr>
        <w:t>－（</w:t>
      </w:r>
      <w:r>
        <w:rPr>
          <w:rFonts w:ascii="Times New Roman" w:hAnsi="Times New Roman" w:eastAsia="Times New Roman"/>
          <w:position w:val="2"/>
          <w:vertAlign w:val="baseline"/>
        </w:rPr>
        <w:t>A</w:t>
      </w:r>
      <w:r>
        <w:rPr>
          <w:rFonts w:ascii="Times New Roman" w:hAnsi="Times New Roman" w:eastAsia="Times New Roman"/>
          <w:position w:val="2"/>
          <w:vertAlign w:val="subscript"/>
        </w:rPr>
        <w:t>div</w:t>
      </w:r>
      <w:r>
        <w:rPr>
          <w:position w:val="2"/>
          <w:vertAlign w:val="baseline"/>
        </w:rPr>
        <w:t>＋</w:t>
      </w:r>
      <w:r>
        <w:rPr>
          <w:rFonts w:ascii="Times New Roman" w:hAnsi="Times New Roman" w:eastAsia="Times New Roman"/>
          <w:position w:val="2"/>
          <w:vertAlign w:val="baseline"/>
        </w:rPr>
        <w:t>A</w:t>
      </w:r>
      <w:r>
        <w:rPr>
          <w:rFonts w:ascii="Times New Roman" w:hAnsi="Times New Roman" w:eastAsia="Times New Roman"/>
          <w:position w:val="2"/>
          <w:vertAlign w:val="subscript"/>
        </w:rPr>
        <w:t>atm</w:t>
      </w:r>
      <w:r>
        <w:rPr>
          <w:position w:val="2"/>
          <w:vertAlign w:val="baseline"/>
        </w:rPr>
        <w:t>＋</w:t>
      </w:r>
      <w:r>
        <w:rPr>
          <w:rFonts w:ascii="Times New Roman" w:hAnsi="Times New Roman" w:eastAsia="Times New Roman"/>
          <w:position w:val="2"/>
          <w:vertAlign w:val="baseline"/>
        </w:rPr>
        <w:t>A</w:t>
      </w:r>
      <w:r>
        <w:rPr>
          <w:rFonts w:ascii="Times New Roman" w:hAnsi="Times New Roman" w:eastAsia="Times New Roman"/>
          <w:position w:val="2"/>
          <w:vertAlign w:val="subscript"/>
        </w:rPr>
        <w:t>exc</w:t>
      </w:r>
      <w:r>
        <w:rPr>
          <w:position w:val="2"/>
          <w:vertAlign w:val="baseline"/>
        </w:rPr>
        <w:t>）</w:t>
      </w:r>
      <w:r>
        <w:rPr>
          <w:rFonts w:ascii="Times New Roman" w:hAnsi="Times New Roman" w:eastAsia="Times New Roman"/>
          <w:position w:val="2"/>
          <w:vertAlign w:val="baseline"/>
        </w:rPr>
        <w:t>A</w:t>
      </w:r>
      <w:r>
        <w:rPr>
          <w:rFonts w:ascii="Times New Roman" w:hAnsi="Times New Roman" w:eastAsia="Times New Roman"/>
          <w:position w:val="2"/>
          <w:vertAlign w:val="subscript"/>
        </w:rPr>
        <w:t>div</w:t>
      </w:r>
      <w:r>
        <w:rPr>
          <w:rFonts w:ascii="Times New Roman" w:hAnsi="Times New Roman" w:eastAsia="Times New Roman"/>
          <w:position w:val="2"/>
          <w:vertAlign w:val="baseline"/>
        </w:rPr>
        <w:t>=20lg</w:t>
      </w:r>
      <w:r>
        <w:rPr>
          <w:position w:val="2"/>
          <w:vertAlign w:val="baseline"/>
        </w:rPr>
        <w:t>（</w:t>
      </w:r>
      <w:r>
        <w:rPr>
          <w:rFonts w:ascii="Times New Roman" w:hAnsi="Times New Roman" w:eastAsia="Times New Roman"/>
          <w:position w:val="2"/>
          <w:vertAlign w:val="baseline"/>
        </w:rPr>
        <w:t>r/r</w:t>
      </w:r>
      <w:r>
        <w:rPr>
          <w:rFonts w:ascii="Times New Roman" w:hAnsi="Times New Roman" w:eastAsia="Times New Roman"/>
          <w:position w:val="2"/>
          <w:vertAlign w:val="subscript"/>
        </w:rPr>
        <w:t>0</w:t>
      </w:r>
      <w:r>
        <w:rPr>
          <w:position w:val="2"/>
          <w:vertAlign w:val="baseline"/>
        </w:rPr>
        <w:t>）</w:t>
      </w:r>
      <w:r>
        <w:rPr>
          <w:rFonts w:ascii="Times New Roman" w:hAnsi="Times New Roman" w:eastAsia="Times New Roman"/>
          <w:position w:val="2"/>
          <w:vertAlign w:val="baseline"/>
        </w:rPr>
        <w:t>A</w:t>
      </w:r>
      <w:r>
        <w:rPr>
          <w:rFonts w:ascii="Times New Roman" w:hAnsi="Times New Roman" w:eastAsia="Times New Roman"/>
          <w:position w:val="2"/>
          <w:vertAlign w:val="subscript"/>
        </w:rPr>
        <w:t>atm</w:t>
      </w:r>
      <w:r>
        <w:rPr>
          <w:rFonts w:ascii="Times New Roman" w:hAnsi="Times New Roman" w:eastAsia="Times New Roman"/>
          <w:position w:val="2"/>
          <w:vertAlign w:val="baseline"/>
        </w:rPr>
        <w:t>=α</w:t>
      </w:r>
      <w:r>
        <w:rPr>
          <w:position w:val="2"/>
          <w:vertAlign w:val="baseline"/>
        </w:rPr>
        <w:t>（</w:t>
      </w:r>
      <w:r>
        <w:rPr>
          <w:rFonts w:ascii="Times New Roman" w:hAnsi="Times New Roman" w:eastAsia="Times New Roman"/>
          <w:position w:val="2"/>
          <w:vertAlign w:val="baseline"/>
        </w:rPr>
        <w:t>r</w:t>
      </w:r>
      <w:r>
        <w:rPr>
          <w:position w:val="2"/>
          <w:vertAlign w:val="baseline"/>
        </w:rPr>
        <w:t>－</w:t>
      </w:r>
      <w:r>
        <w:rPr>
          <w:rFonts w:ascii="Times New Roman" w:hAnsi="Times New Roman" w:eastAsia="Times New Roman"/>
          <w:position w:val="2"/>
          <w:vertAlign w:val="baseline"/>
        </w:rPr>
        <w:t>r</w:t>
      </w:r>
      <w:r>
        <w:rPr>
          <w:rFonts w:ascii="Times New Roman" w:hAnsi="Times New Roman" w:eastAsia="Times New Roman"/>
          <w:position w:val="2"/>
          <w:vertAlign w:val="subscript"/>
        </w:rPr>
        <w:t>0</w:t>
      </w:r>
      <w:r>
        <w:rPr>
          <w:position w:val="2"/>
          <w:vertAlign w:val="baseline"/>
        </w:rPr>
        <w:t>）</w:t>
      </w:r>
      <w:r>
        <w:rPr>
          <w:rFonts w:ascii="Times New Roman" w:hAnsi="Times New Roman" w:eastAsia="Times New Roman"/>
          <w:position w:val="2"/>
          <w:vertAlign w:val="baseline"/>
        </w:rPr>
        <w:t xml:space="preserve">/1000 </w:t>
      </w:r>
      <w:r>
        <w:rPr>
          <w:rFonts w:ascii="Times New Roman" w:hAnsi="Times New Roman" w:eastAsia="Times New Roman"/>
          <w:spacing w:val="-1"/>
          <w:position w:val="2"/>
          <w:vertAlign w:val="baseline"/>
        </w:rPr>
        <w:t>A</w:t>
      </w:r>
      <w:r>
        <w:rPr>
          <w:rFonts w:ascii="Times New Roman" w:hAnsi="Times New Roman" w:eastAsia="Times New Roman"/>
          <w:spacing w:val="-1"/>
          <w:position w:val="2"/>
          <w:vertAlign w:val="subscript"/>
        </w:rPr>
        <w:t>gr</w:t>
      </w:r>
      <w:r>
        <w:rPr>
          <w:rFonts w:ascii="Times New Roman" w:hAnsi="Times New Roman" w:eastAsia="Times New Roman"/>
          <w:spacing w:val="-1"/>
          <w:position w:val="2"/>
          <w:vertAlign w:val="baseline"/>
        </w:rPr>
        <w:t>=4.8</w:t>
      </w:r>
      <w:r>
        <w:rPr>
          <w:spacing w:val="-1"/>
          <w:position w:val="2"/>
          <w:vertAlign w:val="baseline"/>
        </w:rPr>
        <w:t>－（</w:t>
      </w:r>
      <w:r>
        <w:rPr>
          <w:rFonts w:ascii="Times New Roman" w:hAnsi="Times New Roman" w:eastAsia="Times New Roman"/>
          <w:spacing w:val="-1"/>
          <w:position w:val="2"/>
          <w:vertAlign w:val="baseline"/>
        </w:rPr>
        <w:t>2h</w:t>
      </w:r>
      <w:r>
        <w:rPr>
          <w:rFonts w:ascii="Times New Roman" w:hAnsi="Times New Roman" w:eastAsia="Times New Roman"/>
          <w:spacing w:val="-1"/>
          <w:position w:val="2"/>
          <w:vertAlign w:val="subscript"/>
        </w:rPr>
        <w:t>m</w:t>
      </w:r>
      <w:r>
        <w:rPr>
          <w:rFonts w:ascii="Times New Roman" w:hAnsi="Times New Roman" w:eastAsia="Times New Roman"/>
          <w:spacing w:val="-1"/>
          <w:position w:val="2"/>
          <w:vertAlign w:val="baseline"/>
        </w:rPr>
        <w:t>/r</w:t>
      </w:r>
      <w:r>
        <w:rPr>
          <w:spacing w:val="-1"/>
          <w:position w:val="2"/>
          <w:vertAlign w:val="baseline"/>
        </w:rPr>
        <w:t>）［</w:t>
      </w:r>
      <w:r>
        <w:rPr>
          <w:rFonts w:ascii="Times New Roman" w:hAnsi="Times New Roman" w:eastAsia="Times New Roman"/>
          <w:spacing w:val="-1"/>
          <w:position w:val="2"/>
          <w:vertAlign w:val="baseline"/>
        </w:rPr>
        <w:t>17</w:t>
      </w:r>
      <w:r>
        <w:rPr>
          <w:spacing w:val="-1"/>
          <w:position w:val="2"/>
          <w:vertAlign w:val="baseline"/>
        </w:rPr>
        <w:t>＋（</w:t>
      </w:r>
      <w:r>
        <w:rPr>
          <w:rFonts w:ascii="Times New Roman" w:hAnsi="Times New Roman" w:eastAsia="Times New Roman"/>
          <w:spacing w:val="-1"/>
          <w:position w:val="2"/>
          <w:vertAlign w:val="baseline"/>
        </w:rPr>
        <w:t>300/r</w:t>
      </w:r>
      <w:r>
        <w:rPr>
          <w:spacing w:val="-1"/>
          <w:position w:val="2"/>
          <w:vertAlign w:val="baseline"/>
        </w:rPr>
        <w:t>）］</w:t>
      </w:r>
    </w:p>
    <w:p>
      <w:pPr>
        <w:pStyle w:val="7"/>
        <w:spacing w:line="309" w:lineRule="exact"/>
        <w:ind w:left="1500"/>
      </w:pPr>
      <w:r>
        <w:rPr>
          <w:rFonts w:ascii="Times New Roman" w:hAnsi="Times New Roman" w:eastAsia="Times New Roman"/>
          <w:position w:val="2"/>
        </w:rPr>
        <w:t>L</w:t>
      </w:r>
      <w:r>
        <w:rPr>
          <w:rFonts w:ascii="Times New Roman" w:hAnsi="Times New Roman" w:eastAsia="Times New Roman"/>
          <w:position w:val="2"/>
          <w:vertAlign w:val="subscript"/>
        </w:rPr>
        <w:t>A</w:t>
      </w:r>
      <w:r>
        <w:rPr>
          <w:position w:val="2"/>
          <w:vertAlign w:val="baseline"/>
        </w:rPr>
        <w:t>（</w:t>
      </w:r>
      <w:r>
        <w:rPr>
          <w:rFonts w:ascii="Times New Roman" w:hAnsi="Times New Roman" w:eastAsia="Times New Roman"/>
          <w:position w:val="2"/>
          <w:vertAlign w:val="baseline"/>
        </w:rPr>
        <w:t>r</w:t>
      </w:r>
      <w:r>
        <w:rPr>
          <w:position w:val="2"/>
          <w:vertAlign w:val="baseline"/>
        </w:rPr>
        <w:t>）—距声源</w:t>
      </w:r>
      <w:r>
        <w:rPr>
          <w:rFonts w:ascii="Times New Roman" w:hAnsi="Times New Roman" w:eastAsia="Times New Roman"/>
          <w:position w:val="2"/>
          <w:vertAlign w:val="baseline"/>
        </w:rPr>
        <w:t>r</w:t>
      </w:r>
      <w:r>
        <w:rPr>
          <w:position w:val="2"/>
          <w:vertAlign w:val="baseline"/>
        </w:rPr>
        <w:t>处的</w:t>
      </w:r>
      <w:r>
        <w:rPr>
          <w:rFonts w:ascii="Times New Roman" w:hAnsi="Times New Roman" w:eastAsia="Times New Roman"/>
          <w:position w:val="2"/>
          <w:vertAlign w:val="baseline"/>
        </w:rPr>
        <w:t>A</w:t>
      </w:r>
      <w:r>
        <w:rPr>
          <w:position w:val="2"/>
          <w:vertAlign w:val="baseline"/>
        </w:rPr>
        <w:t>声级值，</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54"/>
        <w:ind w:left="1500"/>
      </w:pPr>
      <w:r>
        <w:rPr>
          <w:rFonts w:ascii="Times New Roman" w:hAnsi="Times New Roman" w:eastAsia="Times New Roman"/>
          <w:position w:val="2"/>
        </w:rPr>
        <w:t>L</w:t>
      </w:r>
      <w:r>
        <w:rPr>
          <w:rFonts w:ascii="Times New Roman" w:hAnsi="Times New Roman" w:eastAsia="Times New Roman"/>
          <w:position w:val="2"/>
          <w:vertAlign w:val="subscript"/>
        </w:rPr>
        <w:t>WA</w:t>
      </w:r>
      <w:r>
        <w:rPr>
          <w:position w:val="2"/>
          <w:vertAlign w:val="baseline"/>
        </w:rPr>
        <w:t>—已知点声源</w:t>
      </w:r>
      <w:r>
        <w:rPr>
          <w:rFonts w:ascii="Times New Roman" w:hAnsi="Times New Roman" w:eastAsia="Times New Roman"/>
          <w:position w:val="2"/>
          <w:vertAlign w:val="baseline"/>
        </w:rPr>
        <w:t>A</w:t>
      </w:r>
      <w:r>
        <w:rPr>
          <w:position w:val="2"/>
          <w:vertAlign w:val="baseline"/>
        </w:rPr>
        <w:t>声级值，</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43" w:line="362" w:lineRule="auto"/>
        <w:ind w:left="1500" w:right="1184"/>
        <w:rPr>
          <w:position w:val="2"/>
          <w:vertAlign w:val="baseline"/>
        </w:rPr>
      </w:pPr>
      <w:r>
        <w:rPr>
          <w:rFonts w:ascii="Times New Roman" w:hAnsi="Times New Roman" w:eastAsia="Times New Roman"/>
          <w:position w:val="2"/>
        </w:rPr>
        <w:t>A</w:t>
      </w:r>
      <w:r>
        <w:rPr>
          <w:rFonts w:ascii="Times New Roman" w:hAnsi="Times New Roman" w:eastAsia="Times New Roman"/>
          <w:position w:val="2"/>
          <w:vertAlign w:val="subscript"/>
        </w:rPr>
        <w:t>div</w:t>
      </w:r>
      <w:r>
        <w:rPr>
          <w:position w:val="2"/>
          <w:vertAlign w:val="baseline"/>
        </w:rPr>
        <w:t>—声级几何发散引起的</w:t>
      </w:r>
      <w:r>
        <w:rPr>
          <w:rFonts w:ascii="Times New Roman" w:hAnsi="Times New Roman" w:eastAsia="Times New Roman"/>
          <w:position w:val="2"/>
          <w:vertAlign w:val="baseline"/>
        </w:rPr>
        <w:t>A</w:t>
      </w:r>
      <w:r>
        <w:rPr>
          <w:position w:val="2"/>
          <w:vertAlign w:val="baseline"/>
        </w:rPr>
        <w:t>声级衰减量，</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43" w:line="362" w:lineRule="auto"/>
        <w:ind w:left="1500" w:right="1184"/>
        <w:rPr>
          <w:position w:val="2"/>
          <w:vertAlign w:val="baseline"/>
        </w:rPr>
      </w:pPr>
      <w:r>
        <w:rPr>
          <w:rFonts w:ascii="Times New Roman" w:hAnsi="Times New Roman" w:eastAsia="Times New Roman"/>
          <w:position w:val="2"/>
          <w:vertAlign w:val="baseline"/>
        </w:rPr>
        <w:t>A</w:t>
      </w:r>
      <w:r>
        <w:rPr>
          <w:rFonts w:ascii="Times New Roman" w:hAnsi="Times New Roman" w:eastAsia="Times New Roman"/>
          <w:position w:val="2"/>
          <w:vertAlign w:val="subscript"/>
        </w:rPr>
        <w:t>atm</w:t>
      </w:r>
      <w:r>
        <w:rPr>
          <w:position w:val="2"/>
          <w:vertAlign w:val="baseline"/>
        </w:rPr>
        <w:t>—空气吸收引起的</w:t>
      </w:r>
      <w:r>
        <w:rPr>
          <w:rFonts w:ascii="Times New Roman" w:hAnsi="Times New Roman" w:eastAsia="Times New Roman"/>
          <w:position w:val="2"/>
          <w:vertAlign w:val="baseline"/>
        </w:rPr>
        <w:t>A</w:t>
      </w:r>
      <w:r>
        <w:rPr>
          <w:position w:val="2"/>
          <w:vertAlign w:val="baseline"/>
        </w:rPr>
        <w:t>声级衰减量，</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43" w:line="362" w:lineRule="auto"/>
        <w:ind w:left="1500" w:right="1184"/>
        <w:rPr>
          <w:position w:val="2"/>
          <w:vertAlign w:val="baseline"/>
        </w:rPr>
      </w:pPr>
      <w:r>
        <w:rPr>
          <w:rFonts w:ascii="Times New Roman" w:hAnsi="Times New Roman" w:eastAsia="Times New Roman"/>
          <w:position w:val="2"/>
          <w:vertAlign w:val="baseline"/>
        </w:rPr>
        <w:t>A</w:t>
      </w:r>
      <w:r>
        <w:rPr>
          <w:rFonts w:ascii="Times New Roman" w:hAnsi="Times New Roman" w:eastAsia="Times New Roman"/>
          <w:position w:val="2"/>
          <w:vertAlign w:val="subscript"/>
        </w:rPr>
        <w:t>gr</w:t>
      </w:r>
      <w:r>
        <w:rPr>
          <w:position w:val="2"/>
          <w:vertAlign w:val="baseline"/>
        </w:rPr>
        <w:t>—地面效应引起的附加衰减量，</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43" w:line="362" w:lineRule="auto"/>
        <w:ind w:left="1500" w:right="1184"/>
      </w:pPr>
      <w:r>
        <w:rPr>
          <w:rFonts w:ascii="Times New Roman" w:hAnsi="Times New Roman" w:eastAsia="Times New Roman"/>
        </w:rPr>
        <w:t>α</w:t>
      </w:r>
      <w:r>
        <w:t>—空气吸收系数，</w:t>
      </w:r>
      <w:r>
        <w:rPr>
          <w:rFonts w:ascii="Times New Roman" w:hAnsi="Times New Roman" w:eastAsia="Times New Roman"/>
        </w:rPr>
        <w:t>dB/1000m</w:t>
      </w:r>
      <w:r>
        <w:rPr>
          <w:spacing w:val="-9"/>
        </w:rPr>
        <w:t>；取相对湿度</w:t>
      </w:r>
      <w:r>
        <w:rPr>
          <w:rFonts w:ascii="Times New Roman" w:hAnsi="Times New Roman" w:eastAsia="Times New Roman"/>
        </w:rPr>
        <w:t>20%</w:t>
      </w:r>
      <w:r>
        <w:rPr>
          <w:spacing w:val="-12"/>
        </w:rPr>
        <w:t>，温度取</w:t>
      </w:r>
      <w:r>
        <w:rPr>
          <w:rFonts w:ascii="Times New Roman" w:hAnsi="Times New Roman" w:eastAsia="Times New Roman"/>
          <w:spacing w:val="-4"/>
        </w:rPr>
        <w:t>15</w:t>
      </w:r>
      <w:r>
        <w:rPr>
          <w:spacing w:val="-4"/>
        </w:rPr>
        <w:t>℃；</w:t>
      </w:r>
      <w:r>
        <w:rPr>
          <w:rFonts w:ascii="Times New Roman" w:hAnsi="Times New Roman" w:eastAsia="Times New Roman"/>
          <w:position w:val="2"/>
        </w:rPr>
        <w:t>r</w:t>
      </w:r>
      <w:r>
        <w:rPr>
          <w:position w:val="2"/>
        </w:rPr>
        <w:t>、</w:t>
      </w:r>
      <w:r>
        <w:rPr>
          <w:rFonts w:ascii="Times New Roman" w:hAnsi="Times New Roman" w:eastAsia="Times New Roman"/>
          <w:position w:val="2"/>
        </w:rPr>
        <w:t>r</w:t>
      </w:r>
      <w:r>
        <w:rPr>
          <w:rFonts w:ascii="Times New Roman" w:hAnsi="Times New Roman" w:eastAsia="Times New Roman"/>
          <w:position w:val="2"/>
          <w:vertAlign w:val="subscript"/>
        </w:rPr>
        <w:t>0</w:t>
      </w:r>
      <w:r>
        <w:rPr>
          <w:position w:val="2"/>
          <w:vertAlign w:val="baseline"/>
        </w:rPr>
        <w:t>—声源至预测点和测量点的距离。</w:t>
      </w:r>
    </w:p>
    <w:p>
      <w:pPr>
        <w:pStyle w:val="7"/>
        <w:spacing w:before="3"/>
        <w:ind w:firstLine="960" w:firstLineChars="400"/>
      </w:pPr>
      <w:r>
        <w:t>预测点的</w:t>
      </w:r>
      <w:r>
        <w:rPr>
          <w:rFonts w:ascii="Times New Roman" w:eastAsia="Times New Roman"/>
        </w:rPr>
        <w:t>A</w:t>
      </w:r>
      <w:r>
        <w:t>声级叠加公式如下：</w:t>
      </w:r>
    </w:p>
    <w:p>
      <w:pPr>
        <w:pStyle w:val="7"/>
        <w:spacing w:before="11"/>
        <w:ind w:left="0"/>
        <w:rPr>
          <w:sz w:val="27"/>
        </w:rPr>
      </w:pPr>
      <w:r>
        <w:drawing>
          <wp:anchor distT="0" distB="0" distL="0" distR="0" simplePos="0" relativeHeight="1024" behindDoc="0" locked="0" layoutInCell="1" allowOverlap="1">
            <wp:simplePos x="0" y="0"/>
            <wp:positionH relativeFrom="page">
              <wp:posOffset>2976245</wp:posOffset>
            </wp:positionH>
            <wp:positionV relativeFrom="paragraph">
              <wp:posOffset>251460</wp:posOffset>
            </wp:positionV>
            <wp:extent cx="1520190" cy="450215"/>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a:picLocks noChangeAspect="1"/>
                    </pic:cNvPicPr>
                  </pic:nvPicPr>
                  <pic:blipFill>
                    <a:blip r:embed="rId52" cstate="print"/>
                    <a:stretch>
                      <a:fillRect/>
                    </a:stretch>
                  </pic:blipFill>
                  <pic:spPr>
                    <a:xfrm>
                      <a:off x="0" y="0"/>
                      <a:ext cx="1520308" cy="450056"/>
                    </a:xfrm>
                    <a:prstGeom prst="rect">
                      <a:avLst/>
                    </a:prstGeom>
                  </pic:spPr>
                </pic:pic>
              </a:graphicData>
            </a:graphic>
          </wp:anchor>
        </w:drawing>
      </w:r>
    </w:p>
    <w:p>
      <w:pPr>
        <w:pStyle w:val="7"/>
        <w:spacing w:before="7"/>
        <w:ind w:left="0"/>
        <w:rPr>
          <w:sz w:val="15"/>
        </w:rPr>
      </w:pPr>
    </w:p>
    <w:p>
      <w:pPr>
        <w:pStyle w:val="7"/>
        <w:spacing w:before="71"/>
        <w:ind w:left="1020"/>
      </w:pPr>
      <w:r>
        <w:rPr>
          <w:position w:val="2"/>
        </w:rPr>
        <w:t>式中：</w:t>
      </w:r>
      <w:r>
        <w:rPr>
          <w:rFonts w:ascii="Times New Roman" w:hAnsi="Times New Roman" w:eastAsia="Times New Roman"/>
          <w:position w:val="2"/>
        </w:rPr>
        <w:t>L</w:t>
      </w:r>
      <w:r>
        <w:rPr>
          <w:rFonts w:ascii="Times New Roman" w:hAnsi="Times New Roman" w:eastAsia="Times New Roman"/>
          <w:position w:val="2"/>
          <w:vertAlign w:val="subscript"/>
        </w:rPr>
        <w:t>A</w:t>
      </w:r>
      <w:r>
        <w:rPr>
          <w:position w:val="2"/>
          <w:vertAlign w:val="baseline"/>
        </w:rPr>
        <w:t>—总预测点处总的</w:t>
      </w:r>
      <w:r>
        <w:rPr>
          <w:rFonts w:ascii="Times New Roman" w:hAnsi="Times New Roman" w:eastAsia="Times New Roman"/>
          <w:position w:val="2"/>
          <w:vertAlign w:val="baseline"/>
        </w:rPr>
        <w:t>A</w:t>
      </w:r>
      <w:r>
        <w:rPr>
          <w:position w:val="2"/>
          <w:vertAlign w:val="baseline"/>
        </w:rPr>
        <w:t>声级，</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56"/>
        <w:ind w:left="1740"/>
      </w:pPr>
      <w:r>
        <w:rPr>
          <w:rFonts w:ascii="Times New Roman" w:hAnsi="Times New Roman" w:eastAsia="Times New Roman"/>
          <w:position w:val="2"/>
        </w:rPr>
        <w:t>L</w:t>
      </w:r>
      <w:r>
        <w:rPr>
          <w:rFonts w:ascii="Times New Roman" w:hAnsi="Times New Roman" w:eastAsia="Times New Roman"/>
          <w:position w:val="2"/>
          <w:vertAlign w:val="subscript"/>
        </w:rPr>
        <w:t>Ai</w:t>
      </w:r>
      <w:r>
        <w:rPr>
          <w:position w:val="2"/>
          <w:vertAlign w:val="baseline"/>
        </w:rPr>
        <w:t>—第</w:t>
      </w:r>
      <w:r>
        <w:rPr>
          <w:rFonts w:ascii="Times New Roman" w:hAnsi="Times New Roman" w:eastAsia="Times New Roman"/>
          <w:position w:val="2"/>
          <w:vertAlign w:val="baseline"/>
        </w:rPr>
        <w:t>i</w:t>
      </w:r>
      <w:r>
        <w:rPr>
          <w:position w:val="2"/>
          <w:vertAlign w:val="baseline"/>
        </w:rPr>
        <w:t>个声源至预测总处的</w:t>
      </w:r>
      <w:r>
        <w:rPr>
          <w:rFonts w:ascii="Times New Roman" w:hAnsi="Times New Roman" w:eastAsia="Times New Roman"/>
          <w:position w:val="2"/>
          <w:vertAlign w:val="baseline"/>
        </w:rPr>
        <w:t>A</w:t>
      </w:r>
      <w:r>
        <w:rPr>
          <w:position w:val="2"/>
          <w:vertAlign w:val="baseline"/>
        </w:rPr>
        <w:t>声级，</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position w:val="2"/>
          <w:vertAlign w:val="baseline"/>
        </w:rPr>
        <w:t>A</w:t>
      </w:r>
      <w:r>
        <w:rPr>
          <w:position w:val="2"/>
          <w:vertAlign w:val="baseline"/>
        </w:rPr>
        <w:t>）；</w:t>
      </w:r>
    </w:p>
    <w:p>
      <w:pPr>
        <w:pStyle w:val="7"/>
        <w:spacing w:before="160"/>
        <w:ind w:left="1740"/>
      </w:pPr>
      <w:r>
        <w:rPr>
          <w:rFonts w:ascii="Times New Roman" w:hAnsi="Times New Roman" w:eastAsia="Times New Roman"/>
        </w:rPr>
        <w:t>N</w:t>
      </w:r>
      <w:r>
        <w:t>—声源个数。</w:t>
      </w:r>
    </w:p>
    <w:p>
      <w:pPr>
        <w:pStyle w:val="18"/>
        <w:numPr>
          <w:ilvl w:val="3"/>
          <w:numId w:val="54"/>
        </w:numPr>
        <w:tabs>
          <w:tab w:val="left" w:pos="1320"/>
        </w:tabs>
        <w:spacing w:before="170" w:after="0" w:line="240" w:lineRule="auto"/>
        <w:ind w:left="1320" w:right="0" w:hanging="780"/>
        <w:jc w:val="left"/>
        <w:rPr>
          <w:sz w:val="24"/>
        </w:rPr>
      </w:pPr>
      <w:bookmarkStart w:id="304" w:name="5.2.3.3 预测结果"/>
      <w:bookmarkEnd w:id="304"/>
      <w:bookmarkStart w:id="305" w:name="5.2.3.3 预测结果"/>
      <w:bookmarkEnd w:id="305"/>
      <w:r>
        <w:rPr>
          <w:sz w:val="24"/>
        </w:rPr>
        <w:t>预测结果</w:t>
      </w:r>
    </w:p>
    <w:p>
      <w:pPr>
        <w:pStyle w:val="7"/>
        <w:spacing w:before="168" w:line="364" w:lineRule="auto"/>
        <w:ind w:right="572" w:firstLine="480"/>
        <w:jc w:val="both"/>
      </w:pPr>
      <w:r>
        <w:rPr>
          <w:spacing w:val="-5"/>
        </w:rPr>
        <w:t>根据上述公式计算项目各车间对建设单位厂界的噪声预测贡献值，根据《环</w:t>
      </w:r>
      <w:r>
        <w:rPr>
          <w:spacing w:val="-1"/>
        </w:rPr>
        <w:t>境影响评价技术导则</w:t>
      </w:r>
      <w:r>
        <w:rPr>
          <w:rFonts w:ascii="Times New Roman" w:hAnsi="Times New Roman" w:eastAsia="Times New Roman"/>
        </w:rPr>
        <w:t>·</w:t>
      </w:r>
      <w:r>
        <w:rPr>
          <w:spacing w:val="-13"/>
        </w:rPr>
        <w:t>声环境》</w:t>
      </w:r>
      <w:r>
        <w:rPr>
          <w:spacing w:val="-3"/>
        </w:rPr>
        <w:t>（</w:t>
      </w:r>
      <w:r>
        <w:rPr>
          <w:rFonts w:ascii="Times New Roman" w:hAnsi="Times New Roman" w:eastAsia="Times New Roman"/>
          <w:spacing w:val="-3"/>
        </w:rPr>
        <w:t>HJ2.4-2009</w:t>
      </w:r>
      <w:r>
        <w:rPr>
          <w:spacing w:val="-3"/>
        </w:rPr>
        <w:t>）新建项目的贡献值即为预测值，环</w:t>
      </w:r>
      <w:r>
        <w:rPr>
          <w:spacing w:val="-5"/>
        </w:rPr>
        <w:t>境敏感目标的评价量则为贡献值与背景噪声值叠加后的预测值。本项目夜间不进</w:t>
      </w:r>
      <w:r>
        <w:rPr>
          <w:spacing w:val="-10"/>
        </w:rPr>
        <w:t>行生产，故声环境影响预测主要是预测各声源叠加后昼间对厂界的影响。利用上</w:t>
      </w:r>
      <w:r>
        <w:rPr>
          <w:spacing w:val="-9"/>
        </w:rPr>
        <w:t>述的预测评价数学模型，将噪声源强、源强距离厂界距离等有关参数代入公式计</w:t>
      </w:r>
      <w:r>
        <w:t>算预测项目噪声源同时产生噪声的最不利情况下的厂界噪声。</w:t>
      </w:r>
    </w:p>
    <w:p>
      <w:pPr>
        <w:pStyle w:val="7"/>
        <w:spacing w:before="3" w:line="364" w:lineRule="auto"/>
        <w:ind w:right="577" w:firstLine="480"/>
        <w:jc w:val="both"/>
      </w:pPr>
      <w:r>
        <w:rPr>
          <w:spacing w:val="-7"/>
        </w:rPr>
        <w:t>各声源噪声经构筑物隔声，换算成等效室外声源声级值，各声源对场界噪声</w:t>
      </w:r>
      <w:r>
        <w:rPr>
          <w:spacing w:val="-3"/>
        </w:rPr>
        <w:t>预测点影响值进行叠加计算后，得出昼间噪声预测结果见表</w:t>
      </w:r>
      <w:r>
        <w:rPr>
          <w:rFonts w:ascii="Times New Roman" w:eastAsia="Times New Roman"/>
        </w:rPr>
        <w:t>5.2-8</w:t>
      </w:r>
      <w:r>
        <w:t>。</w:t>
      </w:r>
    </w:p>
    <w:p>
      <w:pPr>
        <w:pStyle w:val="7"/>
        <w:bidi w:val="0"/>
        <w:jc w:val="center"/>
      </w:pPr>
      <w:r>
        <w:t>表</w:t>
      </w:r>
      <w:r>
        <w:rPr>
          <w:rFonts w:ascii="Times New Roman" w:eastAsia="Times New Roman"/>
        </w:rPr>
        <w:t>5.2-8</w:t>
      </w:r>
      <w:r>
        <w:rPr>
          <w:rFonts w:ascii="Times New Roman" w:eastAsia="Times New Roman"/>
        </w:rPr>
        <w:tab/>
      </w:r>
      <w:r>
        <w:t>运营期噪声预测结果一览表</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0"/>
        <w:gridCol w:w="2105"/>
        <w:gridCol w:w="2012"/>
        <w:gridCol w:w="2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390" w:type="dxa"/>
          </w:tcPr>
          <w:p>
            <w:pPr>
              <w:pStyle w:val="19"/>
              <w:spacing w:before="29"/>
              <w:ind w:left="618" w:right="608"/>
              <w:rPr>
                <w:b/>
                <w:sz w:val="21"/>
              </w:rPr>
            </w:pPr>
            <w:r>
              <w:rPr>
                <w:b/>
                <w:sz w:val="21"/>
              </w:rPr>
              <w:t>测点</w:t>
            </w:r>
          </w:p>
        </w:tc>
        <w:tc>
          <w:tcPr>
            <w:tcW w:w="2105" w:type="dxa"/>
          </w:tcPr>
          <w:p>
            <w:pPr>
              <w:pStyle w:val="19"/>
              <w:spacing w:before="29"/>
              <w:ind w:left="97" w:right="98"/>
              <w:rPr>
                <w:b/>
                <w:sz w:val="21"/>
              </w:rPr>
            </w:pPr>
            <w:r>
              <w:rPr>
                <w:b/>
                <w:sz w:val="21"/>
              </w:rPr>
              <w:t>贡献值</w:t>
            </w:r>
          </w:p>
        </w:tc>
        <w:tc>
          <w:tcPr>
            <w:tcW w:w="2012" w:type="dxa"/>
          </w:tcPr>
          <w:p>
            <w:pPr>
              <w:pStyle w:val="19"/>
              <w:spacing w:before="29"/>
              <w:ind w:left="562" w:right="553"/>
              <w:rPr>
                <w:b/>
                <w:sz w:val="21"/>
              </w:rPr>
            </w:pPr>
            <w:r>
              <w:rPr>
                <w:b/>
                <w:sz w:val="21"/>
              </w:rPr>
              <w:t>标准值</w:t>
            </w:r>
          </w:p>
        </w:tc>
        <w:tc>
          <w:tcPr>
            <w:tcW w:w="2012" w:type="dxa"/>
          </w:tcPr>
          <w:p>
            <w:pPr>
              <w:pStyle w:val="19"/>
              <w:spacing w:before="29"/>
              <w:ind w:left="565" w:right="553"/>
              <w:rPr>
                <w:b/>
                <w:sz w:val="21"/>
              </w:rPr>
            </w:pPr>
            <w:r>
              <w:rPr>
                <w:b/>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390" w:type="dxa"/>
          </w:tcPr>
          <w:p>
            <w:pPr>
              <w:pStyle w:val="19"/>
              <w:spacing w:before="30"/>
              <w:ind w:left="682" w:right="608"/>
              <w:rPr>
                <w:rFonts w:ascii="Times New Roman" w:eastAsia="Times New Roman"/>
                <w:sz w:val="21"/>
              </w:rPr>
            </w:pPr>
            <w:r>
              <w:rPr>
                <w:sz w:val="21"/>
              </w:rPr>
              <w:t>厂界东侧</w:t>
            </w:r>
            <w:r>
              <w:rPr>
                <w:rFonts w:ascii="Times New Roman" w:eastAsia="Times New Roman"/>
                <w:sz w:val="21"/>
              </w:rPr>
              <w:t>1#</w:t>
            </w:r>
          </w:p>
        </w:tc>
        <w:tc>
          <w:tcPr>
            <w:tcW w:w="2105" w:type="dxa"/>
          </w:tcPr>
          <w:p>
            <w:pPr>
              <w:pStyle w:val="19"/>
              <w:spacing w:before="44"/>
              <w:ind w:left="100" w:right="98"/>
              <w:rPr>
                <w:rFonts w:ascii="Times New Roman"/>
                <w:sz w:val="21"/>
              </w:rPr>
            </w:pPr>
            <w:r>
              <w:rPr>
                <w:rFonts w:ascii="Times New Roman"/>
                <w:sz w:val="21"/>
              </w:rPr>
              <w:t>42.2</w:t>
            </w:r>
          </w:p>
        </w:tc>
        <w:tc>
          <w:tcPr>
            <w:tcW w:w="2012" w:type="dxa"/>
            <w:vMerge w:val="restart"/>
          </w:tcPr>
          <w:p>
            <w:pPr>
              <w:pStyle w:val="19"/>
              <w:jc w:val="left"/>
              <w:rPr>
                <w:b/>
                <w:sz w:val="22"/>
              </w:rPr>
            </w:pPr>
          </w:p>
          <w:p>
            <w:pPr>
              <w:pStyle w:val="19"/>
              <w:spacing w:before="1"/>
              <w:jc w:val="left"/>
              <w:rPr>
                <w:b/>
                <w:sz w:val="21"/>
              </w:rPr>
            </w:pPr>
          </w:p>
          <w:p>
            <w:pPr>
              <w:pStyle w:val="19"/>
              <w:spacing w:before="1"/>
              <w:ind w:left="563" w:right="553"/>
              <w:rPr>
                <w:rFonts w:ascii="Times New Roman"/>
                <w:sz w:val="21"/>
              </w:rPr>
            </w:pPr>
            <w:r>
              <w:rPr>
                <w:rFonts w:ascii="Times New Roman"/>
                <w:sz w:val="21"/>
              </w:rPr>
              <w:t>60</w:t>
            </w:r>
          </w:p>
        </w:tc>
        <w:tc>
          <w:tcPr>
            <w:tcW w:w="2012" w:type="dxa"/>
          </w:tcPr>
          <w:p>
            <w:pPr>
              <w:pStyle w:val="19"/>
              <w:spacing w:before="27"/>
              <w:ind w:left="558" w:right="55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390" w:type="dxa"/>
          </w:tcPr>
          <w:p>
            <w:pPr>
              <w:pStyle w:val="19"/>
              <w:spacing w:before="28"/>
              <w:ind w:left="682" w:right="608"/>
              <w:rPr>
                <w:rFonts w:ascii="Times New Roman" w:eastAsia="Times New Roman"/>
                <w:sz w:val="21"/>
              </w:rPr>
            </w:pPr>
            <w:r>
              <w:rPr>
                <w:sz w:val="21"/>
              </w:rPr>
              <w:t>厂界南侧</w:t>
            </w:r>
            <w:r>
              <w:rPr>
                <w:rFonts w:ascii="Times New Roman" w:eastAsia="Times New Roman"/>
                <w:sz w:val="21"/>
              </w:rPr>
              <w:t>2#</w:t>
            </w:r>
          </w:p>
        </w:tc>
        <w:tc>
          <w:tcPr>
            <w:tcW w:w="2105" w:type="dxa"/>
          </w:tcPr>
          <w:p>
            <w:pPr>
              <w:pStyle w:val="19"/>
              <w:spacing w:before="42"/>
              <w:ind w:left="100" w:right="98"/>
              <w:rPr>
                <w:rFonts w:ascii="Times New Roman"/>
                <w:sz w:val="21"/>
              </w:rPr>
            </w:pPr>
            <w:r>
              <w:rPr>
                <w:rFonts w:ascii="Times New Roman"/>
                <w:sz w:val="21"/>
              </w:rPr>
              <w:t>45.7</w:t>
            </w:r>
          </w:p>
        </w:tc>
        <w:tc>
          <w:tcPr>
            <w:tcW w:w="2012" w:type="dxa"/>
            <w:vMerge w:val="continue"/>
            <w:tcBorders>
              <w:top w:val="nil"/>
            </w:tcBorders>
          </w:tcPr>
          <w:p>
            <w:pPr>
              <w:rPr>
                <w:sz w:val="2"/>
                <w:szCs w:val="2"/>
              </w:rPr>
            </w:pPr>
          </w:p>
        </w:tc>
        <w:tc>
          <w:tcPr>
            <w:tcW w:w="2012" w:type="dxa"/>
          </w:tcPr>
          <w:p>
            <w:pPr>
              <w:pStyle w:val="19"/>
              <w:spacing w:before="28"/>
              <w:ind w:left="558" w:right="55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390" w:type="dxa"/>
          </w:tcPr>
          <w:p>
            <w:pPr>
              <w:pStyle w:val="19"/>
              <w:spacing w:before="29"/>
              <w:ind w:left="682" w:right="608"/>
              <w:rPr>
                <w:rFonts w:ascii="Times New Roman" w:eastAsia="Times New Roman"/>
                <w:sz w:val="21"/>
              </w:rPr>
            </w:pPr>
            <w:r>
              <w:rPr>
                <w:sz w:val="21"/>
              </w:rPr>
              <w:t>厂界西侧</w:t>
            </w:r>
            <w:r>
              <w:rPr>
                <w:rFonts w:ascii="Times New Roman" w:eastAsia="Times New Roman"/>
                <w:sz w:val="21"/>
              </w:rPr>
              <w:t>3#</w:t>
            </w:r>
          </w:p>
        </w:tc>
        <w:tc>
          <w:tcPr>
            <w:tcW w:w="2105" w:type="dxa"/>
          </w:tcPr>
          <w:p>
            <w:pPr>
              <w:pStyle w:val="19"/>
              <w:spacing w:before="43"/>
              <w:ind w:left="100" w:right="98"/>
              <w:rPr>
                <w:rFonts w:ascii="Times New Roman"/>
                <w:sz w:val="21"/>
              </w:rPr>
            </w:pPr>
            <w:r>
              <w:rPr>
                <w:rFonts w:ascii="Times New Roman"/>
                <w:sz w:val="21"/>
              </w:rPr>
              <w:t>46.8</w:t>
            </w:r>
          </w:p>
        </w:tc>
        <w:tc>
          <w:tcPr>
            <w:tcW w:w="2012" w:type="dxa"/>
            <w:vMerge w:val="continue"/>
            <w:tcBorders>
              <w:top w:val="nil"/>
            </w:tcBorders>
          </w:tcPr>
          <w:p>
            <w:pPr>
              <w:rPr>
                <w:sz w:val="2"/>
                <w:szCs w:val="2"/>
              </w:rPr>
            </w:pPr>
          </w:p>
        </w:tc>
        <w:tc>
          <w:tcPr>
            <w:tcW w:w="2012" w:type="dxa"/>
          </w:tcPr>
          <w:p>
            <w:pPr>
              <w:pStyle w:val="19"/>
              <w:spacing w:before="29"/>
              <w:ind w:left="558" w:right="55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390" w:type="dxa"/>
          </w:tcPr>
          <w:p>
            <w:pPr>
              <w:pStyle w:val="19"/>
              <w:spacing w:before="30"/>
              <w:ind w:left="682" w:right="608"/>
              <w:rPr>
                <w:rFonts w:ascii="Times New Roman" w:eastAsia="Times New Roman"/>
                <w:sz w:val="21"/>
              </w:rPr>
            </w:pPr>
            <w:r>
              <w:rPr>
                <w:sz w:val="21"/>
              </w:rPr>
              <w:t>厂界北侧</w:t>
            </w:r>
            <w:r>
              <w:rPr>
                <w:rFonts w:ascii="Times New Roman" w:eastAsia="Times New Roman"/>
                <w:sz w:val="21"/>
              </w:rPr>
              <w:t>4#</w:t>
            </w:r>
          </w:p>
        </w:tc>
        <w:tc>
          <w:tcPr>
            <w:tcW w:w="2105" w:type="dxa"/>
          </w:tcPr>
          <w:p>
            <w:pPr>
              <w:pStyle w:val="19"/>
              <w:spacing w:before="44"/>
              <w:ind w:left="100" w:right="98"/>
              <w:rPr>
                <w:rFonts w:ascii="Times New Roman"/>
                <w:sz w:val="21"/>
              </w:rPr>
            </w:pPr>
            <w:r>
              <w:rPr>
                <w:rFonts w:ascii="Times New Roman"/>
                <w:sz w:val="21"/>
              </w:rPr>
              <w:t>42.1</w:t>
            </w:r>
          </w:p>
        </w:tc>
        <w:tc>
          <w:tcPr>
            <w:tcW w:w="2012" w:type="dxa"/>
            <w:vMerge w:val="continue"/>
            <w:tcBorders>
              <w:top w:val="nil"/>
            </w:tcBorders>
          </w:tcPr>
          <w:p>
            <w:pPr>
              <w:rPr>
                <w:sz w:val="2"/>
                <w:szCs w:val="2"/>
              </w:rPr>
            </w:pPr>
          </w:p>
        </w:tc>
        <w:tc>
          <w:tcPr>
            <w:tcW w:w="2012" w:type="dxa"/>
          </w:tcPr>
          <w:p>
            <w:pPr>
              <w:pStyle w:val="19"/>
              <w:spacing w:before="27"/>
              <w:ind w:left="558" w:right="553"/>
              <w:rPr>
                <w:sz w:val="21"/>
              </w:rPr>
            </w:pPr>
            <w:r>
              <w:rPr>
                <w:sz w:val="21"/>
              </w:rPr>
              <w:t>达标</w:t>
            </w:r>
          </w:p>
        </w:tc>
      </w:tr>
    </w:tbl>
    <w:p>
      <w:pPr>
        <w:pStyle w:val="7"/>
        <w:spacing w:before="5"/>
        <w:ind w:left="0"/>
        <w:rPr>
          <w:b/>
          <w:color w:val="0000FF"/>
          <w:sz w:val="18"/>
        </w:rPr>
      </w:pPr>
    </w:p>
    <w:p>
      <w:pPr>
        <w:pStyle w:val="7"/>
        <w:keepNext w:val="0"/>
        <w:keepLines w:val="0"/>
        <w:pageBreakBefore w:val="0"/>
        <w:widowControl w:val="0"/>
        <w:kinsoku/>
        <w:wordWrap/>
        <w:overflowPunct/>
        <w:topLinePunct w:val="0"/>
        <w:autoSpaceDE w:val="0"/>
        <w:autoSpaceDN w:val="0"/>
        <w:bidi w:val="0"/>
        <w:adjustRightInd/>
        <w:snapToGrid/>
        <w:spacing w:before="8" w:line="360" w:lineRule="auto"/>
        <w:ind w:left="0"/>
        <w:jc w:val="both"/>
        <w:textAlignment w:val="auto"/>
        <w:rPr>
          <w:sz w:val="9"/>
        </w:rPr>
      </w:pPr>
      <w:r>
        <w:rPr>
          <w:color w:val="0000FF"/>
          <w:spacing w:val="-20"/>
        </w:rPr>
        <w:t>由表</w:t>
      </w:r>
      <w:r>
        <w:rPr>
          <w:rFonts w:ascii="Times New Roman" w:hAnsi="Times New Roman" w:eastAsia="Times New Roman"/>
          <w:color w:val="0000FF"/>
        </w:rPr>
        <w:t>5.2-8</w:t>
      </w:r>
      <w:r>
        <w:rPr>
          <w:color w:val="0000FF"/>
        </w:rPr>
        <w:t>可知，项目运营期在落实噪声污染防治措施的前提下，设备运行</w:t>
      </w:r>
      <w:r>
        <w:rPr>
          <w:color w:val="0000FF"/>
          <w:spacing w:val="-5"/>
        </w:rPr>
        <w:t>产生的噪声衰减到厂界外的噪声值较小，项目现状厂界背景声环境均达标，经叠</w:t>
      </w:r>
      <w:r>
        <w:rPr>
          <w:color w:val="0000FF"/>
          <w:spacing w:val="-12"/>
        </w:rPr>
        <w:t>加后厂区北、西、东、南厂界昼、夜间噪声值满足《工业企业厂界环境噪声排放</w:t>
      </w:r>
      <w:r>
        <w:rPr>
          <w:color w:val="0000FF"/>
          <w:spacing w:val="-17"/>
        </w:rPr>
        <w:t>标准》</w:t>
      </w:r>
      <w:r>
        <w:rPr>
          <w:color w:val="0000FF"/>
        </w:rPr>
        <w:t>（</w:t>
      </w:r>
      <w:r>
        <w:rPr>
          <w:rFonts w:ascii="Times New Roman" w:hAnsi="Times New Roman" w:eastAsia="Times New Roman"/>
          <w:color w:val="0000FF"/>
        </w:rPr>
        <w:t>GB12348-2008</w:t>
      </w:r>
      <w:r>
        <w:rPr>
          <w:color w:val="0000FF"/>
        </w:rPr>
        <w:t>）</w:t>
      </w:r>
      <w:r>
        <w:rPr>
          <w:rFonts w:ascii="Times New Roman" w:hAnsi="Times New Roman" w:eastAsia="Times New Roman"/>
          <w:color w:val="0000FF"/>
        </w:rPr>
        <w:t>2</w:t>
      </w:r>
      <w:r>
        <w:rPr>
          <w:color w:val="0000FF"/>
          <w:spacing w:val="-3"/>
        </w:rPr>
        <w:t>类标准要求</w:t>
      </w:r>
      <w:r>
        <w:rPr>
          <w:color w:val="0000FF"/>
        </w:rPr>
        <w:t>（</w:t>
      </w:r>
      <w:r>
        <w:rPr>
          <w:color w:val="0000FF"/>
          <w:spacing w:val="-2"/>
        </w:rPr>
        <w:t>昼间≤</w:t>
      </w:r>
      <w:r>
        <w:rPr>
          <w:rFonts w:ascii="Times New Roman" w:hAnsi="Times New Roman" w:eastAsia="Times New Roman"/>
          <w:color w:val="0000FF"/>
          <w:spacing w:val="-5"/>
        </w:rPr>
        <w:t>60dB</w:t>
      </w:r>
      <w:r>
        <w:rPr>
          <w:color w:val="0000FF"/>
          <w:spacing w:val="-5"/>
        </w:rPr>
        <w:t>（</w:t>
      </w:r>
      <w:r>
        <w:rPr>
          <w:rFonts w:ascii="Times New Roman" w:hAnsi="Times New Roman" w:eastAsia="Times New Roman"/>
          <w:color w:val="0000FF"/>
          <w:spacing w:val="-5"/>
        </w:rPr>
        <w:t>A</w:t>
      </w:r>
      <w:r>
        <w:rPr>
          <w:color w:val="0000FF"/>
          <w:spacing w:val="-5"/>
        </w:rPr>
        <w:t>）</w:t>
      </w:r>
      <w:r>
        <w:rPr>
          <w:color w:val="0000FF"/>
          <w:spacing w:val="-3"/>
        </w:rPr>
        <w:t>，夜间≤</w:t>
      </w:r>
      <w:r>
        <w:rPr>
          <w:rFonts w:ascii="Times New Roman" w:hAnsi="Times New Roman" w:eastAsia="Times New Roman"/>
          <w:color w:val="0000FF"/>
          <w:spacing w:val="-5"/>
        </w:rPr>
        <w:t>50dB</w:t>
      </w:r>
      <w:r>
        <w:rPr>
          <w:color w:val="0000FF"/>
          <w:spacing w:val="-5"/>
        </w:rPr>
        <w:t>（</w:t>
      </w:r>
      <w:r>
        <w:rPr>
          <w:rFonts w:ascii="Times New Roman" w:hAnsi="Times New Roman" w:eastAsia="Times New Roman"/>
          <w:color w:val="0000FF"/>
          <w:spacing w:val="-5"/>
        </w:rPr>
        <w:t>A</w:t>
      </w:r>
      <w:r>
        <w:rPr>
          <w:color w:val="0000FF"/>
          <w:spacing w:val="-5"/>
        </w:rPr>
        <w:t>））</w:t>
      </w:r>
      <w:r>
        <w:rPr>
          <w:color w:val="0000FF"/>
          <w:spacing w:val="-9"/>
        </w:rPr>
        <w:t>限值要求，项目投产后对周围声环境的影响较小。另外项目区周边距离项目区最</w:t>
      </w:r>
      <w:r>
        <w:rPr>
          <w:color w:val="0000FF"/>
          <w:spacing w:val="-13"/>
        </w:rPr>
        <w:t>近的声环境保护目标为西侧约</w:t>
      </w:r>
      <w:r>
        <w:rPr>
          <w:rFonts w:hint="eastAsia" w:ascii="Times New Roman" w:hAnsi="Times New Roman" w:eastAsia="宋体"/>
          <w:color w:val="0000FF"/>
          <w:lang w:val="en-US" w:eastAsia="zh-CN"/>
        </w:rPr>
        <w:t>1.6</w:t>
      </w:r>
      <w:r>
        <w:rPr>
          <w:rFonts w:ascii="Times New Roman" w:hAnsi="Times New Roman" w:eastAsia="Times New Roman"/>
          <w:color w:val="0000FF"/>
        </w:rPr>
        <w:t>km</w:t>
      </w:r>
      <w:r>
        <w:rPr>
          <w:color w:val="0000FF"/>
        </w:rPr>
        <w:t>处的村庄，项目产生的噪声对其影响甚微。</w:t>
      </w:r>
    </w:p>
    <w:p>
      <w:pPr>
        <w:pStyle w:val="5"/>
        <w:numPr>
          <w:ilvl w:val="2"/>
          <w:numId w:val="46"/>
        </w:numPr>
        <w:tabs>
          <w:tab w:val="left" w:pos="1241"/>
        </w:tabs>
        <w:spacing w:before="73" w:after="0" w:line="240" w:lineRule="auto"/>
        <w:ind w:left="1240" w:right="0" w:hanging="701"/>
        <w:jc w:val="left"/>
        <w:outlineLvl w:val="2"/>
      </w:pPr>
      <w:bookmarkStart w:id="306" w:name="5.2.4 固体废物环境影响分析"/>
      <w:bookmarkEnd w:id="306"/>
      <w:bookmarkStart w:id="307" w:name="5.2.4 固体废物环境影响分析"/>
      <w:bookmarkEnd w:id="307"/>
      <w:bookmarkStart w:id="308" w:name="_Toc11602"/>
      <w:r>
        <w:t>固体废物环境影响分析</w:t>
      </w:r>
      <w:bookmarkEnd w:id="308"/>
    </w:p>
    <w:p>
      <w:pPr>
        <w:pStyle w:val="7"/>
        <w:spacing w:before="5"/>
        <w:ind w:left="0"/>
        <w:rPr>
          <w:b/>
          <w:sz w:val="21"/>
        </w:rPr>
      </w:pPr>
    </w:p>
    <w:p>
      <w:pPr>
        <w:pStyle w:val="7"/>
        <w:spacing w:line="364" w:lineRule="auto"/>
        <w:ind w:right="575" w:firstLine="480"/>
      </w:pPr>
      <w:r>
        <w:rPr>
          <w:spacing w:val="-6"/>
        </w:rPr>
        <w:t>本项目产生的固体废物主要为羊粪及粪渣、废弃垫料、病死羊及分娩物、医</w:t>
      </w:r>
      <w:r>
        <w:t>疗垃圾、生活垃圾。</w:t>
      </w:r>
    </w:p>
    <w:p>
      <w:pPr>
        <w:pStyle w:val="18"/>
        <w:numPr>
          <w:ilvl w:val="0"/>
          <w:numId w:val="55"/>
        </w:numPr>
        <w:tabs>
          <w:tab w:val="left" w:pos="1621"/>
        </w:tabs>
        <w:spacing w:before="1" w:after="0" w:line="240" w:lineRule="auto"/>
        <w:ind w:left="1621" w:right="0" w:hanging="601"/>
        <w:jc w:val="left"/>
        <w:rPr>
          <w:sz w:val="24"/>
        </w:rPr>
      </w:pPr>
      <w:r>
        <w:rPr>
          <w:sz w:val="24"/>
        </w:rPr>
        <w:t>羊粪及粪渣</w:t>
      </w:r>
    </w:p>
    <w:p>
      <w:pPr>
        <w:pStyle w:val="7"/>
        <w:spacing w:before="161" w:line="364" w:lineRule="auto"/>
        <w:ind w:right="577" w:firstLine="480"/>
        <w:jc w:val="both"/>
        <w:rPr>
          <w:color w:val="0000FF"/>
        </w:rPr>
      </w:pPr>
      <w:r>
        <w:rPr>
          <w:color w:val="0000FF"/>
          <w:spacing w:val="-7"/>
        </w:rPr>
        <w:t>根据《畜禽养殖业污染治理工程技术规范》</w:t>
      </w:r>
      <w:r>
        <w:rPr>
          <w:color w:val="0000FF"/>
        </w:rPr>
        <w:t>（</w:t>
      </w:r>
      <w:r>
        <w:rPr>
          <w:rFonts w:ascii="Times New Roman" w:eastAsia="Times New Roman"/>
          <w:color w:val="0000FF"/>
        </w:rPr>
        <w:t>HJ497-2009</w:t>
      </w:r>
      <w:r>
        <w:rPr>
          <w:color w:val="0000FF"/>
        </w:rPr>
        <w:t>）</w:t>
      </w:r>
      <w:r>
        <w:rPr>
          <w:color w:val="0000FF"/>
          <w:spacing w:val="-6"/>
        </w:rPr>
        <w:t>和《畜禽养殖业</w:t>
      </w:r>
      <w:r>
        <w:rPr>
          <w:color w:val="0000FF"/>
        </w:rPr>
        <w:t>污染防治技术规范》（</w:t>
      </w:r>
      <w:r>
        <w:rPr>
          <w:rFonts w:ascii="Times New Roman" w:eastAsia="Times New Roman"/>
          <w:color w:val="0000FF"/>
        </w:rPr>
        <w:t>HT/T81-2001</w:t>
      </w:r>
      <w:r>
        <w:rPr>
          <w:color w:val="0000FF"/>
        </w:rPr>
        <w:t>）的要求，新建畜禽养殖场采取干法清粪工</w:t>
      </w:r>
      <w:r>
        <w:rPr>
          <w:color w:val="0000FF"/>
          <w:spacing w:val="-10"/>
        </w:rPr>
        <w:t>艺，采取人工或机械方式将牲畜类便及时、单独清出。根据生态与农村环境学报</w:t>
      </w:r>
    </w:p>
    <w:p>
      <w:pPr>
        <w:pStyle w:val="7"/>
        <w:spacing w:before="2" w:line="364" w:lineRule="auto"/>
        <w:ind w:right="457"/>
        <w:jc w:val="both"/>
        <w:rPr>
          <w:color w:val="0000FF"/>
        </w:rPr>
      </w:pPr>
      <w:r>
        <w:rPr>
          <w:color w:val="0000FF"/>
          <w:spacing w:val="-13"/>
        </w:rPr>
        <w:t>《集约化养殖场羊与羊粪尿产生量的监测》可知，每只羊每天可产生羊粪</w:t>
      </w:r>
      <w:r>
        <w:rPr>
          <w:rFonts w:ascii="Times New Roman" w:eastAsia="Times New Roman"/>
          <w:color w:val="0000FF"/>
          <w:spacing w:val="-3"/>
        </w:rPr>
        <w:t>1.09kg</w:t>
      </w:r>
      <w:r>
        <w:rPr>
          <w:color w:val="0000FF"/>
          <w:spacing w:val="-3"/>
        </w:rPr>
        <w:t>，</w:t>
      </w:r>
      <w:r>
        <w:rPr>
          <w:color w:val="0000FF"/>
          <w:spacing w:val="-7"/>
        </w:rPr>
        <w:t>本项目肉羊存栏量</w:t>
      </w:r>
      <w:r>
        <w:rPr>
          <w:rFonts w:hint="eastAsia"/>
          <w:color w:val="0000FF"/>
          <w:spacing w:val="-7"/>
          <w:lang w:val="en-US" w:eastAsia="zh-CN"/>
        </w:rPr>
        <w:t>10</w:t>
      </w:r>
      <w:r>
        <w:rPr>
          <w:color w:val="0000FF"/>
        </w:rPr>
        <w:t>万只</w:t>
      </w:r>
      <w:r>
        <w:rPr>
          <w:rFonts w:ascii="Times New Roman" w:eastAsia="Times New Roman"/>
          <w:color w:val="0000FF"/>
        </w:rPr>
        <w:t>/a</w:t>
      </w:r>
      <w:r>
        <w:rPr>
          <w:color w:val="0000FF"/>
          <w:spacing w:val="-4"/>
        </w:rPr>
        <w:t>，由此计算得出，本项目羊粪产生量为</w:t>
      </w:r>
      <w:r>
        <w:rPr>
          <w:rFonts w:hint="eastAsia" w:ascii="Times New Roman" w:eastAsia="宋体"/>
          <w:color w:val="0000FF"/>
          <w:lang w:val="en-US" w:eastAsia="zh-CN"/>
        </w:rPr>
        <w:t>39785</w:t>
      </w:r>
      <w:r>
        <w:rPr>
          <w:rFonts w:ascii="Times New Roman" w:eastAsia="Times New Roman"/>
          <w:color w:val="0000FF"/>
        </w:rPr>
        <w:t>t/a</w:t>
      </w:r>
      <w:r>
        <w:rPr>
          <w:color w:val="0000FF"/>
        </w:rPr>
        <w:t>，每天产生的粪便由人工清理至堆肥厂通过高温堆肥发酵处理方式对固体粪污进</w:t>
      </w:r>
      <w:r>
        <w:rPr>
          <w:color w:val="0000FF"/>
          <w:spacing w:val="-3"/>
        </w:rPr>
        <w:t>行无害化处理，符合《粪便无害化卫生要求》</w:t>
      </w:r>
      <w:r>
        <w:rPr>
          <w:color w:val="0000FF"/>
        </w:rPr>
        <w:t>（</w:t>
      </w:r>
      <w:r>
        <w:rPr>
          <w:rFonts w:ascii="Times New Roman" w:eastAsia="Times New Roman"/>
          <w:color w:val="0000FF"/>
        </w:rPr>
        <w:t>GB7959-2012</w:t>
      </w:r>
      <w:r>
        <w:rPr>
          <w:color w:val="0000FF"/>
        </w:rPr>
        <w:t>）</w:t>
      </w:r>
      <w:r>
        <w:rPr>
          <w:color w:val="0000FF"/>
          <w:spacing w:val="-2"/>
        </w:rPr>
        <w:t>后，外售给附近</w:t>
      </w:r>
      <w:r>
        <w:rPr>
          <w:color w:val="0000FF"/>
          <w:spacing w:val="-9"/>
        </w:rPr>
        <w:t>村民，直接还田进行土地利用，禁止未经处理的畜禽粪便直接施入农田。环评要</w:t>
      </w:r>
      <w:r>
        <w:rPr>
          <w:color w:val="0000FF"/>
          <w:spacing w:val="-15"/>
        </w:rPr>
        <w:t>求堆肥厂必须建设遮雨棚、防风墙、截洪沟，防止雨水对羊粪的冲刷造成水体污染。同时，羊粪不能直接堆放裸露地面，堆方场所必须要有防渗漏、溢流措施，不会对周边环境造成不利影响。</w:t>
      </w:r>
    </w:p>
    <w:p>
      <w:pPr>
        <w:pStyle w:val="18"/>
        <w:numPr>
          <w:ilvl w:val="0"/>
          <w:numId w:val="55"/>
        </w:numPr>
        <w:tabs>
          <w:tab w:val="left" w:pos="1621"/>
        </w:tabs>
        <w:spacing w:before="4" w:after="0" w:line="240" w:lineRule="auto"/>
        <w:ind w:left="1621" w:right="0" w:hanging="601"/>
        <w:jc w:val="left"/>
        <w:rPr>
          <w:sz w:val="24"/>
        </w:rPr>
      </w:pPr>
      <w:r>
        <w:rPr>
          <w:sz w:val="24"/>
        </w:rPr>
        <w:t>废弃垫料</w:t>
      </w:r>
    </w:p>
    <w:p>
      <w:pPr>
        <w:pStyle w:val="7"/>
        <w:spacing w:before="161" w:line="364" w:lineRule="auto"/>
        <w:ind w:right="452" w:firstLine="480"/>
        <w:jc w:val="both"/>
        <w:rPr>
          <w:color w:val="0000FF"/>
        </w:rPr>
      </w:pPr>
      <w:r>
        <w:rPr>
          <w:color w:val="0000FF"/>
          <w:spacing w:val="-4"/>
        </w:rPr>
        <w:t>本项目养殖场每栋羊舍地面为混凝土地面，上端覆盖</w:t>
      </w:r>
      <w:r>
        <w:rPr>
          <w:rFonts w:ascii="Times New Roman" w:eastAsia="Times New Roman"/>
          <w:color w:val="0000FF"/>
        </w:rPr>
        <w:t>35cm</w:t>
      </w:r>
      <w:r>
        <w:rPr>
          <w:color w:val="0000FF"/>
          <w:spacing w:val="-4"/>
        </w:rPr>
        <w:t>厚垫料，铺设垫</w:t>
      </w:r>
      <w:r>
        <w:rPr>
          <w:color w:val="0000FF"/>
          <w:spacing w:val="-10"/>
        </w:rPr>
        <w:t>床一般采用废气杂草、农作物秸秆粉、锯末等农业材料，羊排泄的尿液和粪便进</w:t>
      </w:r>
      <w:r>
        <w:rPr>
          <w:color w:val="0000FF"/>
          <w:spacing w:val="9"/>
        </w:rPr>
        <w:t>入垫料，经羊踩结形成粪床。一般羊舍的垫料约</w:t>
      </w:r>
      <w:r>
        <w:rPr>
          <w:rFonts w:ascii="Times New Roman" w:eastAsia="Times New Roman"/>
          <w:color w:val="0000FF"/>
        </w:rPr>
        <w:t>2.5kg/m</w:t>
      </w:r>
      <w:r>
        <w:rPr>
          <w:rFonts w:ascii="Times New Roman" w:eastAsia="Times New Roman"/>
          <w:color w:val="0000FF"/>
          <w:position w:val="8"/>
          <w:sz w:val="15"/>
        </w:rPr>
        <w:t>2</w:t>
      </w:r>
      <w:r>
        <w:rPr>
          <w:color w:val="0000FF"/>
          <w:spacing w:val="11"/>
        </w:rPr>
        <w:t>，羊舍总建筑面积</w:t>
      </w:r>
      <w:r>
        <w:rPr>
          <w:rFonts w:hint="eastAsia" w:ascii="Times New Roman" w:eastAsia="宋体"/>
          <w:color w:val="0000FF"/>
          <w:spacing w:val="11"/>
          <w:lang w:val="en-US" w:eastAsia="zh-CN"/>
        </w:rPr>
        <w:t>9600</w:t>
      </w:r>
      <w:r>
        <w:rPr>
          <w:rFonts w:ascii="Times New Roman" w:eastAsia="Times New Roman"/>
          <w:color w:val="0000FF"/>
          <w:spacing w:val="-2"/>
        </w:rPr>
        <w:t>m</w:t>
      </w:r>
      <w:r>
        <w:rPr>
          <w:rFonts w:ascii="Times New Roman" w:eastAsia="Times New Roman"/>
          <w:color w:val="0000FF"/>
          <w:spacing w:val="1"/>
          <w:w w:val="104"/>
          <w:position w:val="8"/>
          <w:sz w:val="15"/>
        </w:rPr>
        <w:t>2</w:t>
      </w:r>
      <w:r>
        <w:rPr>
          <w:color w:val="0000FF"/>
          <w:spacing w:val="-11"/>
        </w:rPr>
        <w:t>，因此本项目最终废弃垫料的产生量为</w:t>
      </w:r>
      <w:r>
        <w:rPr>
          <w:rFonts w:hint="eastAsia" w:ascii="Times New Roman" w:eastAsia="宋体"/>
          <w:color w:val="0000FF"/>
          <w:lang w:val="en-US" w:eastAsia="zh-CN"/>
        </w:rPr>
        <w:t>24</w:t>
      </w:r>
      <w:r>
        <w:rPr>
          <w:rFonts w:ascii="Times New Roman" w:eastAsia="Times New Roman"/>
          <w:color w:val="0000FF"/>
        </w:rPr>
        <w:t>t/</w:t>
      </w:r>
      <w:r>
        <w:rPr>
          <w:rFonts w:ascii="Times New Roman" w:eastAsia="Times New Roman"/>
          <w:color w:val="0000FF"/>
          <w:spacing w:val="-1"/>
        </w:rPr>
        <w:t>a</w:t>
      </w:r>
      <w:r>
        <w:rPr>
          <w:color w:val="0000FF"/>
          <w:spacing w:val="-9"/>
        </w:rPr>
        <w:t>。根据业主提供的资料，</w:t>
      </w:r>
      <w:r>
        <w:rPr>
          <w:color w:val="0000FF"/>
          <w:spacing w:val="-16"/>
        </w:rPr>
        <w:t>粪床每</w:t>
      </w:r>
      <w:r>
        <w:rPr>
          <w:rFonts w:ascii="Times New Roman" w:eastAsia="Times New Roman"/>
          <w:color w:val="0000FF"/>
        </w:rPr>
        <w:t>1</w:t>
      </w:r>
      <w:r>
        <w:rPr>
          <w:color w:val="0000FF"/>
          <w:spacing w:val="-16"/>
        </w:rPr>
        <w:t>年清理一次，垫料层与羊粪、粪渣一起进入堆肥厂高温发酵无害化处理，</w:t>
      </w:r>
      <w:r>
        <w:rPr>
          <w:color w:val="0000FF"/>
        </w:rPr>
        <w:t>不外排，实现综合利用。</w:t>
      </w:r>
    </w:p>
    <w:p>
      <w:pPr>
        <w:pStyle w:val="18"/>
        <w:numPr>
          <w:ilvl w:val="0"/>
          <w:numId w:val="55"/>
        </w:numPr>
        <w:tabs>
          <w:tab w:val="left" w:pos="1621"/>
        </w:tabs>
        <w:spacing w:before="3" w:after="0" w:line="240" w:lineRule="auto"/>
        <w:ind w:left="1621" w:right="0" w:hanging="601"/>
        <w:jc w:val="left"/>
        <w:rPr>
          <w:color w:val="0000FF"/>
          <w:sz w:val="24"/>
        </w:rPr>
      </w:pPr>
      <w:r>
        <w:rPr>
          <w:color w:val="0000FF"/>
          <w:sz w:val="24"/>
        </w:rPr>
        <w:t>病死羊</w:t>
      </w:r>
    </w:p>
    <w:p>
      <w:pPr>
        <w:pStyle w:val="7"/>
        <w:spacing w:before="161" w:line="364" w:lineRule="auto"/>
        <w:ind w:right="365" w:firstLine="480"/>
        <w:rPr>
          <w:color w:val="0000FF"/>
        </w:rPr>
      </w:pPr>
      <w:r>
        <w:rPr>
          <w:color w:val="0000FF"/>
          <w:spacing w:val="-7"/>
        </w:rPr>
        <w:t>根据环办函</w:t>
      </w:r>
      <w:r>
        <w:rPr>
          <w:color w:val="0000FF"/>
          <w:spacing w:val="-4"/>
        </w:rPr>
        <w:t>［</w:t>
      </w:r>
      <w:r>
        <w:rPr>
          <w:rFonts w:ascii="Times New Roman" w:hAnsi="Times New Roman" w:eastAsia="Times New Roman"/>
          <w:color w:val="0000FF"/>
          <w:spacing w:val="-4"/>
        </w:rPr>
        <w:t>2014</w:t>
      </w:r>
      <w:r>
        <w:rPr>
          <w:color w:val="0000FF"/>
          <w:spacing w:val="-4"/>
        </w:rPr>
        <w:t>］</w:t>
      </w:r>
      <w:r>
        <w:rPr>
          <w:rFonts w:ascii="Times New Roman" w:hAnsi="Times New Roman" w:eastAsia="Times New Roman"/>
          <w:color w:val="0000FF"/>
          <w:spacing w:val="-4"/>
        </w:rPr>
        <w:t>789</w:t>
      </w:r>
      <w:r>
        <w:rPr>
          <w:color w:val="0000FF"/>
          <w:spacing w:val="-9"/>
        </w:rPr>
        <w:t>号文《关于病害动物无害化处理有关意见的复函》：</w:t>
      </w:r>
      <w:r>
        <w:rPr>
          <w:color w:val="0000FF"/>
        </w:rPr>
        <w:t>“病害动物无害化处理项目由农业部门按照有关法律法规和技术规范进行监管，</w:t>
      </w:r>
      <w:r>
        <w:rPr>
          <w:color w:val="0000FF"/>
          <w:spacing w:val="-4"/>
        </w:rPr>
        <w:t>可以实现病害动物无害化处理和环境污染防控的目的，不宜再认定为危险废物集中处置项目。病害动物的无害化处理应执行《动物防治法》。”</w:t>
      </w:r>
    </w:p>
    <w:p>
      <w:pPr>
        <w:pStyle w:val="7"/>
        <w:spacing w:before="2"/>
        <w:ind w:left="1020"/>
        <w:rPr>
          <w:rFonts w:hint="default" w:ascii="Times New Roman" w:eastAsia="宋体"/>
          <w:color w:val="0000FF"/>
          <w:lang w:val="en-US" w:eastAsia="zh-CN"/>
        </w:rPr>
      </w:pPr>
      <w:r>
        <w:rPr>
          <w:color w:val="0000FF"/>
        </w:rPr>
        <w:t>类比分析，羊的病死率按</w:t>
      </w:r>
      <w:r>
        <w:rPr>
          <w:rFonts w:ascii="Times New Roman" w:eastAsia="Times New Roman"/>
          <w:color w:val="0000FF"/>
        </w:rPr>
        <w:t>0.5%</w:t>
      </w:r>
      <w:r>
        <w:rPr>
          <w:color w:val="0000FF"/>
        </w:rPr>
        <w:t>计，羊只出栏量</w:t>
      </w:r>
      <w:r>
        <w:rPr>
          <w:rFonts w:hint="eastAsia" w:ascii="Times New Roman" w:eastAsia="宋体"/>
          <w:color w:val="0000FF"/>
          <w:lang w:val="en-US" w:eastAsia="zh-CN"/>
        </w:rPr>
        <w:t>4</w:t>
      </w:r>
      <w:r>
        <w:rPr>
          <w:color w:val="0000FF"/>
        </w:rPr>
        <w:t>万只，则年死亡羊</w:t>
      </w:r>
      <w:r>
        <w:rPr>
          <w:rFonts w:hint="eastAsia" w:ascii="Times New Roman" w:eastAsia="宋体"/>
          <w:color w:val="0000FF"/>
          <w:lang w:val="en-US" w:eastAsia="zh-CN"/>
        </w:rPr>
        <w:t>200</w:t>
      </w:r>
    </w:p>
    <w:p>
      <w:pPr>
        <w:pStyle w:val="7"/>
        <w:spacing w:before="161"/>
        <w:rPr>
          <w:color w:val="0000FF"/>
        </w:rPr>
      </w:pPr>
      <w:r>
        <w:rPr>
          <w:color w:val="0000FF"/>
        </w:rPr>
        <w:t>只，每只羊重约</w:t>
      </w:r>
      <w:r>
        <w:rPr>
          <w:rFonts w:ascii="Times New Roman" w:eastAsia="Times New Roman"/>
          <w:color w:val="0000FF"/>
        </w:rPr>
        <w:t>40kg</w:t>
      </w:r>
      <w:r>
        <w:rPr>
          <w:color w:val="0000FF"/>
        </w:rPr>
        <w:t>，合计</w:t>
      </w:r>
      <w:r>
        <w:rPr>
          <w:rFonts w:ascii="Times New Roman" w:eastAsia="Times New Roman"/>
          <w:color w:val="0000FF"/>
        </w:rPr>
        <w:t>8t</w:t>
      </w:r>
      <w:r>
        <w:rPr>
          <w:color w:val="0000FF"/>
        </w:rPr>
        <w:t>。本项目运营期估算病死羊量约</w:t>
      </w:r>
      <w:r>
        <w:rPr>
          <w:rFonts w:ascii="Times New Roman" w:eastAsia="Times New Roman"/>
          <w:color w:val="0000FF"/>
        </w:rPr>
        <w:t>8t/a</w:t>
      </w:r>
      <w:r>
        <w:rPr>
          <w:color w:val="0000FF"/>
        </w:rPr>
        <w:t>。</w:t>
      </w:r>
    </w:p>
    <w:p>
      <w:pPr>
        <w:pStyle w:val="7"/>
        <w:spacing w:before="9"/>
        <w:ind w:left="0"/>
        <w:rPr>
          <w:sz w:val="9"/>
        </w:rPr>
      </w:pPr>
    </w:p>
    <w:p>
      <w:pPr>
        <w:pStyle w:val="7"/>
        <w:spacing w:before="66" w:line="360" w:lineRule="auto"/>
        <w:ind w:right="577" w:firstLine="480"/>
        <w:jc w:val="both"/>
      </w:pPr>
      <w:r>
        <w:rPr>
          <w:spacing w:val="-7"/>
        </w:rPr>
        <w:t>病羊进入隔离室进行注射治疗，治理康复后继续饲养，疫病羊按照《病害动</w:t>
      </w:r>
      <w:r>
        <w:t>物和病害动物产品生物安全处理规程》（</w:t>
      </w:r>
      <w:r>
        <w:rPr>
          <w:rFonts w:ascii="Times New Roman" w:hAnsi="Times New Roman" w:eastAsia="Times New Roman"/>
        </w:rPr>
        <w:t>GB16548-2006</w:t>
      </w:r>
      <w:r>
        <w:t>）的相关要求，“确认</w:t>
      </w:r>
      <w:r>
        <w:rPr>
          <w:spacing w:val="-10"/>
        </w:rPr>
        <w:t>山羊痘、山羊关节炎脑炎、高致病性禽流感、羊快疫、羊肠毒血症、羊猝狙以及</w:t>
      </w:r>
      <w:r>
        <w:t>其他严重危害人畜健康的病害动物及其产品”必须予以销毁。</w:t>
      </w:r>
    </w:p>
    <w:p>
      <w:pPr>
        <w:pStyle w:val="7"/>
        <w:spacing w:line="360" w:lineRule="auto"/>
        <w:ind w:right="577" w:firstLine="480"/>
        <w:jc w:val="both"/>
      </w:pPr>
      <w:r>
        <w:rPr>
          <w:spacing w:val="-6"/>
        </w:rPr>
        <w:t>本项目病死羊采用干化法畜禽无害化处理方式处理。计划项目区拟建畜禽无</w:t>
      </w:r>
      <w:r>
        <w:rPr>
          <w:spacing w:val="-2"/>
        </w:rPr>
        <w:t>害化处理车间，并购进畜禽无害化处理</w:t>
      </w:r>
      <w:r>
        <w:rPr>
          <w:rFonts w:ascii="Times New Roman" w:eastAsia="Times New Roman"/>
        </w:rPr>
        <w:t>1</w:t>
      </w:r>
      <w:r>
        <w:t>吨</w:t>
      </w:r>
      <w:r>
        <w:rPr>
          <w:rFonts w:ascii="Times New Roman" w:eastAsia="Times New Roman"/>
        </w:rPr>
        <w:t>/</w:t>
      </w:r>
      <w:r>
        <w:t>次成套设备，采用高温高压灭菌技</w:t>
      </w:r>
      <w:r>
        <w:rPr>
          <w:spacing w:val="-12"/>
        </w:rPr>
        <w:t>术，大型动物无需肢解，可直接进行处理，处理后的产物可出售给肉骨粉干品生</w:t>
      </w:r>
      <w:r>
        <w:rPr>
          <w:spacing w:val="-8"/>
        </w:rPr>
        <w:t>产厂和工业用油脂厂，综合利用，符合国家防疫法规要求。因此病死羊及分娩物</w:t>
      </w:r>
      <w:r>
        <w:t>对周边环境影响较小。</w:t>
      </w:r>
    </w:p>
    <w:p>
      <w:pPr>
        <w:pStyle w:val="18"/>
        <w:numPr>
          <w:ilvl w:val="0"/>
          <w:numId w:val="55"/>
        </w:numPr>
        <w:tabs>
          <w:tab w:val="left" w:pos="1621"/>
        </w:tabs>
        <w:spacing w:before="0" w:after="0" w:line="300" w:lineRule="exact"/>
        <w:ind w:left="1621" w:right="0" w:hanging="601"/>
        <w:jc w:val="left"/>
        <w:rPr>
          <w:sz w:val="24"/>
        </w:rPr>
      </w:pPr>
      <w:r>
        <w:rPr>
          <w:sz w:val="24"/>
        </w:rPr>
        <w:t>肉骨粉和油脂</w:t>
      </w:r>
    </w:p>
    <w:p>
      <w:pPr>
        <w:pStyle w:val="7"/>
        <w:spacing w:before="150" w:line="360" w:lineRule="auto"/>
        <w:ind w:right="577" w:firstLine="480"/>
        <w:rPr>
          <w:color w:val="0000FF"/>
        </w:rPr>
      </w:pPr>
      <w:r>
        <w:rPr>
          <w:color w:val="0000FF"/>
          <w:spacing w:val="-5"/>
        </w:rPr>
        <w:t>本项目病死畜禽无害化处理最终得到肉骨粉干品和工业用油脂。据调查每处理一吨病死动物，产出肉骨粉</w:t>
      </w:r>
      <w:r>
        <w:rPr>
          <w:rFonts w:ascii="Times New Roman" w:eastAsia="Times New Roman"/>
          <w:color w:val="0000FF"/>
        </w:rPr>
        <w:t>330kg</w:t>
      </w:r>
      <w:r>
        <w:rPr>
          <w:color w:val="0000FF"/>
          <w:spacing w:val="-6"/>
        </w:rPr>
        <w:t>左右、产出工业用油脂</w:t>
      </w:r>
      <w:r>
        <w:rPr>
          <w:rFonts w:ascii="Times New Roman" w:eastAsia="Times New Roman"/>
          <w:color w:val="0000FF"/>
        </w:rPr>
        <w:t>130kg</w:t>
      </w:r>
      <w:r>
        <w:rPr>
          <w:color w:val="0000FF"/>
        </w:rPr>
        <w:t>左右。</w:t>
      </w:r>
    </w:p>
    <w:p>
      <w:pPr>
        <w:pStyle w:val="7"/>
        <w:spacing w:line="304" w:lineRule="exact"/>
        <w:ind w:left="1020"/>
        <w:rPr>
          <w:color w:val="0000FF"/>
        </w:rPr>
      </w:pPr>
      <w:r>
        <w:rPr>
          <w:color w:val="0000FF"/>
        </w:rPr>
        <w:t>本项目年处理病死羊量为</w:t>
      </w:r>
      <w:r>
        <w:rPr>
          <w:rFonts w:ascii="Times New Roman" w:eastAsia="Times New Roman"/>
          <w:color w:val="0000FF"/>
        </w:rPr>
        <w:t>8t/a</w:t>
      </w:r>
      <w:r>
        <w:rPr>
          <w:color w:val="0000FF"/>
        </w:rPr>
        <w:t>，得到肉骨粉</w:t>
      </w:r>
      <w:r>
        <w:rPr>
          <w:rFonts w:hint="eastAsia"/>
          <w:color w:val="0000FF"/>
          <w:lang w:val="en-US" w:eastAsia="zh-CN"/>
        </w:rPr>
        <w:t>2.64</w:t>
      </w:r>
      <w:r>
        <w:rPr>
          <w:rFonts w:ascii="Times New Roman" w:eastAsia="Times New Roman"/>
          <w:color w:val="0000FF"/>
        </w:rPr>
        <w:t>t/a</w:t>
      </w:r>
      <w:r>
        <w:rPr>
          <w:color w:val="0000FF"/>
        </w:rPr>
        <w:t>，油脂</w:t>
      </w:r>
      <w:r>
        <w:rPr>
          <w:rFonts w:hint="eastAsia" w:ascii="Times New Roman" w:eastAsia="宋体"/>
          <w:color w:val="0000FF"/>
          <w:lang w:val="en-US" w:eastAsia="zh-CN"/>
        </w:rPr>
        <w:t>1.04</w:t>
      </w:r>
      <w:r>
        <w:rPr>
          <w:rFonts w:ascii="Times New Roman" w:eastAsia="Times New Roman"/>
          <w:color w:val="0000FF"/>
        </w:rPr>
        <w:t>4t/a</w:t>
      </w:r>
      <w:r>
        <w:rPr>
          <w:color w:val="0000FF"/>
        </w:rPr>
        <w:t>。</w:t>
      </w:r>
    </w:p>
    <w:p>
      <w:pPr>
        <w:pStyle w:val="7"/>
        <w:spacing w:before="153" w:line="360" w:lineRule="auto"/>
        <w:ind w:right="577" w:firstLine="480"/>
        <w:rPr>
          <w:color w:val="0000FF"/>
        </w:rPr>
      </w:pPr>
      <w:r>
        <w:rPr>
          <w:color w:val="0000FF"/>
          <w:spacing w:val="-7"/>
        </w:rPr>
        <w:t>肉骨粉可出售给肉骨粉干品生产厂；油脂可作为化工用油及生物柴油的原料</w:t>
      </w:r>
      <w:r>
        <w:rPr>
          <w:color w:val="0000FF"/>
        </w:rPr>
        <w:t>出售给工业用油脂厂。</w:t>
      </w:r>
    </w:p>
    <w:p>
      <w:pPr>
        <w:pStyle w:val="18"/>
        <w:numPr>
          <w:ilvl w:val="0"/>
          <w:numId w:val="55"/>
        </w:numPr>
        <w:tabs>
          <w:tab w:val="left" w:pos="1621"/>
        </w:tabs>
        <w:spacing w:before="0" w:after="0" w:line="304" w:lineRule="exact"/>
        <w:ind w:left="1621" w:right="0" w:hanging="601"/>
        <w:jc w:val="left"/>
        <w:rPr>
          <w:sz w:val="24"/>
        </w:rPr>
      </w:pPr>
      <w:r>
        <w:rPr>
          <w:sz w:val="24"/>
        </w:rPr>
        <w:t>消毒、防疫废物</w:t>
      </w:r>
    </w:p>
    <w:p>
      <w:pPr>
        <w:pStyle w:val="7"/>
        <w:spacing w:before="153" w:line="357" w:lineRule="auto"/>
        <w:ind w:right="577" w:firstLine="480"/>
        <w:jc w:val="both"/>
      </w:pPr>
      <w:r>
        <w:rPr>
          <w:spacing w:val="-11"/>
        </w:rPr>
        <w:t>消毒、防疫废物包括羊消毒废碘液、消毒过程产生废消毒液和羊分娩过程及</w:t>
      </w:r>
      <w:r>
        <w:rPr>
          <w:spacing w:val="-6"/>
        </w:rPr>
        <w:t>防疫过程中产生的一定量医疗垃圾，主要为注射器、消毒棉、药品包装等。类比</w:t>
      </w:r>
      <w:r>
        <w:rPr>
          <w:spacing w:val="-4"/>
        </w:rPr>
        <w:t>同类项目，消毒、防疫废物产生量约为</w:t>
      </w:r>
      <w:r>
        <w:rPr>
          <w:rFonts w:ascii="Times New Roman" w:eastAsia="Times New Roman"/>
        </w:rPr>
        <w:t>0.2t/a</w:t>
      </w:r>
      <w:r>
        <w:t>。</w:t>
      </w:r>
    </w:p>
    <w:p>
      <w:pPr>
        <w:pStyle w:val="7"/>
        <w:spacing w:before="6" w:line="357" w:lineRule="auto"/>
        <w:ind w:right="577" w:firstLine="480"/>
        <w:jc w:val="both"/>
      </w:pPr>
      <w:r>
        <w:rPr>
          <w:spacing w:val="-8"/>
        </w:rPr>
        <w:t>根据《国家危险废物名录》</w:t>
      </w:r>
      <w:r>
        <w:rPr>
          <w:spacing w:val="-5"/>
        </w:rPr>
        <w:t>（</w:t>
      </w:r>
      <w:r>
        <w:rPr>
          <w:rFonts w:ascii="Times New Roman" w:eastAsia="Times New Roman"/>
          <w:spacing w:val="-5"/>
        </w:rPr>
        <w:t>2016</w:t>
      </w:r>
      <w:r>
        <w:rPr>
          <w:spacing w:val="-5"/>
        </w:rPr>
        <w:t>），医疗垃圾属于危险废物，废物类别为</w:t>
      </w:r>
      <w:r>
        <w:rPr>
          <w:rFonts w:ascii="Times New Roman" w:eastAsia="Times New Roman"/>
        </w:rPr>
        <w:t>HW01</w:t>
      </w:r>
      <w:r>
        <w:t>医疗废物。消毒、防疫垃圾由项目所在乡镇</w:t>
      </w:r>
      <w:r>
        <w:rPr>
          <w:rFonts w:hint="eastAsia"/>
          <w:lang w:eastAsia="zh-CN"/>
        </w:rPr>
        <w:t>莎车</w:t>
      </w:r>
      <w:r>
        <w:t>乡兽医站以及村级防疫中心委托有资质的单位处理处置。</w:t>
      </w:r>
    </w:p>
    <w:p>
      <w:pPr>
        <w:pStyle w:val="18"/>
        <w:numPr>
          <w:ilvl w:val="0"/>
          <w:numId w:val="55"/>
        </w:numPr>
        <w:tabs>
          <w:tab w:val="left" w:pos="1621"/>
        </w:tabs>
        <w:spacing w:before="5" w:after="0" w:line="240" w:lineRule="auto"/>
        <w:ind w:left="1621" w:right="0" w:hanging="601"/>
        <w:jc w:val="left"/>
        <w:rPr>
          <w:sz w:val="24"/>
        </w:rPr>
      </w:pPr>
      <w:r>
        <w:rPr>
          <w:sz w:val="24"/>
        </w:rPr>
        <w:t>兽用医疗废物</w:t>
      </w:r>
    </w:p>
    <w:p>
      <w:pPr>
        <w:pStyle w:val="7"/>
        <w:spacing w:before="153" w:line="357" w:lineRule="auto"/>
        <w:ind w:right="577" w:firstLine="480"/>
        <w:jc w:val="both"/>
        <w:rPr>
          <w:sz w:val="9"/>
        </w:rPr>
      </w:pPr>
      <w:r>
        <w:rPr>
          <w:spacing w:val="1"/>
        </w:rPr>
        <w:t>本项目充分发挥</w:t>
      </w:r>
      <w:r>
        <w:rPr>
          <w:rFonts w:hint="eastAsia"/>
          <w:spacing w:val="1"/>
          <w:lang w:eastAsia="zh-CN"/>
        </w:rPr>
        <w:t>莎车</w:t>
      </w:r>
      <w:r>
        <w:rPr>
          <w:spacing w:val="1"/>
        </w:rPr>
        <w:t>县农业农村局和</w:t>
      </w:r>
      <w:r>
        <w:rPr>
          <w:rFonts w:hint="eastAsia"/>
          <w:spacing w:val="1"/>
          <w:lang w:eastAsia="zh-CN"/>
        </w:rPr>
        <w:t>莎车</w:t>
      </w:r>
      <w:r>
        <w:rPr>
          <w:spacing w:val="1"/>
        </w:rPr>
        <w:t>乡镇兽医站以及村级防疫中心在</w:t>
      </w:r>
      <w:r>
        <w:rPr>
          <w:spacing w:val="-9"/>
        </w:rPr>
        <w:t>养殖工作的作用，负责标准化羊产业养殖场的日常防疫工作；</w:t>
      </w:r>
      <w:r>
        <w:rPr>
          <w:rFonts w:hint="eastAsia"/>
          <w:spacing w:val="-9"/>
          <w:lang w:eastAsia="zh-CN"/>
        </w:rPr>
        <w:t>莎车</w:t>
      </w:r>
      <w:r>
        <w:rPr>
          <w:spacing w:val="-9"/>
        </w:rPr>
        <w:t>县农业农村局</w:t>
      </w:r>
      <w:r>
        <w:t>作为技术指导单位，负责羊产业养殖场的全局防疫工作。</w:t>
      </w:r>
      <w:r>
        <w:rPr>
          <w:spacing w:val="-6"/>
        </w:rPr>
        <w:t>兽用医疗废物包括治疗羊感染性疾病、损伤性疾病等产生的医疗废弃物，主</w:t>
      </w:r>
      <w:r>
        <w:rPr>
          <w:spacing w:val="-10"/>
        </w:rPr>
        <w:t>要为注射器、输液管、棉球、棉签、纱布、玻璃药剂瓶等。参考《规模养殖场动</w:t>
      </w:r>
      <w:r>
        <w:t>物医疗废弃物产生量的统计试验》文献可知，羊只的兽用医疗废弃物产生量为</w:t>
      </w:r>
      <w:r>
        <w:rPr>
          <w:rFonts w:ascii="Times New Roman" w:eastAsia="Times New Roman"/>
        </w:rPr>
        <w:t>6.75t/a</w:t>
      </w:r>
      <w:r>
        <w:t>。</w:t>
      </w:r>
    </w:p>
    <w:p>
      <w:pPr>
        <w:pStyle w:val="7"/>
        <w:spacing w:before="74" w:line="360" w:lineRule="auto"/>
        <w:ind w:right="575" w:firstLine="480"/>
        <w:jc w:val="both"/>
      </w:pPr>
      <w:r>
        <w:rPr>
          <w:spacing w:val="-8"/>
        </w:rPr>
        <w:t>根据《国家危险废物名录》</w:t>
      </w:r>
      <w:r>
        <w:rPr>
          <w:spacing w:val="-5"/>
        </w:rPr>
        <w:t>（</w:t>
      </w:r>
      <w:r>
        <w:rPr>
          <w:rFonts w:ascii="Times New Roman" w:hAnsi="Times New Roman" w:eastAsia="Times New Roman"/>
          <w:spacing w:val="-5"/>
        </w:rPr>
        <w:t>2016</w:t>
      </w:r>
      <w:r>
        <w:rPr>
          <w:spacing w:val="-5"/>
        </w:rPr>
        <w:t>），医疗垃圾属于危险废物，废物类别为</w:t>
      </w:r>
      <w:r>
        <w:t>“</w:t>
      </w:r>
      <w:r>
        <w:rPr>
          <w:rFonts w:ascii="Times New Roman" w:hAnsi="Times New Roman" w:eastAsia="Times New Roman"/>
        </w:rPr>
        <w:t>HW01</w:t>
      </w:r>
      <w:r>
        <w:t>医疗废物”。兽用医疗废物由项目所在乡镇</w:t>
      </w:r>
      <w:r>
        <w:rPr>
          <w:rFonts w:hint="eastAsia"/>
          <w:lang w:eastAsia="zh-CN"/>
        </w:rPr>
        <w:t>莎车</w:t>
      </w:r>
      <w:r>
        <w:t>乡兽医站以及村级防疫中心委托有资质的单位处理处置。</w:t>
      </w:r>
    </w:p>
    <w:p>
      <w:pPr>
        <w:pStyle w:val="7"/>
        <w:spacing w:line="304" w:lineRule="exact"/>
        <w:ind w:left="1020"/>
      </w:pPr>
      <w:r>
        <w:t>（</w:t>
      </w:r>
      <w:r>
        <w:rPr>
          <w:rFonts w:hint="eastAsia" w:ascii="Times New Roman" w:eastAsia="宋体"/>
          <w:lang w:val="en-US" w:eastAsia="zh-CN"/>
        </w:rPr>
        <w:t>7</w:t>
      </w:r>
      <w:r>
        <w:t>）员工生活垃圾</w:t>
      </w:r>
    </w:p>
    <w:p>
      <w:pPr>
        <w:pStyle w:val="8"/>
        <w:keepNext w:val="0"/>
        <w:keepLines w:val="0"/>
        <w:pageBreakBefore w:val="0"/>
        <w:widowControl w:val="0"/>
        <w:kinsoku/>
        <w:wordWrap/>
        <w:overflowPunct/>
        <w:topLinePunct w:val="0"/>
        <w:autoSpaceDE w:val="0"/>
        <w:autoSpaceDN w:val="0"/>
        <w:bidi w:val="0"/>
        <w:adjustRightInd/>
        <w:snapToGrid/>
        <w:spacing w:after="0" w:line="560" w:lineRule="exact"/>
        <w:ind w:left="220" w:leftChars="100" w:right="220" w:rightChars="100" w:firstLine="482"/>
        <w:jc w:val="both"/>
        <w:textAlignment w:val="auto"/>
        <w:rPr>
          <w:bCs/>
          <w:color w:val="FF0000"/>
          <w:sz w:val="24"/>
          <w:szCs w:val="24"/>
        </w:rPr>
      </w:pPr>
      <w:bookmarkStart w:id="309" w:name="5.2.5 土壤环境影响分析"/>
      <w:bookmarkEnd w:id="309"/>
      <w:bookmarkStart w:id="310" w:name="5.2.5 土壤环境影响分析"/>
      <w:bookmarkEnd w:id="310"/>
      <w:r>
        <w:rPr>
          <w:color w:val="FF0000"/>
          <w:sz w:val="24"/>
          <w:szCs w:val="24"/>
        </w:rPr>
        <w:t>本项目劳动定员</w:t>
      </w:r>
      <w:r>
        <w:rPr>
          <w:rFonts w:ascii="Times New Roman" w:eastAsia="Times New Roman"/>
          <w:color w:val="FF0000"/>
          <w:sz w:val="24"/>
          <w:szCs w:val="24"/>
        </w:rPr>
        <w:t>30</w:t>
      </w:r>
      <w:r>
        <w:rPr>
          <w:color w:val="FF0000"/>
          <w:sz w:val="24"/>
          <w:szCs w:val="24"/>
        </w:rPr>
        <w:t>人，</w:t>
      </w:r>
      <w:r>
        <w:rPr>
          <w:bCs/>
          <w:color w:val="FF0000"/>
          <w:sz w:val="24"/>
          <w:szCs w:val="24"/>
        </w:rPr>
        <w:t>每人每天产生生活垃圾约 0.8kg/d，运行期排放生活垃圾约</w:t>
      </w:r>
      <w:r>
        <w:rPr>
          <w:rFonts w:hint="eastAsia"/>
          <w:bCs/>
          <w:color w:val="FF0000"/>
          <w:sz w:val="24"/>
          <w:szCs w:val="24"/>
          <w:lang w:val="en-US" w:eastAsia="zh-CN"/>
        </w:rPr>
        <w:t>8.76</w:t>
      </w:r>
      <w:r>
        <w:rPr>
          <w:bCs/>
          <w:color w:val="FF0000"/>
          <w:sz w:val="24"/>
          <w:szCs w:val="24"/>
        </w:rPr>
        <w:t>t/a，站内设垃圾堆放装置，生活垃圾集中收集后统一送至</w:t>
      </w:r>
      <w:r>
        <w:rPr>
          <w:rFonts w:hint="eastAsia"/>
          <w:bCs/>
          <w:color w:val="FF0000"/>
          <w:sz w:val="24"/>
          <w:szCs w:val="24"/>
          <w:lang w:val="en-US" w:eastAsia="zh-CN"/>
        </w:rPr>
        <w:t>莎车县</w:t>
      </w:r>
      <w:r>
        <w:rPr>
          <w:bCs/>
          <w:color w:val="FF0000"/>
          <w:sz w:val="24"/>
          <w:szCs w:val="24"/>
        </w:rPr>
        <w:t>圾收集系统，不会对区域环境造成不良影响。</w:t>
      </w:r>
    </w:p>
    <w:p>
      <w:pPr>
        <w:pStyle w:val="5"/>
        <w:numPr>
          <w:ilvl w:val="2"/>
          <w:numId w:val="46"/>
        </w:numPr>
        <w:tabs>
          <w:tab w:val="left" w:pos="1241"/>
        </w:tabs>
        <w:spacing w:before="62" w:after="0" w:line="240" w:lineRule="auto"/>
        <w:ind w:left="1240" w:right="0" w:hanging="701"/>
        <w:jc w:val="left"/>
        <w:outlineLvl w:val="2"/>
      </w:pPr>
      <w:bookmarkStart w:id="311" w:name="_Toc14554"/>
      <w:r>
        <w:t>土壤环境影响分析</w:t>
      </w:r>
      <w:bookmarkEnd w:id="311"/>
    </w:p>
    <w:p>
      <w:pPr>
        <w:pStyle w:val="7"/>
        <w:spacing w:before="2"/>
        <w:ind w:left="0"/>
        <w:rPr>
          <w:b/>
          <w:sz w:val="22"/>
        </w:rPr>
      </w:pPr>
    </w:p>
    <w:p>
      <w:pPr>
        <w:pStyle w:val="18"/>
        <w:numPr>
          <w:ilvl w:val="3"/>
          <w:numId w:val="56"/>
        </w:numPr>
        <w:tabs>
          <w:tab w:val="left" w:pos="1320"/>
        </w:tabs>
        <w:spacing w:before="0" w:after="0" w:line="240" w:lineRule="auto"/>
        <w:ind w:left="1320" w:right="0" w:hanging="780"/>
        <w:jc w:val="left"/>
        <w:rPr>
          <w:sz w:val="24"/>
        </w:rPr>
      </w:pPr>
      <w:bookmarkStart w:id="312" w:name="5.2.5.1 区域土壤概况"/>
      <w:bookmarkEnd w:id="312"/>
      <w:bookmarkStart w:id="313" w:name="5.2.5.1 区域土壤概况"/>
      <w:bookmarkEnd w:id="313"/>
      <w:r>
        <w:rPr>
          <w:sz w:val="24"/>
        </w:rPr>
        <w:t>区域土壤概况</w:t>
      </w:r>
    </w:p>
    <w:p>
      <w:pPr>
        <w:pStyle w:val="7"/>
        <w:spacing w:before="168" w:line="364" w:lineRule="auto"/>
        <w:ind w:right="577" w:firstLine="480"/>
        <w:jc w:val="both"/>
      </w:pPr>
      <w:r>
        <w:rPr>
          <w:spacing w:val="-10"/>
        </w:rPr>
        <w:t>项目区场地地形较平坦，其原始地貌类型属于叶尔羌河中下游冲积平原地带</w:t>
      </w:r>
      <w:r>
        <w:t>上。场地地层主要为第四系松散堆积物，地基土主要由粉土及细砂构成。</w:t>
      </w:r>
    </w:p>
    <w:p>
      <w:pPr>
        <w:pStyle w:val="7"/>
        <w:spacing w:before="1" w:line="364" w:lineRule="auto"/>
        <w:ind w:right="457" w:firstLine="480"/>
        <w:jc w:val="both"/>
        <w:rPr>
          <w:color w:val="0000FF"/>
        </w:rPr>
      </w:pPr>
      <w:r>
        <w:rPr>
          <w:color w:val="0000FF"/>
          <w:spacing w:val="-6"/>
        </w:rPr>
        <w:t>拟建场地属</w:t>
      </w:r>
      <w:r>
        <w:rPr>
          <w:rFonts w:hint="eastAsia"/>
          <w:color w:val="0000FF"/>
          <w:spacing w:val="-6"/>
          <w:lang w:val="en-US" w:eastAsia="zh-CN"/>
        </w:rPr>
        <w:t>喀尔苏</w:t>
      </w:r>
      <w:r>
        <w:rPr>
          <w:color w:val="0000FF"/>
          <w:spacing w:val="-6"/>
        </w:rPr>
        <w:t>沙漠</w:t>
      </w:r>
      <w:r>
        <w:rPr>
          <w:rFonts w:hint="eastAsia"/>
          <w:color w:val="0000FF"/>
          <w:spacing w:val="-6"/>
          <w:lang w:val="en-US" w:eastAsia="zh-CN"/>
        </w:rPr>
        <w:t>西</w:t>
      </w:r>
      <w:r>
        <w:rPr>
          <w:color w:val="0000FF"/>
          <w:spacing w:val="-6"/>
        </w:rPr>
        <w:t>缘。拟建场地地面相对比较平坦。根据钻孔揭</w:t>
      </w:r>
      <w:r>
        <w:rPr>
          <w:color w:val="0000FF"/>
          <w:spacing w:val="-15"/>
        </w:rPr>
        <w:t>露，勘察深度范围内场地土的构成为：杂填土层、粉砂层；现自上而下描述如下：</w:t>
      </w:r>
    </w:p>
    <w:p>
      <w:pPr>
        <w:pStyle w:val="7"/>
        <w:spacing w:before="1" w:line="364" w:lineRule="auto"/>
        <w:ind w:right="577" w:firstLine="480"/>
        <w:jc w:val="both"/>
      </w:pPr>
      <w:r>
        <w:rPr>
          <w:spacing w:val="-12"/>
        </w:rPr>
        <w:t>①杂填土层：杂色、稍湿、松散，层厚</w:t>
      </w:r>
      <w:r>
        <w:rPr>
          <w:rFonts w:ascii="Times New Roman" w:hAnsi="Times New Roman" w:eastAsia="Times New Roman"/>
        </w:rPr>
        <w:t>0.80</w:t>
      </w:r>
      <w:r>
        <w:t>～</w:t>
      </w:r>
      <w:r>
        <w:rPr>
          <w:rFonts w:ascii="Times New Roman" w:hAnsi="Times New Roman" w:eastAsia="Times New Roman"/>
        </w:rPr>
        <w:t>1.30m</w:t>
      </w:r>
      <w:r>
        <w:rPr>
          <w:spacing w:val="-5"/>
        </w:rPr>
        <w:t>，以粉砂为主，土质不</w:t>
      </w:r>
      <w:r>
        <w:t>均匀，结构松散，含大量树根及其他植物根系。</w:t>
      </w:r>
    </w:p>
    <w:p>
      <w:pPr>
        <w:pStyle w:val="7"/>
        <w:spacing w:before="1" w:line="364" w:lineRule="auto"/>
        <w:ind w:right="444" w:firstLine="480"/>
        <w:jc w:val="both"/>
      </w:pPr>
      <w:r>
        <w:t>②粉砂层：黄色、稍湿</w:t>
      </w:r>
      <w:r>
        <w:rPr>
          <w:rFonts w:ascii="Times New Roman" w:hAnsi="Times New Roman" w:eastAsia="Times New Roman"/>
        </w:rPr>
        <w:t>-</w:t>
      </w:r>
      <w:r>
        <w:t>饱和、稍密</w:t>
      </w:r>
      <w:r>
        <w:rPr>
          <w:rFonts w:ascii="Times New Roman" w:hAnsi="Times New Roman" w:eastAsia="Times New Roman"/>
        </w:rPr>
        <w:t>-</w:t>
      </w:r>
      <w:r>
        <w:t>中密，埋深</w:t>
      </w:r>
      <w:r>
        <w:rPr>
          <w:rFonts w:ascii="Times New Roman" w:hAnsi="Times New Roman" w:eastAsia="Times New Roman"/>
        </w:rPr>
        <w:t>0.80</w:t>
      </w:r>
      <w:r>
        <w:t>～</w:t>
      </w:r>
      <w:r>
        <w:rPr>
          <w:rFonts w:ascii="Times New Roman" w:hAnsi="Times New Roman" w:eastAsia="Times New Roman"/>
        </w:rPr>
        <w:t>1.30m</w:t>
      </w:r>
      <w:r>
        <w:t>，本次勘察未揭穿该层，最大可见厚度</w:t>
      </w:r>
      <w:r>
        <w:rPr>
          <w:rFonts w:ascii="Times New Roman" w:hAnsi="Times New Roman" w:eastAsia="Times New Roman"/>
        </w:rPr>
        <w:t>14.2m</w:t>
      </w:r>
      <w:r>
        <w:t>，属冲洪积成因，局部夹有青灰色细沙薄层，主要矿物成分以石英、长石、云母为主。颗粒较均匀，颗粒形状呈棱角，次棱角。该层承载力特征值</w:t>
      </w:r>
      <w:r>
        <w:rPr>
          <w:rFonts w:ascii="Times New Roman" w:hAnsi="Times New Roman" w:eastAsia="Times New Roman"/>
        </w:rPr>
        <w:t>fak=110kPa</w:t>
      </w:r>
      <w:r>
        <w:t>，变形模量</w:t>
      </w:r>
      <w:r>
        <w:rPr>
          <w:rFonts w:ascii="Times New Roman" w:hAnsi="Times New Roman" w:eastAsia="Times New Roman"/>
        </w:rPr>
        <w:t>E0=6.3MPa</w:t>
      </w:r>
      <w:r>
        <w:t>。</w:t>
      </w:r>
    </w:p>
    <w:p>
      <w:pPr>
        <w:pStyle w:val="7"/>
        <w:spacing w:before="3" w:line="364" w:lineRule="auto"/>
        <w:ind w:right="577" w:firstLine="480"/>
        <w:jc w:val="both"/>
        <w:rPr>
          <w:color w:val="0000FF"/>
        </w:rPr>
      </w:pPr>
      <w:r>
        <w:rPr>
          <w:color w:val="0000FF"/>
          <w:spacing w:val="-3"/>
        </w:rPr>
        <w:t>本项目位于</w:t>
      </w:r>
      <w:r>
        <w:rPr>
          <w:rFonts w:hint="eastAsia"/>
          <w:color w:val="0000FF"/>
          <w:spacing w:val="-3"/>
          <w:lang w:eastAsia="zh-CN"/>
        </w:rPr>
        <w:t>莎车</w:t>
      </w:r>
      <w:r>
        <w:rPr>
          <w:color w:val="0000FF"/>
          <w:spacing w:val="-3"/>
        </w:rPr>
        <w:t>县</w:t>
      </w:r>
      <w:r>
        <w:rPr>
          <w:rFonts w:hint="eastAsia"/>
          <w:color w:val="0000FF"/>
          <w:spacing w:val="-3"/>
          <w:lang w:eastAsia="zh-CN"/>
        </w:rPr>
        <w:t>莎车</w:t>
      </w:r>
      <w:r>
        <w:rPr>
          <w:color w:val="0000FF"/>
          <w:spacing w:val="-3"/>
        </w:rPr>
        <w:t>乡</w:t>
      </w:r>
      <w:r>
        <w:rPr>
          <w:rFonts w:hint="eastAsia"/>
          <w:color w:val="0000FF"/>
          <w:spacing w:val="-3"/>
          <w:lang w:val="en-US" w:eastAsia="zh-CN"/>
        </w:rPr>
        <w:t>萨依吾斯塘</w:t>
      </w:r>
      <w:r>
        <w:rPr>
          <w:color w:val="0000FF"/>
          <w:spacing w:val="-3"/>
        </w:rPr>
        <w:t>村东侧</w:t>
      </w:r>
      <w:r>
        <w:rPr>
          <w:rFonts w:hint="eastAsia" w:ascii="Times New Roman" w:eastAsia="宋体"/>
          <w:color w:val="0000FF"/>
          <w:lang w:val="en-US" w:eastAsia="zh-CN"/>
        </w:rPr>
        <w:t>1.6</w:t>
      </w:r>
      <w:r>
        <w:rPr>
          <w:rFonts w:ascii="Times New Roman" w:eastAsia="Times New Roman"/>
          <w:color w:val="0000FF"/>
        </w:rPr>
        <w:t>km</w:t>
      </w:r>
      <w:r>
        <w:rPr>
          <w:color w:val="0000FF"/>
          <w:spacing w:val="-14"/>
        </w:rPr>
        <w:t>处，处于塔里木盆地南</w:t>
      </w:r>
      <w:r>
        <w:rPr>
          <w:color w:val="0000FF"/>
        </w:rPr>
        <w:t>部和东部沙漠、戈壁、绿洲农业生态亚区，土壤主要以风沙土为主。</w:t>
      </w:r>
    </w:p>
    <w:p>
      <w:pPr>
        <w:pStyle w:val="18"/>
        <w:numPr>
          <w:ilvl w:val="3"/>
          <w:numId w:val="56"/>
        </w:numPr>
        <w:tabs>
          <w:tab w:val="left" w:pos="1320"/>
        </w:tabs>
        <w:spacing w:before="10" w:after="0" w:line="240" w:lineRule="auto"/>
        <w:ind w:left="1320" w:right="0" w:hanging="780"/>
        <w:jc w:val="both"/>
        <w:rPr>
          <w:sz w:val="24"/>
        </w:rPr>
      </w:pPr>
      <w:bookmarkStart w:id="314" w:name="5.2.5.2 区域土壤环境质量现状"/>
      <w:bookmarkEnd w:id="314"/>
      <w:bookmarkStart w:id="315" w:name="5.2.5.2 区域土壤环境质量现状"/>
      <w:bookmarkEnd w:id="315"/>
      <w:r>
        <w:rPr>
          <w:sz w:val="24"/>
        </w:rPr>
        <w:t>区域土壤环境质量现状</w:t>
      </w:r>
    </w:p>
    <w:p>
      <w:pPr>
        <w:keepNext w:val="0"/>
        <w:keepLines w:val="0"/>
        <w:pageBreakBefore w:val="0"/>
        <w:widowControl w:val="0"/>
        <w:kinsoku/>
        <w:wordWrap/>
        <w:overflowPunct/>
        <w:topLinePunct w:val="0"/>
        <w:autoSpaceDE w:val="0"/>
        <w:autoSpaceDN w:val="0"/>
        <w:bidi w:val="0"/>
        <w:adjustRightInd/>
        <w:snapToGrid/>
        <w:spacing w:line="360" w:lineRule="auto"/>
        <w:ind w:left="165" w:leftChars="75" w:right="189" w:rightChars="86" w:firstLine="464" w:firstLineChars="200"/>
        <w:jc w:val="both"/>
        <w:textAlignment w:val="auto"/>
        <w:rPr>
          <w:rFonts w:hint="default" w:ascii="Times New Roman" w:hAnsi="Times New Roman" w:eastAsia="宋体" w:cs="Times New Roman"/>
          <w:color w:val="0000FF"/>
          <w:sz w:val="24"/>
          <w:lang w:val="en-US" w:eastAsia="zh-CN"/>
        </w:rPr>
      </w:pPr>
      <w:r>
        <w:rPr>
          <w:spacing w:val="-4"/>
          <w:sz w:val="24"/>
          <w:szCs w:val="24"/>
        </w:rPr>
        <w:t>本次在项目占地范围内设</w:t>
      </w:r>
      <w:r>
        <w:rPr>
          <w:rFonts w:ascii="Times New Roman" w:eastAsia="Times New Roman"/>
          <w:sz w:val="24"/>
          <w:szCs w:val="24"/>
        </w:rPr>
        <w:t>3</w:t>
      </w:r>
      <w:r>
        <w:rPr>
          <w:spacing w:val="-3"/>
          <w:sz w:val="24"/>
          <w:szCs w:val="24"/>
        </w:rPr>
        <w:t>个表层样监测点。</w:t>
      </w:r>
      <w:r>
        <w:rPr>
          <w:rFonts w:hint="eastAsia" w:ascii="Times New Roman" w:hAnsi="Times New Roman" w:eastAsia="宋体" w:cs="Times New Roman"/>
          <w:color w:val="0000FF"/>
          <w:sz w:val="24"/>
        </w:rPr>
        <w:t>由检测结果表明，土壤中所监测的各类因子检测值均低于《土壤环境质量建设用地土壤污染风险管控标准（试行）》（GB36600-2018）中第二类用地标准筛选值，项目区土壤现状环境质量满足《土壤环境质量建设用地土壤污染风险管控标准（试行）》（GB36600-2018）标准的要求。</w:t>
      </w:r>
    </w:p>
    <w:p>
      <w:pPr>
        <w:pStyle w:val="18"/>
        <w:numPr>
          <w:ilvl w:val="3"/>
          <w:numId w:val="56"/>
        </w:numPr>
        <w:tabs>
          <w:tab w:val="left" w:pos="1320"/>
        </w:tabs>
        <w:spacing w:before="91" w:after="0" w:line="240" w:lineRule="auto"/>
        <w:ind w:left="1320" w:right="0" w:hanging="780"/>
        <w:jc w:val="left"/>
        <w:rPr>
          <w:sz w:val="24"/>
        </w:rPr>
      </w:pPr>
      <w:bookmarkStart w:id="316" w:name="5.2.5.3 土壤环境影响分析"/>
      <w:bookmarkEnd w:id="316"/>
      <w:bookmarkStart w:id="317" w:name="5.2.5.3 土壤环境影响分析"/>
      <w:bookmarkEnd w:id="317"/>
      <w:r>
        <w:rPr>
          <w:sz w:val="24"/>
        </w:rPr>
        <w:t>土壤环境影响分析</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sz w:val="20"/>
        </w:rPr>
      </w:pPr>
      <w:r>
        <w:rPr>
          <w:color w:val="0000FF"/>
        </w:rPr>
        <w:t>项目区</w:t>
      </w:r>
      <w:r>
        <w:rPr>
          <w:rFonts w:hint="eastAsia"/>
          <w:color w:val="0000FF"/>
          <w:lang w:val="en-US" w:eastAsia="zh-CN"/>
        </w:rPr>
        <w:t>西侧为</w:t>
      </w:r>
      <w:r>
        <w:rPr>
          <w:color w:val="0000FF"/>
        </w:rPr>
        <w:t>耕地，种植作物主要为玉米和小麦。项目的建</w:t>
      </w:r>
      <w:r>
        <w:rPr>
          <w:color w:val="0000FF"/>
          <w:spacing w:val="-7"/>
        </w:rPr>
        <w:t>设对土壤的影响主要是主体、辅助、公用以及环保工程建设破坏地表表层，加剧</w:t>
      </w:r>
      <w:r>
        <w:rPr>
          <w:color w:val="0000FF"/>
          <w:spacing w:val="-2"/>
        </w:rPr>
        <w:t>区域部分土壤的水分流失，降低原有土壤的抗侵蚀力，本项目占地约</w:t>
      </w:r>
      <w:r>
        <w:rPr>
          <w:rFonts w:hint="eastAsia" w:ascii="Times New Roman"/>
          <w:color w:val="0000FF"/>
          <w:lang w:val="en-US" w:eastAsia="zh-CN"/>
        </w:rPr>
        <w:t>2.073</w:t>
      </w:r>
      <w:r>
        <w:rPr>
          <w:rFonts w:ascii="Times New Roman" w:eastAsia="Times New Roman"/>
          <w:color w:val="0000FF"/>
        </w:rPr>
        <w:t>hm</w:t>
      </w:r>
      <w:r>
        <w:rPr>
          <w:rFonts w:ascii="Times New Roman" w:eastAsia="Times New Roman"/>
          <w:color w:val="0000FF"/>
          <w:position w:val="8"/>
          <w:sz w:val="15"/>
        </w:rPr>
        <w:t>2</w:t>
      </w:r>
      <w:r>
        <w:rPr>
          <w:color w:val="0000FF"/>
        </w:rPr>
        <w:t>（</w:t>
      </w:r>
      <w:r>
        <w:rPr>
          <w:rFonts w:hint="eastAsia" w:ascii="Times New Roman"/>
          <w:color w:val="0000FF"/>
          <w:lang w:val="en-US" w:eastAsia="zh-CN"/>
        </w:rPr>
        <w:t>31.095</w:t>
      </w:r>
      <w:r>
        <w:rPr>
          <w:color w:val="0000FF"/>
        </w:rPr>
        <w:t>亩），项目的建设对土壤产生的较大影响基本限于主要工程</w:t>
      </w:r>
      <w:r>
        <w:rPr>
          <w:rFonts w:hint="eastAsia" w:ascii="Times New Roman"/>
          <w:color w:val="0000FF"/>
          <w:lang w:val="en-US" w:eastAsia="zh-CN"/>
        </w:rPr>
        <w:t>31.095</w:t>
      </w:r>
      <w:r>
        <w:rPr>
          <w:color w:val="0000FF"/>
        </w:rPr>
        <w:t>亩占地范围内，对项目区西侧耕地基本无影响。另外项目建成后场内地面将做硬化处理，建成后绿地面积占整个场区的</w:t>
      </w:r>
      <w:r>
        <w:rPr>
          <w:rFonts w:hint="eastAsia" w:ascii="Times New Roman"/>
          <w:color w:val="0000FF"/>
          <w:lang w:val="en-US" w:eastAsia="zh-CN"/>
        </w:rPr>
        <w:t>15</w:t>
      </w:r>
      <w:r>
        <w:rPr>
          <w:rFonts w:ascii="Times New Roman" w:eastAsia="Times New Roman"/>
          <w:color w:val="0000FF"/>
        </w:rPr>
        <w:t>%</w:t>
      </w:r>
      <w:r>
        <w:rPr>
          <w:color w:val="0000FF"/>
        </w:rPr>
        <w:t>，区域原土壤的抗外界侵蚀力将有所改善。</w:t>
      </w:r>
    </w:p>
    <w:p>
      <w:pPr>
        <w:pStyle w:val="7"/>
        <w:spacing w:before="11"/>
        <w:ind w:left="0"/>
        <w:rPr>
          <w:sz w:val="27"/>
        </w:rPr>
      </w:pPr>
    </w:p>
    <w:p>
      <w:pPr>
        <w:pStyle w:val="7"/>
        <w:bidi w:val="0"/>
        <w:jc w:val="center"/>
      </w:pPr>
      <w:r>
        <w:t>表</w:t>
      </w:r>
      <w:r>
        <w:rPr>
          <w:rFonts w:ascii="Times New Roman" w:eastAsia="Times New Roman"/>
        </w:rPr>
        <w:t>5.2-9</w:t>
      </w:r>
      <w:r>
        <w:rPr>
          <w:rFonts w:ascii="Times New Roman" w:eastAsia="Times New Roman"/>
        </w:rPr>
        <w:tab/>
      </w:r>
      <w:r>
        <w:t>土壤环境影响评价自查表</w:t>
      </w:r>
    </w:p>
    <w:tbl>
      <w:tblPr>
        <w:tblStyle w:val="15"/>
        <w:tblW w:w="0" w:type="auto"/>
        <w:tblInd w:w="5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1678"/>
        <w:gridCol w:w="1416"/>
        <w:gridCol w:w="345"/>
        <w:gridCol w:w="594"/>
        <w:gridCol w:w="1168"/>
        <w:gridCol w:w="707"/>
        <w:gridCol w:w="1057"/>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04" w:type="dxa"/>
            <w:gridSpan w:val="2"/>
          </w:tcPr>
          <w:p>
            <w:pPr>
              <w:pStyle w:val="19"/>
              <w:spacing w:before="56"/>
              <w:ind w:left="658"/>
              <w:jc w:val="left"/>
              <w:rPr>
                <w:b/>
                <w:sz w:val="18"/>
              </w:rPr>
            </w:pPr>
            <w:r>
              <w:rPr>
                <w:b/>
                <w:sz w:val="18"/>
              </w:rPr>
              <w:t>工作内容</w:t>
            </w:r>
          </w:p>
        </w:tc>
        <w:tc>
          <w:tcPr>
            <w:tcW w:w="5287" w:type="dxa"/>
            <w:gridSpan w:val="6"/>
          </w:tcPr>
          <w:p>
            <w:pPr>
              <w:pStyle w:val="19"/>
              <w:spacing w:before="56"/>
              <w:ind w:left="2179" w:right="2171"/>
              <w:rPr>
                <w:b/>
                <w:sz w:val="18"/>
              </w:rPr>
            </w:pPr>
            <w:r>
              <w:rPr>
                <w:b/>
                <w:sz w:val="18"/>
              </w:rPr>
              <w:t>完成情况</w:t>
            </w:r>
          </w:p>
        </w:tc>
        <w:tc>
          <w:tcPr>
            <w:tcW w:w="1187" w:type="dxa"/>
          </w:tcPr>
          <w:p>
            <w:pPr>
              <w:pStyle w:val="19"/>
              <w:spacing w:before="56"/>
              <w:ind w:left="102" w:right="96"/>
              <w:rPr>
                <w:b/>
                <w:sz w:val="18"/>
              </w:rPr>
            </w:pPr>
            <w:r>
              <w:rPr>
                <w:b/>
                <w:sz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restart"/>
          </w:tcPr>
          <w:p>
            <w:pPr>
              <w:pStyle w:val="19"/>
              <w:jc w:val="left"/>
              <w:rPr>
                <w:b/>
                <w:sz w:val="18"/>
              </w:rPr>
            </w:pPr>
          </w:p>
          <w:p>
            <w:pPr>
              <w:pStyle w:val="19"/>
              <w:jc w:val="left"/>
              <w:rPr>
                <w:b/>
                <w:sz w:val="18"/>
              </w:rPr>
            </w:pPr>
          </w:p>
          <w:p>
            <w:pPr>
              <w:pStyle w:val="19"/>
              <w:jc w:val="left"/>
              <w:rPr>
                <w:b/>
                <w:sz w:val="18"/>
              </w:rPr>
            </w:pPr>
          </w:p>
          <w:p>
            <w:pPr>
              <w:pStyle w:val="19"/>
              <w:jc w:val="left"/>
              <w:rPr>
                <w:b/>
                <w:sz w:val="18"/>
              </w:rPr>
            </w:pPr>
          </w:p>
          <w:p>
            <w:pPr>
              <w:pStyle w:val="19"/>
              <w:jc w:val="left"/>
              <w:rPr>
                <w:b/>
                <w:sz w:val="18"/>
              </w:rPr>
            </w:pPr>
          </w:p>
          <w:p>
            <w:pPr>
              <w:pStyle w:val="19"/>
              <w:jc w:val="left"/>
              <w:rPr>
                <w:b/>
                <w:sz w:val="18"/>
              </w:rPr>
            </w:pPr>
          </w:p>
          <w:p>
            <w:pPr>
              <w:pStyle w:val="19"/>
              <w:spacing w:before="6"/>
              <w:jc w:val="left"/>
              <w:rPr>
                <w:b/>
                <w:sz w:val="15"/>
              </w:rPr>
            </w:pPr>
          </w:p>
          <w:p>
            <w:pPr>
              <w:pStyle w:val="19"/>
              <w:spacing w:before="1" w:line="324" w:lineRule="auto"/>
              <w:ind w:left="27" w:right="14"/>
              <w:jc w:val="left"/>
              <w:rPr>
                <w:sz w:val="18"/>
              </w:rPr>
            </w:pPr>
            <w:r>
              <w:rPr>
                <w:sz w:val="18"/>
              </w:rPr>
              <w:t>影响识别</w:t>
            </w:r>
          </w:p>
        </w:tc>
        <w:tc>
          <w:tcPr>
            <w:tcW w:w="1678" w:type="dxa"/>
          </w:tcPr>
          <w:p>
            <w:pPr>
              <w:pStyle w:val="19"/>
              <w:spacing w:before="54"/>
              <w:ind w:left="73" w:right="62"/>
              <w:rPr>
                <w:sz w:val="18"/>
              </w:rPr>
            </w:pPr>
            <w:r>
              <w:rPr>
                <w:sz w:val="18"/>
              </w:rPr>
              <w:t>影响类型</w:t>
            </w:r>
          </w:p>
        </w:tc>
        <w:tc>
          <w:tcPr>
            <w:tcW w:w="5287" w:type="dxa"/>
            <w:gridSpan w:val="6"/>
          </w:tcPr>
          <w:p>
            <w:pPr>
              <w:pStyle w:val="19"/>
              <w:spacing w:before="36"/>
              <w:ind w:left="123"/>
              <w:jc w:val="left"/>
              <w:rPr>
                <w:rFonts w:ascii="Times New Roman" w:hAnsi="Times New Roman" w:eastAsia="Times New Roman"/>
                <w:sz w:val="21"/>
              </w:rPr>
            </w:pPr>
            <w:r>
              <w:rPr>
                <w:sz w:val="18"/>
              </w:rPr>
              <w:t>污染影响型</w:t>
            </w:r>
            <w:r>
              <w:rPr>
                <w:rFonts w:ascii="Wingdings 2" w:hAnsi="Wingdings 2" w:eastAsia="Wingdings 2"/>
                <w:sz w:val="18"/>
              </w:rPr>
              <w:t></w:t>
            </w:r>
            <w:r>
              <w:rPr>
                <w:sz w:val="18"/>
              </w:rPr>
              <w:t>；</w:t>
            </w:r>
            <w:r>
              <w:rPr>
                <w:sz w:val="21"/>
              </w:rPr>
              <w:t>生态影响型</w:t>
            </w:r>
            <w:r>
              <w:rPr>
                <w:rFonts w:ascii="Times New Roman" w:hAnsi="Times New Roman" w:eastAsia="Times New Roman"/>
                <w:sz w:val="21"/>
              </w:rPr>
              <w:t>□</w:t>
            </w:r>
            <w:r>
              <w:rPr>
                <w:sz w:val="21"/>
              </w:rPr>
              <w:t>；两种兼有</w:t>
            </w:r>
            <w:r>
              <w:rPr>
                <w:rFonts w:ascii="Times New Roman" w:hAnsi="Times New Roman" w:eastAsia="Times New Roman"/>
                <w:sz w:val="21"/>
              </w:rPr>
              <w:t>□</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3"/>
              <w:jc w:val="left"/>
              <w:rPr>
                <w:b/>
                <w:sz w:val="15"/>
              </w:rPr>
            </w:pPr>
          </w:p>
          <w:p>
            <w:pPr>
              <w:pStyle w:val="19"/>
              <w:spacing w:before="1"/>
              <w:ind w:left="73" w:right="62"/>
              <w:rPr>
                <w:sz w:val="18"/>
              </w:rPr>
            </w:pPr>
            <w:r>
              <w:rPr>
                <w:sz w:val="18"/>
              </w:rPr>
              <w:t>土地利用类型</w:t>
            </w:r>
          </w:p>
        </w:tc>
        <w:tc>
          <w:tcPr>
            <w:tcW w:w="5287" w:type="dxa"/>
            <w:gridSpan w:val="6"/>
          </w:tcPr>
          <w:p>
            <w:pPr>
              <w:pStyle w:val="19"/>
              <w:spacing w:before="189"/>
              <w:ind w:left="123"/>
              <w:jc w:val="left"/>
              <w:rPr>
                <w:rFonts w:ascii="Times New Roman" w:hAnsi="Times New Roman" w:eastAsia="Times New Roman"/>
                <w:sz w:val="21"/>
              </w:rPr>
            </w:pPr>
            <w:r>
              <w:rPr>
                <w:sz w:val="18"/>
              </w:rPr>
              <w:t>建设用地</w:t>
            </w:r>
            <w:r>
              <w:rPr>
                <w:rFonts w:ascii="Times New Roman" w:hAnsi="Times New Roman" w:eastAsia="Times New Roman"/>
                <w:sz w:val="21"/>
              </w:rPr>
              <w:t>□</w:t>
            </w:r>
            <w:r>
              <w:rPr>
                <w:sz w:val="18"/>
              </w:rPr>
              <w:t>；农用地</w:t>
            </w:r>
            <w:r>
              <w:rPr>
                <w:rFonts w:ascii="Wingdings 2" w:hAnsi="Wingdings 2" w:eastAsia="Wingdings 2"/>
                <w:sz w:val="21"/>
              </w:rPr>
              <w:t></w:t>
            </w:r>
            <w:r>
              <w:rPr>
                <w:sz w:val="18"/>
              </w:rPr>
              <w:t>；未利用地</w:t>
            </w:r>
            <w:r>
              <w:rPr>
                <w:rFonts w:ascii="Times New Roman" w:hAnsi="Times New Roman" w:eastAsia="Times New Roman"/>
                <w:sz w:val="21"/>
              </w:rPr>
              <w:t>□</w:t>
            </w:r>
          </w:p>
        </w:tc>
        <w:tc>
          <w:tcPr>
            <w:tcW w:w="1187" w:type="dxa"/>
          </w:tcPr>
          <w:p>
            <w:pPr>
              <w:pStyle w:val="19"/>
              <w:spacing w:before="40"/>
              <w:ind w:left="104" w:right="96"/>
              <w:rPr>
                <w:sz w:val="18"/>
              </w:rPr>
            </w:pPr>
            <w:r>
              <w:rPr>
                <w:sz w:val="18"/>
              </w:rPr>
              <w:t>土地利用类</w:t>
            </w:r>
          </w:p>
          <w:p>
            <w:pPr>
              <w:pStyle w:val="19"/>
              <w:spacing w:before="81"/>
              <w:ind w:left="102" w:right="96"/>
              <w:rPr>
                <w:sz w:val="18"/>
              </w:rPr>
            </w:pPr>
            <w:r>
              <w:rPr>
                <w:sz w:val="18"/>
              </w:rPr>
              <w:t>型图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4"/>
              <w:ind w:left="73" w:right="62"/>
              <w:rPr>
                <w:sz w:val="18"/>
              </w:rPr>
            </w:pPr>
            <w:r>
              <w:rPr>
                <w:sz w:val="18"/>
              </w:rPr>
              <w:t>占地规模</w:t>
            </w:r>
          </w:p>
        </w:tc>
        <w:tc>
          <w:tcPr>
            <w:tcW w:w="5287" w:type="dxa"/>
            <w:gridSpan w:val="6"/>
          </w:tcPr>
          <w:p>
            <w:pPr>
              <w:pStyle w:val="19"/>
              <w:spacing w:before="54"/>
              <w:ind w:left="123"/>
              <w:jc w:val="left"/>
              <w:rPr>
                <w:rFonts w:ascii="Times New Roman" w:eastAsia="Times New Roman"/>
                <w:sz w:val="11"/>
              </w:rPr>
            </w:pPr>
            <w:r>
              <w:rPr>
                <w:sz w:val="18"/>
              </w:rPr>
              <w:t>（</w:t>
            </w:r>
            <w:r>
              <w:rPr>
                <w:rFonts w:ascii="Times New Roman" w:eastAsia="Times New Roman"/>
                <w:sz w:val="18"/>
              </w:rPr>
              <w:t>65.8</w:t>
            </w:r>
            <w:r>
              <w:rPr>
                <w:sz w:val="18"/>
              </w:rPr>
              <w:t>）</w:t>
            </w:r>
            <w:r>
              <w:rPr>
                <w:rFonts w:ascii="Times New Roman" w:eastAsia="Times New Roman"/>
                <w:sz w:val="18"/>
              </w:rPr>
              <w:t>hm</w:t>
            </w:r>
            <w:r>
              <w:rPr>
                <w:rFonts w:ascii="Times New Roman" w:eastAsia="Times New Roman"/>
                <w:position w:val="6"/>
                <w:sz w:val="11"/>
              </w:rPr>
              <w:t>2</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4"/>
              <w:ind w:left="73" w:right="62"/>
              <w:rPr>
                <w:sz w:val="18"/>
              </w:rPr>
            </w:pPr>
            <w:r>
              <w:rPr>
                <w:sz w:val="18"/>
              </w:rPr>
              <w:t>敏感目标信息</w:t>
            </w:r>
          </w:p>
        </w:tc>
        <w:tc>
          <w:tcPr>
            <w:tcW w:w="5287" w:type="dxa"/>
            <w:gridSpan w:val="6"/>
          </w:tcPr>
          <w:p>
            <w:pPr>
              <w:pStyle w:val="19"/>
              <w:spacing w:before="54"/>
              <w:ind w:left="123"/>
              <w:jc w:val="left"/>
              <w:rPr>
                <w:sz w:val="18"/>
              </w:rPr>
            </w:pPr>
            <w:r>
              <w:rPr>
                <w:sz w:val="18"/>
              </w:rPr>
              <w:t>敏感目标（耕地）、方位（</w:t>
            </w:r>
            <w:r>
              <w:rPr>
                <w:rFonts w:ascii="Times New Roman" w:eastAsia="Times New Roman"/>
                <w:sz w:val="18"/>
              </w:rPr>
              <w:t>W</w:t>
            </w:r>
            <w:r>
              <w:rPr>
                <w:sz w:val="18"/>
              </w:rPr>
              <w:t>）、距离（</w:t>
            </w:r>
            <w:r>
              <w:rPr>
                <w:rFonts w:ascii="Times New Roman" w:eastAsia="Times New Roman"/>
                <w:sz w:val="18"/>
              </w:rPr>
              <w:t>280m</w:t>
            </w:r>
            <w:r>
              <w:rPr>
                <w:sz w:val="18"/>
              </w:rPr>
              <w:t>）</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5"/>
              <w:ind w:left="73" w:right="62"/>
              <w:rPr>
                <w:sz w:val="18"/>
              </w:rPr>
            </w:pPr>
            <w:r>
              <w:rPr>
                <w:sz w:val="18"/>
              </w:rPr>
              <w:t>影响途径</w:t>
            </w:r>
          </w:p>
        </w:tc>
        <w:tc>
          <w:tcPr>
            <w:tcW w:w="5287" w:type="dxa"/>
            <w:gridSpan w:val="6"/>
          </w:tcPr>
          <w:p>
            <w:pPr>
              <w:pStyle w:val="19"/>
              <w:spacing w:before="46"/>
              <w:ind w:left="123"/>
              <w:jc w:val="left"/>
              <w:rPr>
                <w:sz w:val="18"/>
              </w:rPr>
            </w:pPr>
            <w:r>
              <w:rPr>
                <w:sz w:val="18"/>
              </w:rPr>
              <w:t>大气沉降</w:t>
            </w:r>
            <w:r>
              <w:rPr>
                <w:rFonts w:ascii="Wingdings 2" w:hAnsi="Wingdings 2" w:eastAsia="Wingdings 2"/>
                <w:sz w:val="21"/>
              </w:rPr>
              <w:t></w:t>
            </w:r>
            <w:r>
              <w:rPr>
                <w:sz w:val="18"/>
              </w:rPr>
              <w:t>；地面漫流</w:t>
            </w:r>
            <w:r>
              <w:rPr>
                <w:rFonts w:ascii="Times New Roman" w:hAnsi="Times New Roman" w:eastAsia="Times New Roman"/>
                <w:sz w:val="21"/>
              </w:rPr>
              <w:t>□</w:t>
            </w:r>
            <w:r>
              <w:rPr>
                <w:sz w:val="18"/>
              </w:rPr>
              <w:t>；垂直入渗</w:t>
            </w:r>
            <w:r>
              <w:rPr>
                <w:rFonts w:ascii="Times New Roman" w:hAnsi="Times New Roman" w:eastAsia="Times New Roman"/>
                <w:sz w:val="21"/>
              </w:rPr>
              <w:t>□</w:t>
            </w:r>
            <w:r>
              <w:rPr>
                <w:sz w:val="18"/>
              </w:rPr>
              <w:t>；地下水位</w:t>
            </w:r>
            <w:r>
              <w:rPr>
                <w:rFonts w:ascii="Wingdings 2" w:hAnsi="Wingdings 2" w:eastAsia="Wingdings 2"/>
                <w:sz w:val="21"/>
              </w:rPr>
              <w:t></w:t>
            </w:r>
            <w:r>
              <w:rPr>
                <w:sz w:val="18"/>
              </w:rPr>
              <w:t>；其他（）</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5"/>
              <w:ind w:left="71" w:right="62"/>
              <w:rPr>
                <w:sz w:val="18"/>
              </w:rPr>
            </w:pPr>
            <w:r>
              <w:rPr>
                <w:sz w:val="18"/>
              </w:rPr>
              <w:t>全部污染物</w:t>
            </w:r>
          </w:p>
        </w:tc>
        <w:tc>
          <w:tcPr>
            <w:tcW w:w="5287" w:type="dxa"/>
            <w:gridSpan w:val="6"/>
          </w:tcPr>
          <w:p>
            <w:pPr>
              <w:pStyle w:val="19"/>
              <w:spacing w:before="57"/>
              <w:ind w:left="123"/>
              <w:jc w:val="left"/>
              <w:rPr>
                <w:rFonts w:ascii="Times New Roman" w:eastAsia="Times New Roman"/>
                <w:sz w:val="18"/>
              </w:rPr>
            </w:pPr>
            <w:r>
              <w:rPr>
                <w:rFonts w:ascii="Times New Roman" w:eastAsia="Times New Roman"/>
                <w:position w:val="1"/>
                <w:sz w:val="18"/>
              </w:rPr>
              <w:t>COD</w:t>
            </w:r>
            <w:r>
              <w:rPr>
                <w:position w:val="1"/>
                <w:sz w:val="18"/>
              </w:rPr>
              <w:t>、</w:t>
            </w:r>
            <w:r>
              <w:rPr>
                <w:rFonts w:ascii="Times New Roman" w:eastAsia="Times New Roman"/>
                <w:position w:val="1"/>
                <w:sz w:val="18"/>
              </w:rPr>
              <w:t>BOD</w:t>
            </w:r>
            <w:r>
              <w:rPr>
                <w:rFonts w:ascii="Times New Roman" w:eastAsia="Times New Roman"/>
                <w:position w:val="1"/>
                <w:sz w:val="18"/>
                <w:vertAlign w:val="subscript"/>
              </w:rPr>
              <w:t>5</w:t>
            </w:r>
            <w:r>
              <w:rPr>
                <w:position w:val="1"/>
                <w:sz w:val="18"/>
                <w:vertAlign w:val="baseline"/>
              </w:rPr>
              <w:t>、</w:t>
            </w:r>
            <w:r>
              <w:rPr>
                <w:rFonts w:ascii="Times New Roman" w:eastAsia="Times New Roman"/>
                <w:position w:val="1"/>
                <w:sz w:val="18"/>
                <w:vertAlign w:val="baseline"/>
              </w:rPr>
              <w:t>SS</w:t>
            </w:r>
            <w:r>
              <w:rPr>
                <w:position w:val="1"/>
                <w:sz w:val="18"/>
                <w:vertAlign w:val="baseline"/>
              </w:rPr>
              <w:t>、</w:t>
            </w:r>
            <w:r>
              <w:rPr>
                <w:rFonts w:ascii="Times New Roman" w:eastAsia="Times New Roman"/>
                <w:position w:val="1"/>
                <w:sz w:val="18"/>
                <w:vertAlign w:val="baseline"/>
              </w:rPr>
              <w:t>NH</w:t>
            </w:r>
            <w:r>
              <w:rPr>
                <w:rFonts w:ascii="Times New Roman" w:eastAsia="Times New Roman"/>
                <w:position w:val="1"/>
                <w:sz w:val="18"/>
                <w:vertAlign w:val="subscript"/>
              </w:rPr>
              <w:t>3</w:t>
            </w:r>
            <w:r>
              <w:rPr>
                <w:rFonts w:ascii="Times New Roman" w:eastAsia="Times New Roman"/>
                <w:position w:val="1"/>
                <w:sz w:val="18"/>
                <w:vertAlign w:val="baseline"/>
              </w:rPr>
              <w:t>-N</w:t>
            </w:r>
            <w:r>
              <w:rPr>
                <w:position w:val="1"/>
                <w:sz w:val="18"/>
                <w:vertAlign w:val="baseline"/>
              </w:rPr>
              <w:t>、</w:t>
            </w:r>
            <w:r>
              <w:rPr>
                <w:rFonts w:ascii="Times New Roman" w:eastAsia="Times New Roman"/>
                <w:position w:val="1"/>
                <w:sz w:val="18"/>
                <w:vertAlign w:val="baseline"/>
              </w:rPr>
              <w:t>TP</w:t>
            </w:r>
            <w:r>
              <w:rPr>
                <w:position w:val="1"/>
                <w:sz w:val="18"/>
                <w:vertAlign w:val="baseline"/>
              </w:rPr>
              <w:t>、</w:t>
            </w:r>
            <w:r>
              <w:rPr>
                <w:rFonts w:ascii="Times New Roman" w:eastAsia="Times New Roman"/>
                <w:position w:val="1"/>
                <w:sz w:val="18"/>
                <w:vertAlign w:val="baseline"/>
              </w:rPr>
              <w:t>TN</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5"/>
              <w:ind w:left="73" w:right="62"/>
              <w:rPr>
                <w:sz w:val="18"/>
              </w:rPr>
            </w:pPr>
            <w:r>
              <w:rPr>
                <w:sz w:val="18"/>
              </w:rPr>
              <w:t>特征因子</w:t>
            </w:r>
          </w:p>
        </w:tc>
        <w:tc>
          <w:tcPr>
            <w:tcW w:w="5287" w:type="dxa"/>
            <w:gridSpan w:val="6"/>
          </w:tcPr>
          <w:p>
            <w:pPr>
              <w:pStyle w:val="19"/>
              <w:spacing w:before="55"/>
              <w:ind w:left="123"/>
              <w:jc w:val="left"/>
              <w:rPr>
                <w:sz w:val="18"/>
              </w:rPr>
            </w:pPr>
            <w:r>
              <w:rPr>
                <w:sz w:val="18"/>
              </w:rPr>
              <w:t>无</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41"/>
              <w:ind w:left="73" w:right="62"/>
              <w:rPr>
                <w:sz w:val="18"/>
              </w:rPr>
            </w:pPr>
            <w:r>
              <w:rPr>
                <w:sz w:val="18"/>
              </w:rPr>
              <w:t>所属土壤环境影响</w:t>
            </w:r>
          </w:p>
          <w:p>
            <w:pPr>
              <w:pStyle w:val="19"/>
              <w:spacing w:before="82"/>
              <w:ind w:left="73" w:right="62"/>
              <w:rPr>
                <w:sz w:val="18"/>
              </w:rPr>
            </w:pPr>
            <w:r>
              <w:rPr>
                <w:sz w:val="18"/>
              </w:rPr>
              <w:t>评价项目类别</w:t>
            </w:r>
          </w:p>
        </w:tc>
        <w:tc>
          <w:tcPr>
            <w:tcW w:w="5287" w:type="dxa"/>
            <w:gridSpan w:val="6"/>
          </w:tcPr>
          <w:p>
            <w:pPr>
              <w:pStyle w:val="19"/>
              <w:spacing w:before="188"/>
              <w:ind w:left="123"/>
              <w:jc w:val="left"/>
              <w:rPr>
                <w:rFonts w:ascii="Times New Roman" w:hAnsi="Times New Roman" w:eastAsia="Times New Roman"/>
                <w:sz w:val="21"/>
              </w:rPr>
            </w:pPr>
            <w:r>
              <w:rPr>
                <w:sz w:val="18"/>
              </w:rPr>
              <w:t>Ⅰ类</w:t>
            </w:r>
            <w:r>
              <w:rPr>
                <w:rFonts w:ascii="Times New Roman" w:hAnsi="Times New Roman" w:eastAsia="Times New Roman"/>
                <w:sz w:val="21"/>
              </w:rPr>
              <w:t>□</w:t>
            </w:r>
            <w:r>
              <w:rPr>
                <w:sz w:val="18"/>
              </w:rPr>
              <w:t>；Ⅱ类</w:t>
            </w:r>
            <w:r>
              <w:rPr>
                <w:rFonts w:ascii="Wingdings 2" w:hAnsi="Wingdings 2" w:eastAsia="Wingdings 2"/>
                <w:sz w:val="21"/>
              </w:rPr>
              <w:t></w:t>
            </w:r>
            <w:r>
              <w:rPr>
                <w:sz w:val="18"/>
              </w:rPr>
              <w:t>；Ⅲ类</w:t>
            </w:r>
            <w:r>
              <w:rPr>
                <w:rFonts w:ascii="Wingdings 2" w:hAnsi="Wingdings 2" w:eastAsia="Wingdings 2"/>
                <w:sz w:val="21"/>
              </w:rPr>
              <w:t></w:t>
            </w:r>
            <w:r>
              <w:rPr>
                <w:sz w:val="18"/>
              </w:rPr>
              <w:t>；Ⅳ类</w:t>
            </w:r>
            <w:r>
              <w:rPr>
                <w:rFonts w:ascii="Times New Roman" w:hAnsi="Times New Roman" w:eastAsia="Times New Roman"/>
                <w:sz w:val="21"/>
              </w:rPr>
              <w:t>□</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5"/>
              <w:ind w:left="73" w:right="62"/>
              <w:rPr>
                <w:sz w:val="18"/>
              </w:rPr>
            </w:pPr>
            <w:r>
              <w:rPr>
                <w:sz w:val="18"/>
              </w:rPr>
              <w:t>敏感程度</w:t>
            </w:r>
          </w:p>
        </w:tc>
        <w:tc>
          <w:tcPr>
            <w:tcW w:w="5287" w:type="dxa"/>
            <w:gridSpan w:val="6"/>
          </w:tcPr>
          <w:p>
            <w:pPr>
              <w:pStyle w:val="19"/>
              <w:spacing w:before="46"/>
              <w:ind w:left="123"/>
              <w:jc w:val="left"/>
              <w:rPr>
                <w:rFonts w:ascii="Times New Roman" w:hAnsi="Times New Roman" w:eastAsia="Times New Roman"/>
                <w:sz w:val="21"/>
              </w:rPr>
            </w:pPr>
            <w:r>
              <w:rPr>
                <w:sz w:val="18"/>
              </w:rPr>
              <w:t>敏感</w:t>
            </w:r>
            <w:r>
              <w:rPr>
                <w:rFonts w:ascii="Wingdings 2" w:hAnsi="Wingdings 2" w:eastAsia="Wingdings 2"/>
                <w:sz w:val="21"/>
              </w:rPr>
              <w:t></w:t>
            </w:r>
            <w:r>
              <w:rPr>
                <w:sz w:val="18"/>
              </w:rPr>
              <w:t>；较敏感</w:t>
            </w:r>
            <w:r>
              <w:rPr>
                <w:rFonts w:ascii="Times New Roman" w:hAnsi="Times New Roman" w:eastAsia="Times New Roman"/>
                <w:sz w:val="21"/>
              </w:rPr>
              <w:t>□</w:t>
            </w:r>
            <w:r>
              <w:rPr>
                <w:sz w:val="18"/>
              </w:rPr>
              <w:t>；不敏感</w:t>
            </w:r>
            <w:r>
              <w:rPr>
                <w:rFonts w:ascii="Times New Roman" w:hAnsi="Times New Roman" w:eastAsia="Times New Roman"/>
                <w:sz w:val="21"/>
              </w:rPr>
              <w:t>□</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04" w:type="dxa"/>
            <w:gridSpan w:val="2"/>
          </w:tcPr>
          <w:p>
            <w:pPr>
              <w:pStyle w:val="19"/>
              <w:spacing w:before="56"/>
              <w:ind w:left="478"/>
              <w:jc w:val="left"/>
              <w:rPr>
                <w:sz w:val="18"/>
              </w:rPr>
            </w:pPr>
            <w:r>
              <w:rPr>
                <w:sz w:val="18"/>
              </w:rPr>
              <w:t>评价工作等级</w:t>
            </w:r>
          </w:p>
        </w:tc>
        <w:tc>
          <w:tcPr>
            <w:tcW w:w="5287" w:type="dxa"/>
            <w:gridSpan w:val="6"/>
          </w:tcPr>
          <w:p>
            <w:pPr>
              <w:pStyle w:val="19"/>
              <w:spacing w:before="47"/>
              <w:ind w:left="123"/>
              <w:jc w:val="left"/>
              <w:rPr>
                <w:rFonts w:ascii="Wingdings 2" w:hAnsi="Wingdings 2"/>
                <w:sz w:val="21"/>
              </w:rPr>
            </w:pPr>
            <w:r>
              <w:rPr>
                <w:sz w:val="18"/>
              </w:rPr>
              <w:t>一级</w:t>
            </w:r>
            <w:r>
              <w:rPr>
                <w:rFonts w:ascii="Times New Roman" w:hAnsi="Times New Roman"/>
                <w:sz w:val="21"/>
              </w:rPr>
              <w:t>□</w:t>
            </w:r>
            <w:r>
              <w:rPr>
                <w:sz w:val="18"/>
              </w:rPr>
              <w:t>；二级</w:t>
            </w:r>
            <w:r>
              <w:rPr>
                <w:rFonts w:ascii="Times New Roman" w:hAnsi="Times New Roman"/>
                <w:sz w:val="21"/>
              </w:rPr>
              <w:t>□</w:t>
            </w:r>
            <w:r>
              <w:rPr>
                <w:sz w:val="18"/>
              </w:rPr>
              <w:t>；三级</w:t>
            </w:r>
            <w:r>
              <w:rPr>
                <w:rFonts w:ascii="Wingdings 2" w:hAnsi="Wingdings 2"/>
                <w:sz w:val="21"/>
              </w:rPr>
              <w:t></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restart"/>
          </w:tcPr>
          <w:p>
            <w:pPr>
              <w:pStyle w:val="19"/>
              <w:jc w:val="left"/>
              <w:rPr>
                <w:b/>
                <w:sz w:val="18"/>
              </w:rPr>
            </w:pPr>
          </w:p>
          <w:p>
            <w:pPr>
              <w:pStyle w:val="19"/>
              <w:jc w:val="left"/>
              <w:rPr>
                <w:b/>
                <w:sz w:val="18"/>
              </w:rPr>
            </w:pPr>
          </w:p>
          <w:p>
            <w:pPr>
              <w:pStyle w:val="19"/>
              <w:spacing w:before="142" w:line="324" w:lineRule="auto"/>
              <w:ind w:left="27" w:right="14"/>
              <w:jc w:val="both"/>
              <w:rPr>
                <w:sz w:val="18"/>
              </w:rPr>
            </w:pPr>
            <w:r>
              <w:rPr>
                <w:sz w:val="18"/>
              </w:rPr>
              <w:t>现状调查内容</w:t>
            </w:r>
          </w:p>
        </w:tc>
        <w:tc>
          <w:tcPr>
            <w:tcW w:w="1678" w:type="dxa"/>
          </w:tcPr>
          <w:p>
            <w:pPr>
              <w:pStyle w:val="19"/>
              <w:spacing w:before="54"/>
              <w:ind w:left="73" w:right="62"/>
              <w:rPr>
                <w:sz w:val="18"/>
              </w:rPr>
            </w:pPr>
            <w:r>
              <w:rPr>
                <w:sz w:val="18"/>
              </w:rPr>
              <w:t>资料收集</w:t>
            </w:r>
          </w:p>
        </w:tc>
        <w:tc>
          <w:tcPr>
            <w:tcW w:w="5287" w:type="dxa"/>
            <w:gridSpan w:val="6"/>
          </w:tcPr>
          <w:p>
            <w:pPr>
              <w:pStyle w:val="19"/>
              <w:spacing w:before="47"/>
              <w:ind w:left="123"/>
              <w:jc w:val="left"/>
              <w:rPr>
                <w:rFonts w:ascii="Times New Roman" w:hAnsi="Times New Roman" w:eastAsia="Times New Roman"/>
                <w:sz w:val="21"/>
              </w:rPr>
            </w:pPr>
            <w:r>
              <w:rPr>
                <w:rFonts w:ascii="Times New Roman" w:hAnsi="Times New Roman" w:eastAsia="Times New Roman"/>
                <w:sz w:val="18"/>
              </w:rPr>
              <w:t>a</w:t>
            </w:r>
            <w:r>
              <w:rPr>
                <w:sz w:val="18"/>
              </w:rPr>
              <w:t>）</w:t>
            </w:r>
            <w:r>
              <w:rPr>
                <w:rFonts w:ascii="Wingdings 2" w:hAnsi="Wingdings 2" w:eastAsia="Wingdings 2"/>
                <w:sz w:val="21"/>
              </w:rPr>
              <w:t></w:t>
            </w:r>
            <w:r>
              <w:rPr>
                <w:sz w:val="18"/>
              </w:rPr>
              <w:t>；</w:t>
            </w:r>
            <w:r>
              <w:rPr>
                <w:rFonts w:ascii="Times New Roman" w:hAnsi="Times New Roman" w:eastAsia="Times New Roman"/>
                <w:sz w:val="18"/>
              </w:rPr>
              <w:t>b</w:t>
            </w:r>
            <w:r>
              <w:rPr>
                <w:sz w:val="18"/>
              </w:rPr>
              <w:t>）</w:t>
            </w:r>
            <w:r>
              <w:rPr>
                <w:rFonts w:ascii="Wingdings 2" w:hAnsi="Wingdings 2" w:eastAsia="Wingdings 2"/>
                <w:sz w:val="21"/>
              </w:rPr>
              <w:t></w:t>
            </w:r>
            <w:r>
              <w:rPr>
                <w:sz w:val="18"/>
              </w:rPr>
              <w:t>；</w:t>
            </w:r>
            <w:r>
              <w:rPr>
                <w:rFonts w:ascii="Times New Roman" w:hAnsi="Times New Roman" w:eastAsia="Times New Roman"/>
                <w:sz w:val="18"/>
              </w:rPr>
              <w:t>c</w:t>
            </w:r>
            <w:r>
              <w:rPr>
                <w:sz w:val="18"/>
              </w:rPr>
              <w:t>）</w:t>
            </w:r>
            <w:r>
              <w:rPr>
                <w:rFonts w:ascii="Wingdings 2" w:hAnsi="Wingdings 2" w:eastAsia="Wingdings 2"/>
                <w:sz w:val="21"/>
              </w:rPr>
              <w:t></w:t>
            </w:r>
            <w:r>
              <w:rPr>
                <w:sz w:val="18"/>
              </w:rPr>
              <w:t>；</w:t>
            </w:r>
            <w:r>
              <w:rPr>
                <w:rFonts w:ascii="Times New Roman" w:hAnsi="Times New Roman" w:eastAsia="Times New Roman"/>
                <w:sz w:val="18"/>
              </w:rPr>
              <w:t>d</w:t>
            </w:r>
            <w:r>
              <w:rPr>
                <w:sz w:val="18"/>
              </w:rPr>
              <w:t>）</w:t>
            </w:r>
            <w:r>
              <w:rPr>
                <w:rFonts w:ascii="Times New Roman" w:hAnsi="Times New Roman" w:eastAsia="Times New Roman"/>
                <w:sz w:val="21"/>
              </w:rPr>
              <w:t>□</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4"/>
              <w:ind w:left="73" w:right="62"/>
              <w:rPr>
                <w:sz w:val="18"/>
              </w:rPr>
            </w:pPr>
            <w:r>
              <w:rPr>
                <w:sz w:val="18"/>
              </w:rPr>
              <w:t>理化特性</w:t>
            </w:r>
          </w:p>
        </w:tc>
        <w:tc>
          <w:tcPr>
            <w:tcW w:w="5287" w:type="dxa"/>
            <w:gridSpan w:val="6"/>
          </w:tcPr>
          <w:p>
            <w:pPr>
              <w:pStyle w:val="19"/>
              <w:spacing w:before="54"/>
              <w:ind w:left="2179" w:right="2171"/>
              <w:rPr>
                <w:sz w:val="18"/>
              </w:rPr>
            </w:pPr>
            <w:r>
              <w:rPr>
                <w:sz w:val="18"/>
              </w:rPr>
              <w:t>未调查</w:t>
            </w:r>
          </w:p>
        </w:tc>
        <w:tc>
          <w:tcPr>
            <w:tcW w:w="1187" w:type="dxa"/>
          </w:tcPr>
          <w:p>
            <w:pPr>
              <w:pStyle w:val="19"/>
              <w:spacing w:before="54"/>
              <w:ind w:left="199"/>
              <w:jc w:val="left"/>
              <w:rPr>
                <w:rFonts w:ascii="Times New Roman" w:eastAsia="Times New Roman"/>
                <w:sz w:val="18"/>
              </w:rPr>
            </w:pPr>
            <w:r>
              <w:rPr>
                <w:sz w:val="18"/>
              </w:rPr>
              <w:t>同附录</w:t>
            </w:r>
            <w:r>
              <w:rPr>
                <w:rFonts w:ascii="Times New Roman" w:eastAsia="Times New Roman"/>
                <w:sz w:val="18"/>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vMerge w:val="restart"/>
          </w:tcPr>
          <w:p>
            <w:pPr>
              <w:pStyle w:val="19"/>
              <w:jc w:val="left"/>
              <w:rPr>
                <w:b/>
                <w:sz w:val="18"/>
              </w:rPr>
            </w:pPr>
          </w:p>
          <w:p>
            <w:pPr>
              <w:pStyle w:val="19"/>
              <w:spacing w:before="8"/>
              <w:jc w:val="left"/>
              <w:rPr>
                <w:b/>
                <w:sz w:val="13"/>
              </w:rPr>
            </w:pPr>
          </w:p>
          <w:p>
            <w:pPr>
              <w:pStyle w:val="19"/>
              <w:ind w:left="273"/>
              <w:jc w:val="left"/>
              <w:rPr>
                <w:sz w:val="18"/>
              </w:rPr>
            </w:pPr>
            <w:r>
              <w:rPr>
                <w:sz w:val="18"/>
              </w:rPr>
              <w:t>现状监测点位</w:t>
            </w:r>
          </w:p>
        </w:tc>
        <w:tc>
          <w:tcPr>
            <w:tcW w:w="1416" w:type="dxa"/>
          </w:tcPr>
          <w:p>
            <w:pPr>
              <w:pStyle w:val="19"/>
              <w:jc w:val="left"/>
              <w:rPr>
                <w:rFonts w:ascii="Times New Roman"/>
                <w:sz w:val="18"/>
              </w:rPr>
            </w:pPr>
          </w:p>
        </w:tc>
        <w:tc>
          <w:tcPr>
            <w:tcW w:w="939" w:type="dxa"/>
            <w:gridSpan w:val="2"/>
          </w:tcPr>
          <w:p>
            <w:pPr>
              <w:pStyle w:val="19"/>
              <w:spacing w:before="54"/>
              <w:ind w:left="3" w:right="-15"/>
              <w:jc w:val="left"/>
              <w:rPr>
                <w:sz w:val="18"/>
              </w:rPr>
            </w:pPr>
            <w:r>
              <w:rPr>
                <w:sz w:val="18"/>
              </w:rPr>
              <w:t>占地范围内</w:t>
            </w:r>
          </w:p>
        </w:tc>
        <w:tc>
          <w:tcPr>
            <w:tcW w:w="1875" w:type="dxa"/>
            <w:gridSpan w:val="2"/>
          </w:tcPr>
          <w:p>
            <w:pPr>
              <w:pStyle w:val="19"/>
              <w:spacing w:before="54"/>
              <w:ind w:left="458"/>
              <w:jc w:val="left"/>
              <w:rPr>
                <w:sz w:val="18"/>
              </w:rPr>
            </w:pPr>
            <w:r>
              <w:rPr>
                <w:sz w:val="18"/>
              </w:rPr>
              <w:t>占地范围外</w:t>
            </w:r>
          </w:p>
        </w:tc>
        <w:tc>
          <w:tcPr>
            <w:tcW w:w="1057" w:type="dxa"/>
          </w:tcPr>
          <w:p>
            <w:pPr>
              <w:pStyle w:val="19"/>
              <w:spacing w:before="54"/>
              <w:ind w:left="53" w:right="45"/>
              <w:rPr>
                <w:sz w:val="18"/>
              </w:rPr>
            </w:pPr>
            <w:r>
              <w:rPr>
                <w:sz w:val="18"/>
              </w:rPr>
              <w:t>深度</w:t>
            </w:r>
          </w:p>
        </w:tc>
        <w:tc>
          <w:tcPr>
            <w:tcW w:w="1187" w:type="dxa"/>
            <w:vMerge w:val="restart"/>
          </w:tcPr>
          <w:p>
            <w:pPr>
              <w:pStyle w:val="19"/>
              <w:jc w:val="left"/>
              <w:rPr>
                <w:b/>
                <w:sz w:val="18"/>
              </w:rPr>
            </w:pPr>
          </w:p>
          <w:p>
            <w:pPr>
              <w:pStyle w:val="19"/>
              <w:spacing w:before="8"/>
              <w:jc w:val="left"/>
              <w:rPr>
                <w:b/>
                <w:sz w:val="13"/>
              </w:rPr>
            </w:pPr>
          </w:p>
          <w:p>
            <w:pPr>
              <w:pStyle w:val="19"/>
              <w:ind w:left="124"/>
              <w:jc w:val="left"/>
              <w:rPr>
                <w:sz w:val="18"/>
              </w:rPr>
            </w:pPr>
            <w:r>
              <w:rPr>
                <w:sz w:val="18"/>
              </w:rPr>
              <w:t>点位布置图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vMerge w:val="continue"/>
            <w:tcBorders>
              <w:top w:val="nil"/>
            </w:tcBorders>
          </w:tcPr>
          <w:p>
            <w:pPr>
              <w:rPr>
                <w:sz w:val="2"/>
                <w:szCs w:val="2"/>
              </w:rPr>
            </w:pPr>
          </w:p>
        </w:tc>
        <w:tc>
          <w:tcPr>
            <w:tcW w:w="1416" w:type="dxa"/>
          </w:tcPr>
          <w:p>
            <w:pPr>
              <w:pStyle w:val="19"/>
              <w:spacing w:before="55"/>
              <w:ind w:left="216" w:right="206"/>
              <w:rPr>
                <w:sz w:val="18"/>
              </w:rPr>
            </w:pPr>
            <w:r>
              <w:rPr>
                <w:sz w:val="18"/>
              </w:rPr>
              <w:t>表层样点数</w:t>
            </w:r>
          </w:p>
        </w:tc>
        <w:tc>
          <w:tcPr>
            <w:tcW w:w="939" w:type="dxa"/>
            <w:gridSpan w:val="2"/>
          </w:tcPr>
          <w:p>
            <w:pPr>
              <w:pStyle w:val="19"/>
              <w:spacing w:before="67"/>
              <w:ind w:left="7"/>
              <w:rPr>
                <w:rFonts w:ascii="Times New Roman"/>
                <w:sz w:val="18"/>
              </w:rPr>
            </w:pPr>
            <w:r>
              <w:rPr>
                <w:rFonts w:ascii="Times New Roman"/>
                <w:sz w:val="18"/>
              </w:rPr>
              <w:t>3</w:t>
            </w:r>
          </w:p>
        </w:tc>
        <w:tc>
          <w:tcPr>
            <w:tcW w:w="1875" w:type="dxa"/>
            <w:gridSpan w:val="2"/>
          </w:tcPr>
          <w:p>
            <w:pPr>
              <w:pStyle w:val="19"/>
              <w:spacing w:before="67"/>
              <w:ind w:left="9"/>
              <w:rPr>
                <w:rFonts w:ascii="Times New Roman"/>
                <w:sz w:val="18"/>
              </w:rPr>
            </w:pPr>
            <w:r>
              <w:rPr>
                <w:rFonts w:ascii="Times New Roman"/>
                <w:sz w:val="18"/>
              </w:rPr>
              <w:t>0</w:t>
            </w:r>
          </w:p>
        </w:tc>
        <w:tc>
          <w:tcPr>
            <w:tcW w:w="1057" w:type="dxa"/>
          </w:tcPr>
          <w:p>
            <w:pPr>
              <w:pStyle w:val="19"/>
              <w:spacing w:before="67"/>
              <w:ind w:left="53" w:right="42"/>
              <w:rPr>
                <w:rFonts w:ascii="Times New Roman"/>
                <w:sz w:val="18"/>
              </w:rPr>
            </w:pPr>
            <w:r>
              <w:rPr>
                <w:rFonts w:ascii="Times New Roman"/>
                <w:sz w:val="18"/>
              </w:rPr>
              <w:t>0-0.2m</w:t>
            </w:r>
          </w:p>
        </w:tc>
        <w:tc>
          <w:tcPr>
            <w:tcW w:w="118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vMerge w:val="continue"/>
            <w:tcBorders>
              <w:top w:val="nil"/>
            </w:tcBorders>
          </w:tcPr>
          <w:p>
            <w:pPr>
              <w:rPr>
                <w:sz w:val="2"/>
                <w:szCs w:val="2"/>
              </w:rPr>
            </w:pPr>
          </w:p>
        </w:tc>
        <w:tc>
          <w:tcPr>
            <w:tcW w:w="1416" w:type="dxa"/>
          </w:tcPr>
          <w:p>
            <w:pPr>
              <w:pStyle w:val="19"/>
              <w:spacing w:before="55"/>
              <w:ind w:left="216" w:right="206"/>
              <w:rPr>
                <w:sz w:val="18"/>
              </w:rPr>
            </w:pPr>
            <w:r>
              <w:rPr>
                <w:sz w:val="18"/>
              </w:rPr>
              <w:t>柱状样点数</w:t>
            </w:r>
          </w:p>
        </w:tc>
        <w:tc>
          <w:tcPr>
            <w:tcW w:w="939" w:type="dxa"/>
            <w:gridSpan w:val="2"/>
          </w:tcPr>
          <w:p>
            <w:pPr>
              <w:pStyle w:val="19"/>
              <w:spacing w:before="65"/>
              <w:ind w:left="7"/>
              <w:rPr>
                <w:rFonts w:ascii="Times New Roman"/>
                <w:sz w:val="18"/>
              </w:rPr>
            </w:pPr>
            <w:r>
              <w:rPr>
                <w:rFonts w:ascii="Times New Roman"/>
                <w:sz w:val="18"/>
              </w:rPr>
              <w:t>0</w:t>
            </w:r>
          </w:p>
        </w:tc>
        <w:tc>
          <w:tcPr>
            <w:tcW w:w="1875" w:type="dxa"/>
            <w:gridSpan w:val="2"/>
          </w:tcPr>
          <w:p>
            <w:pPr>
              <w:pStyle w:val="19"/>
              <w:spacing w:before="65"/>
              <w:ind w:left="9"/>
              <w:rPr>
                <w:rFonts w:ascii="Times New Roman"/>
                <w:sz w:val="18"/>
              </w:rPr>
            </w:pPr>
            <w:r>
              <w:rPr>
                <w:rFonts w:ascii="Times New Roman"/>
                <w:sz w:val="18"/>
              </w:rPr>
              <w:t>0</w:t>
            </w:r>
          </w:p>
        </w:tc>
        <w:tc>
          <w:tcPr>
            <w:tcW w:w="1057" w:type="dxa"/>
          </w:tcPr>
          <w:p>
            <w:pPr>
              <w:pStyle w:val="19"/>
              <w:jc w:val="left"/>
              <w:rPr>
                <w:rFonts w:ascii="Times New Roman"/>
                <w:sz w:val="18"/>
              </w:rPr>
            </w:pPr>
          </w:p>
        </w:tc>
        <w:tc>
          <w:tcPr>
            <w:tcW w:w="118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41"/>
              <w:ind w:left="73" w:right="62"/>
              <w:rPr>
                <w:sz w:val="18"/>
              </w:rPr>
            </w:pPr>
            <w:r>
              <w:rPr>
                <w:sz w:val="18"/>
              </w:rPr>
              <w:t>现状监测因子</w:t>
            </w:r>
          </w:p>
        </w:tc>
        <w:tc>
          <w:tcPr>
            <w:tcW w:w="5287" w:type="dxa"/>
            <w:gridSpan w:val="6"/>
          </w:tcPr>
          <w:p>
            <w:pPr>
              <w:pStyle w:val="19"/>
              <w:spacing w:before="41"/>
              <w:ind w:left="1210"/>
              <w:jc w:val="left"/>
              <w:rPr>
                <w:sz w:val="18"/>
              </w:rPr>
            </w:pPr>
            <w:r>
              <w:rPr>
                <w:sz w:val="18"/>
              </w:rPr>
              <w:t>镉、汞、砷、铅、铬、铜、镍、锌</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restart"/>
          </w:tcPr>
          <w:p>
            <w:pPr>
              <w:pStyle w:val="19"/>
              <w:jc w:val="left"/>
              <w:rPr>
                <w:b/>
                <w:sz w:val="18"/>
              </w:rPr>
            </w:pPr>
          </w:p>
          <w:p>
            <w:pPr>
              <w:pStyle w:val="19"/>
              <w:spacing w:before="161" w:line="324" w:lineRule="auto"/>
              <w:ind w:left="27" w:right="14"/>
              <w:jc w:val="left"/>
              <w:rPr>
                <w:sz w:val="18"/>
              </w:rPr>
            </w:pPr>
            <w:r>
              <w:rPr>
                <w:sz w:val="18"/>
              </w:rPr>
              <w:t>现状评价</w:t>
            </w:r>
          </w:p>
        </w:tc>
        <w:tc>
          <w:tcPr>
            <w:tcW w:w="1678" w:type="dxa"/>
          </w:tcPr>
          <w:p>
            <w:pPr>
              <w:pStyle w:val="19"/>
              <w:spacing w:before="55"/>
              <w:ind w:left="73" w:right="62"/>
              <w:rPr>
                <w:sz w:val="18"/>
              </w:rPr>
            </w:pPr>
            <w:r>
              <w:rPr>
                <w:sz w:val="18"/>
              </w:rPr>
              <w:t>评价因子</w:t>
            </w:r>
          </w:p>
        </w:tc>
        <w:tc>
          <w:tcPr>
            <w:tcW w:w="5287" w:type="dxa"/>
            <w:gridSpan w:val="6"/>
          </w:tcPr>
          <w:p>
            <w:pPr>
              <w:pStyle w:val="19"/>
              <w:spacing w:before="55"/>
              <w:ind w:left="1210"/>
              <w:jc w:val="left"/>
              <w:rPr>
                <w:sz w:val="18"/>
              </w:rPr>
            </w:pPr>
            <w:r>
              <w:rPr>
                <w:sz w:val="18"/>
              </w:rPr>
              <w:t>镉、汞、砷、铅、铬、铜、镍、锌</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6"/>
              <w:ind w:left="73" w:right="62"/>
              <w:rPr>
                <w:sz w:val="18"/>
              </w:rPr>
            </w:pPr>
            <w:r>
              <w:rPr>
                <w:sz w:val="18"/>
              </w:rPr>
              <w:t>评价标准</w:t>
            </w:r>
          </w:p>
        </w:tc>
        <w:tc>
          <w:tcPr>
            <w:tcW w:w="5287" w:type="dxa"/>
            <w:gridSpan w:val="6"/>
          </w:tcPr>
          <w:p>
            <w:pPr>
              <w:pStyle w:val="19"/>
              <w:spacing w:before="47"/>
              <w:ind w:left="8"/>
              <w:jc w:val="left"/>
              <w:rPr>
                <w:rFonts w:ascii="Times New Roman" w:hAnsi="Times New Roman" w:eastAsia="Times New Roman"/>
                <w:sz w:val="18"/>
              </w:rPr>
            </w:pPr>
            <w:r>
              <w:rPr>
                <w:rFonts w:ascii="Times New Roman" w:hAnsi="Times New Roman" w:eastAsia="Times New Roman"/>
                <w:sz w:val="18"/>
              </w:rPr>
              <w:t xml:space="preserve">GB </w:t>
            </w:r>
            <w:r>
              <w:rPr>
                <w:rFonts w:ascii="Times New Roman" w:hAnsi="Times New Roman" w:eastAsia="Times New Roman"/>
                <w:spacing w:val="-4"/>
                <w:sz w:val="18"/>
              </w:rPr>
              <w:t>15618</w:t>
            </w:r>
            <w:r>
              <w:rPr>
                <w:rFonts w:ascii="Times New Roman" w:hAnsi="Times New Roman" w:eastAsia="Times New Roman"/>
                <w:spacing w:val="-4"/>
                <w:sz w:val="21"/>
              </w:rPr>
              <w:t>□</w:t>
            </w:r>
            <w:r>
              <w:rPr>
                <w:spacing w:val="-4"/>
                <w:sz w:val="18"/>
              </w:rPr>
              <w:t>；</w:t>
            </w:r>
            <w:r>
              <w:rPr>
                <w:rFonts w:ascii="Times New Roman" w:hAnsi="Times New Roman" w:eastAsia="Times New Roman"/>
                <w:spacing w:val="-4"/>
                <w:sz w:val="18"/>
              </w:rPr>
              <w:t xml:space="preserve">GB </w:t>
            </w:r>
            <w:r>
              <w:rPr>
                <w:rFonts w:ascii="Times New Roman" w:hAnsi="Times New Roman" w:eastAsia="Times New Roman"/>
                <w:spacing w:val="-5"/>
                <w:sz w:val="18"/>
              </w:rPr>
              <w:t>36600</w:t>
            </w:r>
            <w:r>
              <w:rPr>
                <w:rFonts w:ascii="Times New Roman" w:hAnsi="Times New Roman" w:eastAsia="Times New Roman"/>
                <w:spacing w:val="-5"/>
                <w:sz w:val="21"/>
              </w:rPr>
              <w:t>□</w:t>
            </w:r>
            <w:r>
              <w:rPr>
                <w:spacing w:val="-17"/>
                <w:sz w:val="18"/>
              </w:rPr>
              <w:t>；表</w:t>
            </w:r>
            <w:r>
              <w:rPr>
                <w:rFonts w:ascii="Times New Roman" w:hAnsi="Times New Roman" w:eastAsia="Times New Roman"/>
                <w:spacing w:val="-7"/>
                <w:sz w:val="18"/>
              </w:rPr>
              <w:t>D.1</w:t>
            </w:r>
            <w:r>
              <w:rPr>
                <w:rFonts w:ascii="Times New Roman" w:hAnsi="Times New Roman" w:eastAsia="Times New Roman"/>
                <w:spacing w:val="-7"/>
                <w:sz w:val="21"/>
              </w:rPr>
              <w:t>□</w:t>
            </w:r>
            <w:r>
              <w:rPr>
                <w:spacing w:val="-3"/>
                <w:sz w:val="18"/>
              </w:rPr>
              <w:t>；表</w:t>
            </w:r>
            <w:r>
              <w:rPr>
                <w:rFonts w:ascii="Times New Roman" w:hAnsi="Times New Roman" w:eastAsia="Times New Roman"/>
                <w:spacing w:val="-7"/>
                <w:sz w:val="18"/>
              </w:rPr>
              <w:t>D.2</w:t>
            </w:r>
            <w:r>
              <w:rPr>
                <w:rFonts w:ascii="Times New Roman" w:hAnsi="Times New Roman" w:eastAsia="Times New Roman"/>
                <w:spacing w:val="-7"/>
                <w:sz w:val="21"/>
              </w:rPr>
              <w:t>□</w:t>
            </w:r>
            <w:r>
              <w:rPr>
                <w:spacing w:val="-13"/>
                <w:sz w:val="18"/>
              </w:rPr>
              <w:t>；其他</w:t>
            </w:r>
            <w:r>
              <w:rPr>
                <w:sz w:val="18"/>
              </w:rPr>
              <w:t>（</w:t>
            </w:r>
            <w:r>
              <w:rPr>
                <w:rFonts w:ascii="Times New Roman" w:hAnsi="Times New Roman" w:eastAsia="Times New Roman"/>
                <w:sz w:val="18"/>
              </w:rPr>
              <w:t>HJ568-2010</w:t>
            </w:r>
          </w:p>
        </w:tc>
        <w:tc>
          <w:tcPr>
            <w:tcW w:w="1187" w:type="dxa"/>
          </w:tcPr>
          <w:p>
            <w:pPr>
              <w:pStyle w:val="19"/>
              <w:spacing w:before="63"/>
              <w:ind w:left="-92"/>
              <w:jc w:val="lef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
              <w:jc w:val="left"/>
              <w:rPr>
                <w:b/>
                <w:sz w:val="15"/>
              </w:rPr>
            </w:pPr>
          </w:p>
          <w:p>
            <w:pPr>
              <w:pStyle w:val="19"/>
              <w:spacing w:before="1"/>
              <w:ind w:left="73" w:right="62"/>
              <w:rPr>
                <w:sz w:val="18"/>
              </w:rPr>
            </w:pPr>
            <w:r>
              <w:rPr>
                <w:sz w:val="18"/>
              </w:rPr>
              <w:t>现状评价结论</w:t>
            </w:r>
          </w:p>
        </w:tc>
        <w:tc>
          <w:tcPr>
            <w:tcW w:w="5287" w:type="dxa"/>
            <w:gridSpan w:val="6"/>
          </w:tcPr>
          <w:p>
            <w:pPr>
              <w:pStyle w:val="19"/>
              <w:spacing w:before="42"/>
              <w:ind w:left="3" w:right="-15"/>
              <w:jc w:val="left"/>
              <w:rPr>
                <w:sz w:val="18"/>
              </w:rPr>
            </w:pPr>
            <w:r>
              <w:rPr>
                <w:sz w:val="18"/>
              </w:rPr>
              <w:t>项目区土壤满足《畜禽养殖产地环境评价规范》（</w:t>
            </w:r>
            <w:r>
              <w:rPr>
                <w:rFonts w:ascii="Times New Roman" w:eastAsia="Times New Roman"/>
                <w:sz w:val="18"/>
              </w:rPr>
              <w:t>HJ568-2010</w:t>
            </w:r>
            <w:r>
              <w:rPr>
                <w:sz w:val="18"/>
              </w:rPr>
              <w:t>）</w:t>
            </w:r>
          </w:p>
          <w:p>
            <w:pPr>
              <w:pStyle w:val="19"/>
              <w:spacing w:before="81"/>
              <w:ind w:left="3"/>
              <w:jc w:val="left"/>
              <w:rPr>
                <w:sz w:val="18"/>
              </w:rPr>
            </w:pPr>
            <w:r>
              <w:rPr>
                <w:sz w:val="18"/>
              </w:rPr>
              <w:t>中表</w:t>
            </w:r>
            <w:r>
              <w:rPr>
                <w:rFonts w:ascii="Times New Roman" w:eastAsia="Times New Roman"/>
                <w:sz w:val="18"/>
              </w:rPr>
              <w:t>4</w:t>
            </w:r>
            <w:r>
              <w:rPr>
                <w:sz w:val="18"/>
              </w:rPr>
              <w:t>养殖场土壤环境质量评价指标限值</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restart"/>
          </w:tcPr>
          <w:p>
            <w:pPr>
              <w:pStyle w:val="19"/>
              <w:jc w:val="left"/>
              <w:rPr>
                <w:b/>
                <w:sz w:val="18"/>
              </w:rPr>
            </w:pPr>
          </w:p>
          <w:p>
            <w:pPr>
              <w:pStyle w:val="19"/>
              <w:jc w:val="left"/>
              <w:rPr>
                <w:b/>
                <w:sz w:val="18"/>
              </w:rPr>
            </w:pPr>
          </w:p>
          <w:p>
            <w:pPr>
              <w:pStyle w:val="19"/>
              <w:spacing w:before="4"/>
              <w:jc w:val="left"/>
              <w:rPr>
                <w:b/>
                <w:sz w:val="19"/>
              </w:rPr>
            </w:pPr>
          </w:p>
          <w:p>
            <w:pPr>
              <w:pStyle w:val="19"/>
              <w:spacing w:line="324" w:lineRule="auto"/>
              <w:ind w:left="27" w:right="14"/>
              <w:jc w:val="left"/>
              <w:rPr>
                <w:sz w:val="18"/>
              </w:rPr>
            </w:pPr>
            <w:r>
              <w:rPr>
                <w:sz w:val="18"/>
              </w:rPr>
              <w:t>影响预测</w:t>
            </w:r>
          </w:p>
        </w:tc>
        <w:tc>
          <w:tcPr>
            <w:tcW w:w="1678" w:type="dxa"/>
          </w:tcPr>
          <w:p>
            <w:pPr>
              <w:pStyle w:val="19"/>
              <w:spacing w:before="56"/>
              <w:ind w:left="73" w:right="62"/>
              <w:rPr>
                <w:sz w:val="18"/>
              </w:rPr>
            </w:pPr>
            <w:r>
              <w:rPr>
                <w:sz w:val="18"/>
              </w:rPr>
              <w:t>预测因子</w:t>
            </w:r>
          </w:p>
        </w:tc>
        <w:tc>
          <w:tcPr>
            <w:tcW w:w="5287" w:type="dxa"/>
            <w:gridSpan w:val="6"/>
          </w:tcPr>
          <w:p>
            <w:pPr>
              <w:pStyle w:val="19"/>
              <w:spacing w:before="56"/>
              <w:ind w:left="128"/>
              <w:rPr>
                <w:sz w:val="18"/>
              </w:rPr>
            </w:pPr>
            <w:r>
              <w:rPr>
                <w:sz w:val="18"/>
              </w:rPr>
              <w:t>无</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4"/>
              <w:ind w:left="73" w:right="62"/>
              <w:rPr>
                <w:sz w:val="18"/>
              </w:rPr>
            </w:pPr>
            <w:r>
              <w:rPr>
                <w:sz w:val="18"/>
              </w:rPr>
              <w:t>预测方法</w:t>
            </w:r>
          </w:p>
        </w:tc>
        <w:tc>
          <w:tcPr>
            <w:tcW w:w="5287" w:type="dxa"/>
            <w:gridSpan w:val="6"/>
          </w:tcPr>
          <w:p>
            <w:pPr>
              <w:pStyle w:val="19"/>
              <w:tabs>
                <w:tab w:val="left" w:pos="2934"/>
              </w:tabs>
              <w:spacing w:before="47"/>
              <w:ind w:left="123"/>
              <w:jc w:val="left"/>
              <w:rPr>
                <w:sz w:val="18"/>
              </w:rPr>
            </w:pPr>
            <w:r>
              <w:rPr>
                <w:sz w:val="18"/>
              </w:rPr>
              <w:t>附录</w:t>
            </w:r>
            <w:r>
              <w:rPr>
                <w:rFonts w:ascii="Times New Roman" w:hAnsi="Times New Roman" w:eastAsia="Times New Roman"/>
                <w:sz w:val="18"/>
              </w:rPr>
              <w:t>E</w:t>
            </w:r>
            <w:r>
              <w:rPr>
                <w:rFonts w:ascii="Times New Roman" w:hAnsi="Times New Roman" w:eastAsia="Times New Roman"/>
                <w:sz w:val="21"/>
              </w:rPr>
              <w:t>□</w:t>
            </w:r>
            <w:r>
              <w:rPr>
                <w:sz w:val="18"/>
              </w:rPr>
              <w:t>；附录</w:t>
            </w:r>
            <w:r>
              <w:rPr>
                <w:rFonts w:ascii="Times New Roman" w:hAnsi="Times New Roman" w:eastAsia="Times New Roman"/>
                <w:sz w:val="18"/>
              </w:rPr>
              <w:t>F</w:t>
            </w:r>
            <w:r>
              <w:rPr>
                <w:rFonts w:ascii="Times New Roman" w:hAnsi="Times New Roman" w:eastAsia="Times New Roman"/>
                <w:sz w:val="21"/>
              </w:rPr>
              <w:t>□</w:t>
            </w:r>
            <w:r>
              <w:rPr>
                <w:sz w:val="18"/>
              </w:rPr>
              <w:t>；其他（</w:t>
            </w:r>
            <w:r>
              <w:rPr>
                <w:sz w:val="18"/>
              </w:rPr>
              <w:tab/>
            </w:r>
            <w:r>
              <w:rPr>
                <w:sz w:val="18"/>
              </w:rPr>
              <w:t>）</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3"/>
              <w:jc w:val="left"/>
              <w:rPr>
                <w:b/>
                <w:sz w:val="15"/>
              </w:rPr>
            </w:pPr>
          </w:p>
          <w:p>
            <w:pPr>
              <w:pStyle w:val="19"/>
              <w:spacing w:before="1"/>
              <w:ind w:left="73" w:right="62"/>
              <w:rPr>
                <w:sz w:val="18"/>
              </w:rPr>
            </w:pPr>
            <w:r>
              <w:rPr>
                <w:sz w:val="18"/>
              </w:rPr>
              <w:t>预测分析内容</w:t>
            </w:r>
          </w:p>
        </w:tc>
        <w:tc>
          <w:tcPr>
            <w:tcW w:w="5287" w:type="dxa"/>
            <w:gridSpan w:val="6"/>
          </w:tcPr>
          <w:p>
            <w:pPr>
              <w:pStyle w:val="19"/>
              <w:tabs>
                <w:tab w:val="left" w:pos="1642"/>
              </w:tabs>
              <w:spacing w:before="40"/>
              <w:ind w:left="123"/>
              <w:jc w:val="left"/>
              <w:rPr>
                <w:sz w:val="18"/>
              </w:rPr>
            </w:pPr>
            <w:r>
              <w:rPr>
                <w:sz w:val="18"/>
              </w:rPr>
              <w:t>影响范围（</w:t>
            </w:r>
            <w:r>
              <w:rPr>
                <w:sz w:val="18"/>
              </w:rPr>
              <w:tab/>
            </w:r>
            <w:r>
              <w:rPr>
                <w:sz w:val="18"/>
              </w:rPr>
              <w:t>）</w:t>
            </w:r>
          </w:p>
          <w:p>
            <w:pPr>
              <w:pStyle w:val="19"/>
              <w:tabs>
                <w:tab w:val="left" w:pos="1642"/>
              </w:tabs>
              <w:spacing w:before="81"/>
              <w:ind w:left="123"/>
              <w:jc w:val="left"/>
              <w:rPr>
                <w:sz w:val="18"/>
              </w:rPr>
            </w:pPr>
            <w:r>
              <w:rPr>
                <w:sz w:val="18"/>
              </w:rPr>
              <w:t>影响程度（</w:t>
            </w:r>
            <w:r>
              <w:rPr>
                <w:sz w:val="18"/>
              </w:rPr>
              <w:tab/>
            </w:r>
            <w:r>
              <w:rPr>
                <w:sz w:val="18"/>
              </w:rPr>
              <w:t>）</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
              <w:jc w:val="left"/>
              <w:rPr>
                <w:b/>
                <w:sz w:val="15"/>
              </w:rPr>
            </w:pPr>
          </w:p>
          <w:p>
            <w:pPr>
              <w:pStyle w:val="19"/>
              <w:spacing w:before="1"/>
              <w:ind w:left="73" w:right="62"/>
              <w:rPr>
                <w:sz w:val="18"/>
              </w:rPr>
            </w:pPr>
            <w:r>
              <w:rPr>
                <w:sz w:val="18"/>
              </w:rPr>
              <w:t>预测结论</w:t>
            </w:r>
          </w:p>
        </w:tc>
        <w:tc>
          <w:tcPr>
            <w:tcW w:w="5287" w:type="dxa"/>
            <w:gridSpan w:val="6"/>
          </w:tcPr>
          <w:p>
            <w:pPr>
              <w:pStyle w:val="19"/>
              <w:spacing w:before="33"/>
              <w:ind w:left="123"/>
              <w:jc w:val="left"/>
              <w:rPr>
                <w:rFonts w:ascii="Times New Roman" w:hAnsi="Times New Roman" w:eastAsia="Times New Roman"/>
                <w:sz w:val="21"/>
              </w:rPr>
            </w:pPr>
            <w:r>
              <w:rPr>
                <w:sz w:val="18"/>
              </w:rPr>
              <w:t>达标结论：</w:t>
            </w:r>
            <w:r>
              <w:rPr>
                <w:rFonts w:ascii="Times New Roman" w:hAnsi="Times New Roman" w:eastAsia="Times New Roman"/>
                <w:sz w:val="18"/>
              </w:rPr>
              <w:t>a</w:t>
            </w:r>
            <w:r>
              <w:rPr>
                <w:sz w:val="18"/>
              </w:rPr>
              <w:t>）</w:t>
            </w:r>
            <w:r>
              <w:rPr>
                <w:rFonts w:ascii="Times New Roman" w:hAnsi="Times New Roman" w:eastAsia="Times New Roman"/>
                <w:sz w:val="21"/>
              </w:rPr>
              <w:t>□</w:t>
            </w:r>
            <w:r>
              <w:rPr>
                <w:sz w:val="18"/>
              </w:rPr>
              <w:t>；</w:t>
            </w:r>
            <w:r>
              <w:rPr>
                <w:rFonts w:ascii="Times New Roman" w:hAnsi="Times New Roman" w:eastAsia="Times New Roman"/>
                <w:sz w:val="18"/>
              </w:rPr>
              <w:t>b</w:t>
            </w:r>
            <w:r>
              <w:rPr>
                <w:sz w:val="18"/>
              </w:rPr>
              <w:t>）</w:t>
            </w:r>
            <w:r>
              <w:rPr>
                <w:rFonts w:ascii="Times New Roman" w:hAnsi="Times New Roman" w:eastAsia="Times New Roman"/>
                <w:sz w:val="21"/>
              </w:rPr>
              <w:t>□</w:t>
            </w:r>
            <w:r>
              <w:rPr>
                <w:sz w:val="18"/>
              </w:rPr>
              <w:t>；</w:t>
            </w:r>
            <w:r>
              <w:rPr>
                <w:rFonts w:ascii="Times New Roman" w:hAnsi="Times New Roman" w:eastAsia="Times New Roman"/>
                <w:sz w:val="18"/>
              </w:rPr>
              <w:t>c</w:t>
            </w:r>
            <w:r>
              <w:rPr>
                <w:sz w:val="18"/>
              </w:rPr>
              <w:t>）</w:t>
            </w:r>
            <w:r>
              <w:rPr>
                <w:rFonts w:ascii="Times New Roman" w:hAnsi="Times New Roman" w:eastAsia="Times New Roman"/>
                <w:sz w:val="21"/>
              </w:rPr>
              <w:t>□</w:t>
            </w:r>
          </w:p>
          <w:p>
            <w:pPr>
              <w:pStyle w:val="19"/>
              <w:spacing w:before="65"/>
              <w:ind w:left="123"/>
              <w:jc w:val="left"/>
              <w:rPr>
                <w:rFonts w:ascii="Times New Roman" w:hAnsi="Times New Roman" w:eastAsia="Times New Roman"/>
                <w:sz w:val="21"/>
              </w:rPr>
            </w:pPr>
            <w:r>
              <w:rPr>
                <w:sz w:val="18"/>
              </w:rPr>
              <w:t>不达标结论：</w:t>
            </w:r>
            <w:r>
              <w:rPr>
                <w:rFonts w:ascii="Times New Roman" w:hAnsi="Times New Roman" w:eastAsia="Times New Roman"/>
                <w:sz w:val="18"/>
              </w:rPr>
              <w:t>a</w:t>
            </w:r>
            <w:r>
              <w:rPr>
                <w:sz w:val="18"/>
              </w:rPr>
              <w:t>）</w:t>
            </w:r>
            <w:r>
              <w:rPr>
                <w:rFonts w:ascii="Times New Roman" w:hAnsi="Times New Roman" w:eastAsia="Times New Roman"/>
                <w:sz w:val="21"/>
              </w:rPr>
              <w:t>□</w:t>
            </w:r>
            <w:r>
              <w:rPr>
                <w:sz w:val="18"/>
              </w:rPr>
              <w:t>；</w:t>
            </w:r>
            <w:r>
              <w:rPr>
                <w:rFonts w:ascii="Times New Roman" w:hAnsi="Times New Roman" w:eastAsia="Times New Roman"/>
                <w:sz w:val="18"/>
              </w:rPr>
              <w:t>b</w:t>
            </w:r>
            <w:r>
              <w:rPr>
                <w:sz w:val="18"/>
              </w:rPr>
              <w:t>）</w:t>
            </w:r>
            <w:r>
              <w:rPr>
                <w:rFonts w:ascii="Times New Roman" w:hAnsi="Times New Roman" w:eastAsia="Times New Roman"/>
                <w:sz w:val="21"/>
              </w:rPr>
              <w:t>□</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restart"/>
          </w:tcPr>
          <w:p>
            <w:pPr>
              <w:pStyle w:val="19"/>
              <w:jc w:val="left"/>
              <w:rPr>
                <w:b/>
                <w:sz w:val="18"/>
              </w:rPr>
            </w:pPr>
          </w:p>
          <w:p>
            <w:pPr>
              <w:pStyle w:val="19"/>
              <w:spacing w:before="3"/>
              <w:jc w:val="left"/>
              <w:rPr>
                <w:b/>
                <w:sz w:val="26"/>
              </w:rPr>
            </w:pPr>
          </w:p>
          <w:p>
            <w:pPr>
              <w:pStyle w:val="19"/>
              <w:spacing w:line="324" w:lineRule="auto"/>
              <w:ind w:left="27" w:right="14"/>
              <w:jc w:val="left"/>
              <w:rPr>
                <w:sz w:val="18"/>
              </w:rPr>
            </w:pPr>
            <w:r>
              <w:rPr>
                <w:sz w:val="18"/>
              </w:rPr>
              <w:t>防治措施</w:t>
            </w:r>
          </w:p>
        </w:tc>
        <w:tc>
          <w:tcPr>
            <w:tcW w:w="1678" w:type="dxa"/>
          </w:tcPr>
          <w:p>
            <w:pPr>
              <w:pStyle w:val="19"/>
              <w:spacing w:before="56"/>
              <w:ind w:left="73" w:right="62"/>
              <w:rPr>
                <w:sz w:val="18"/>
              </w:rPr>
            </w:pPr>
            <w:r>
              <w:rPr>
                <w:sz w:val="18"/>
              </w:rPr>
              <w:t>防控措施</w:t>
            </w:r>
          </w:p>
        </w:tc>
        <w:tc>
          <w:tcPr>
            <w:tcW w:w="5287" w:type="dxa"/>
            <w:gridSpan w:val="6"/>
          </w:tcPr>
          <w:p>
            <w:pPr>
              <w:pStyle w:val="19"/>
              <w:spacing w:before="47"/>
              <w:ind w:left="3"/>
              <w:jc w:val="left"/>
              <w:rPr>
                <w:sz w:val="18"/>
              </w:rPr>
            </w:pPr>
            <w:r>
              <w:rPr>
                <w:sz w:val="18"/>
              </w:rPr>
              <w:t>土壤环境质量现状保障</w:t>
            </w:r>
            <w:r>
              <w:rPr>
                <w:rFonts w:ascii="Times New Roman" w:hAnsi="Times New Roman" w:eastAsia="Times New Roman"/>
                <w:sz w:val="21"/>
              </w:rPr>
              <w:t>□</w:t>
            </w:r>
            <w:r>
              <w:rPr>
                <w:sz w:val="18"/>
              </w:rPr>
              <w:t>；源头控制</w:t>
            </w:r>
            <w:r>
              <w:rPr>
                <w:rFonts w:ascii="Wingdings 2" w:hAnsi="Wingdings 2" w:eastAsia="Wingdings 2"/>
                <w:sz w:val="21"/>
              </w:rPr>
              <w:t></w:t>
            </w:r>
            <w:r>
              <w:rPr>
                <w:sz w:val="18"/>
              </w:rPr>
              <w:t>；过程防控</w:t>
            </w:r>
            <w:r>
              <w:rPr>
                <w:rFonts w:ascii="Wingdings 2" w:hAnsi="Wingdings 2" w:eastAsia="Wingdings 2"/>
                <w:sz w:val="21"/>
              </w:rPr>
              <w:t></w:t>
            </w:r>
            <w:r>
              <w:rPr>
                <w:sz w:val="18"/>
              </w:rPr>
              <w:t>；其他（）</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vMerge w:val="restart"/>
          </w:tcPr>
          <w:p>
            <w:pPr>
              <w:pStyle w:val="19"/>
              <w:jc w:val="left"/>
              <w:rPr>
                <w:b/>
                <w:sz w:val="18"/>
              </w:rPr>
            </w:pPr>
          </w:p>
          <w:p>
            <w:pPr>
              <w:pStyle w:val="19"/>
              <w:spacing w:before="142"/>
              <w:ind w:left="453"/>
              <w:jc w:val="left"/>
              <w:rPr>
                <w:sz w:val="18"/>
              </w:rPr>
            </w:pPr>
            <w:r>
              <w:rPr>
                <w:sz w:val="18"/>
              </w:rPr>
              <w:t>跟踪监测</w:t>
            </w:r>
          </w:p>
        </w:tc>
        <w:tc>
          <w:tcPr>
            <w:tcW w:w="1761" w:type="dxa"/>
            <w:gridSpan w:val="2"/>
          </w:tcPr>
          <w:p>
            <w:pPr>
              <w:pStyle w:val="19"/>
              <w:spacing w:before="54"/>
              <w:ind w:left="493"/>
              <w:jc w:val="left"/>
              <w:rPr>
                <w:sz w:val="18"/>
              </w:rPr>
            </w:pPr>
            <w:r>
              <w:rPr>
                <w:sz w:val="18"/>
              </w:rPr>
              <w:t>监测点数</w:t>
            </w:r>
          </w:p>
        </w:tc>
        <w:tc>
          <w:tcPr>
            <w:tcW w:w="1762" w:type="dxa"/>
            <w:gridSpan w:val="2"/>
          </w:tcPr>
          <w:p>
            <w:pPr>
              <w:pStyle w:val="19"/>
              <w:spacing w:before="54"/>
              <w:ind w:left="492"/>
              <w:jc w:val="left"/>
              <w:rPr>
                <w:sz w:val="18"/>
              </w:rPr>
            </w:pPr>
            <w:r>
              <w:rPr>
                <w:sz w:val="18"/>
              </w:rPr>
              <w:t>监测指标</w:t>
            </w:r>
          </w:p>
        </w:tc>
        <w:tc>
          <w:tcPr>
            <w:tcW w:w="1764" w:type="dxa"/>
            <w:gridSpan w:val="2"/>
          </w:tcPr>
          <w:p>
            <w:pPr>
              <w:pStyle w:val="19"/>
              <w:spacing w:before="54"/>
              <w:ind w:left="493"/>
              <w:jc w:val="left"/>
              <w:rPr>
                <w:sz w:val="18"/>
              </w:rPr>
            </w:pPr>
            <w:r>
              <w:rPr>
                <w:sz w:val="18"/>
              </w:rPr>
              <w:t>监测频次</w:t>
            </w:r>
          </w:p>
        </w:tc>
        <w:tc>
          <w:tcPr>
            <w:tcW w:w="1187" w:type="dxa"/>
            <w:vMerge w:val="restart"/>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vMerge w:val="continue"/>
            <w:tcBorders>
              <w:top w:val="nil"/>
            </w:tcBorders>
          </w:tcPr>
          <w:p>
            <w:pPr>
              <w:rPr>
                <w:sz w:val="2"/>
                <w:szCs w:val="2"/>
              </w:rPr>
            </w:pPr>
          </w:p>
        </w:tc>
        <w:tc>
          <w:tcPr>
            <w:tcW w:w="1761" w:type="dxa"/>
            <w:gridSpan w:val="2"/>
          </w:tcPr>
          <w:p>
            <w:pPr>
              <w:pStyle w:val="19"/>
              <w:spacing w:before="2"/>
              <w:jc w:val="left"/>
              <w:rPr>
                <w:b/>
                <w:sz w:val="16"/>
              </w:rPr>
            </w:pPr>
          </w:p>
          <w:p>
            <w:pPr>
              <w:pStyle w:val="19"/>
              <w:spacing w:before="1"/>
              <w:ind w:left="8"/>
              <w:rPr>
                <w:rFonts w:ascii="Times New Roman"/>
                <w:sz w:val="18"/>
              </w:rPr>
            </w:pPr>
            <w:r>
              <w:rPr>
                <w:rFonts w:ascii="Times New Roman"/>
                <w:sz w:val="18"/>
              </w:rPr>
              <w:t>1</w:t>
            </w:r>
          </w:p>
        </w:tc>
        <w:tc>
          <w:tcPr>
            <w:tcW w:w="1762" w:type="dxa"/>
            <w:gridSpan w:val="2"/>
          </w:tcPr>
          <w:p>
            <w:pPr>
              <w:pStyle w:val="19"/>
              <w:spacing w:before="40"/>
              <w:ind w:right="76"/>
              <w:rPr>
                <w:sz w:val="18"/>
              </w:rPr>
            </w:pPr>
            <w:r>
              <w:rPr>
                <w:sz w:val="18"/>
              </w:rPr>
              <w:t>镉、汞、砷、铅、铬</w:t>
            </w:r>
          </w:p>
          <w:p>
            <w:pPr>
              <w:pStyle w:val="19"/>
              <w:spacing w:before="81"/>
              <w:ind w:left="85" w:right="76"/>
              <w:rPr>
                <w:sz w:val="18"/>
              </w:rPr>
            </w:pPr>
            <w:r>
              <w:rPr>
                <w:sz w:val="18"/>
              </w:rPr>
              <w:t>铜、镍、锌</w:t>
            </w:r>
          </w:p>
        </w:tc>
        <w:tc>
          <w:tcPr>
            <w:tcW w:w="1764" w:type="dxa"/>
            <w:gridSpan w:val="2"/>
          </w:tcPr>
          <w:p>
            <w:pPr>
              <w:pStyle w:val="19"/>
              <w:spacing w:before="40" w:line="193" w:lineRule="exact"/>
              <w:ind w:left="-95"/>
              <w:jc w:val="left"/>
              <w:rPr>
                <w:sz w:val="18"/>
              </w:rPr>
            </w:pPr>
            <w:r>
              <w:rPr>
                <w:sz w:val="18"/>
              </w:rPr>
              <w:t>、</w:t>
            </w:r>
          </w:p>
          <w:p>
            <w:pPr>
              <w:pStyle w:val="19"/>
              <w:spacing w:line="193" w:lineRule="exact"/>
              <w:ind w:left="82" w:right="76"/>
              <w:rPr>
                <w:sz w:val="18"/>
              </w:rPr>
            </w:pPr>
            <w:r>
              <w:rPr>
                <w:rFonts w:ascii="Times New Roman" w:eastAsia="Times New Roman"/>
                <w:sz w:val="18"/>
              </w:rPr>
              <w:t>1</w:t>
            </w:r>
            <w:r>
              <w:rPr>
                <w:sz w:val="18"/>
              </w:rPr>
              <w:t>次</w:t>
            </w:r>
            <w:r>
              <w:rPr>
                <w:rFonts w:ascii="Times New Roman" w:eastAsia="Times New Roman"/>
                <w:sz w:val="18"/>
              </w:rPr>
              <w:t>/</w:t>
            </w:r>
            <w:r>
              <w:rPr>
                <w:sz w:val="18"/>
              </w:rPr>
              <w:t>年</w:t>
            </w:r>
          </w:p>
        </w:tc>
        <w:tc>
          <w:tcPr>
            <w:tcW w:w="118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Merge w:val="continue"/>
            <w:tcBorders>
              <w:top w:val="nil"/>
            </w:tcBorders>
          </w:tcPr>
          <w:p>
            <w:pPr>
              <w:rPr>
                <w:sz w:val="2"/>
                <w:szCs w:val="2"/>
              </w:rPr>
            </w:pPr>
          </w:p>
        </w:tc>
        <w:tc>
          <w:tcPr>
            <w:tcW w:w="1678" w:type="dxa"/>
          </w:tcPr>
          <w:p>
            <w:pPr>
              <w:pStyle w:val="19"/>
              <w:spacing w:before="54"/>
              <w:ind w:left="73" w:right="62"/>
              <w:rPr>
                <w:sz w:val="18"/>
              </w:rPr>
            </w:pPr>
            <w:r>
              <w:rPr>
                <w:sz w:val="18"/>
              </w:rPr>
              <w:t>信息公开指标</w:t>
            </w:r>
          </w:p>
        </w:tc>
        <w:tc>
          <w:tcPr>
            <w:tcW w:w="5287" w:type="dxa"/>
            <w:gridSpan w:val="6"/>
          </w:tcPr>
          <w:p>
            <w:pPr>
              <w:pStyle w:val="19"/>
              <w:spacing w:before="54"/>
              <w:ind w:left="1210"/>
              <w:jc w:val="left"/>
              <w:rPr>
                <w:sz w:val="18"/>
              </w:rPr>
            </w:pPr>
            <w:r>
              <w:rPr>
                <w:sz w:val="18"/>
              </w:rPr>
              <w:t>镉、汞、砷、铅、铬、铜、镍、锌</w:t>
            </w:r>
          </w:p>
        </w:tc>
        <w:tc>
          <w:tcPr>
            <w:tcW w:w="118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04" w:type="dxa"/>
            <w:gridSpan w:val="2"/>
          </w:tcPr>
          <w:p>
            <w:pPr>
              <w:pStyle w:val="19"/>
              <w:spacing w:before="3"/>
              <w:jc w:val="left"/>
              <w:rPr>
                <w:b/>
                <w:sz w:val="15"/>
              </w:rPr>
            </w:pPr>
          </w:p>
          <w:p>
            <w:pPr>
              <w:pStyle w:val="19"/>
              <w:spacing w:before="1"/>
              <w:ind w:left="658"/>
              <w:jc w:val="left"/>
              <w:rPr>
                <w:sz w:val="18"/>
              </w:rPr>
            </w:pPr>
            <w:r>
              <w:rPr>
                <w:sz w:val="18"/>
              </w:rPr>
              <w:t>评价结论</w:t>
            </w:r>
          </w:p>
        </w:tc>
        <w:tc>
          <w:tcPr>
            <w:tcW w:w="5287" w:type="dxa"/>
            <w:gridSpan w:val="6"/>
          </w:tcPr>
          <w:p>
            <w:pPr>
              <w:pStyle w:val="19"/>
              <w:spacing w:before="40"/>
              <w:ind w:left="3"/>
              <w:jc w:val="left"/>
              <w:rPr>
                <w:sz w:val="18"/>
              </w:rPr>
            </w:pPr>
            <w:r>
              <w:rPr>
                <w:sz w:val="18"/>
              </w:rPr>
              <w:t>土壤环境影响可以接受，区域土壤环境质量不因本项目的建设恶</w:t>
            </w:r>
          </w:p>
          <w:p>
            <w:pPr>
              <w:pStyle w:val="19"/>
              <w:spacing w:before="81"/>
              <w:ind w:left="3"/>
              <w:jc w:val="left"/>
              <w:rPr>
                <w:sz w:val="18"/>
              </w:rPr>
            </w:pPr>
            <w:r>
              <w:rPr>
                <w:sz w:val="18"/>
              </w:rPr>
              <w:t>产生恶化。</w:t>
            </w:r>
          </w:p>
        </w:tc>
        <w:tc>
          <w:tcPr>
            <w:tcW w:w="1187"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578" w:type="dxa"/>
            <w:gridSpan w:val="9"/>
          </w:tcPr>
          <w:p>
            <w:pPr>
              <w:pStyle w:val="19"/>
              <w:spacing w:before="33"/>
              <w:ind w:left="3"/>
              <w:jc w:val="left"/>
              <w:rPr>
                <w:sz w:val="18"/>
              </w:rPr>
            </w:pPr>
            <w:r>
              <w:rPr>
                <w:sz w:val="18"/>
              </w:rPr>
              <w:t>注</w:t>
            </w:r>
            <w:r>
              <w:rPr>
                <w:rFonts w:ascii="Times New Roman" w:hAnsi="Times New Roman" w:eastAsia="Times New Roman"/>
                <w:sz w:val="18"/>
              </w:rPr>
              <w:t>1</w:t>
            </w:r>
            <w:r>
              <w:rPr>
                <w:sz w:val="18"/>
              </w:rPr>
              <w:t>：“</w:t>
            </w:r>
            <w:r>
              <w:rPr>
                <w:rFonts w:ascii="Times New Roman" w:hAnsi="Times New Roman" w:eastAsia="Times New Roman"/>
                <w:sz w:val="21"/>
              </w:rPr>
              <w:t>□</w:t>
            </w:r>
            <w:r>
              <w:rPr>
                <w:rFonts w:hint="eastAsia" w:ascii="仿宋" w:hAnsi="仿宋" w:eastAsia="仿宋"/>
                <w:sz w:val="18"/>
              </w:rPr>
              <w:t>”</w:t>
            </w:r>
            <w:r>
              <w:rPr>
                <w:sz w:val="18"/>
              </w:rPr>
              <w:t>为勾选项，可</w:t>
            </w:r>
            <w:r>
              <w:rPr>
                <w:rFonts w:ascii="Times New Roman" w:hAnsi="Times New Roman" w:eastAsia="Times New Roman"/>
                <w:sz w:val="18"/>
              </w:rPr>
              <w:t>√</w:t>
            </w:r>
            <w:r>
              <w:rPr>
                <w:sz w:val="18"/>
              </w:rPr>
              <w:t>；“（）”为内容填写项；“备注”为其他补充内容。</w:t>
            </w:r>
          </w:p>
          <w:p>
            <w:pPr>
              <w:pStyle w:val="19"/>
              <w:spacing w:before="74"/>
              <w:ind w:left="3"/>
              <w:jc w:val="left"/>
              <w:rPr>
                <w:sz w:val="18"/>
              </w:rPr>
            </w:pPr>
            <w:r>
              <w:rPr>
                <w:sz w:val="18"/>
              </w:rPr>
              <w:t>注</w:t>
            </w:r>
            <w:r>
              <w:rPr>
                <w:rFonts w:ascii="Times New Roman" w:eastAsia="Times New Roman"/>
                <w:sz w:val="18"/>
              </w:rPr>
              <w:t>2</w:t>
            </w:r>
            <w:r>
              <w:rPr>
                <w:sz w:val="18"/>
              </w:rPr>
              <w:t>：需要分别开展土壤环境影响评级工作的，分别填写自查表。</w:t>
            </w:r>
          </w:p>
        </w:tc>
      </w:tr>
    </w:tbl>
    <w:p>
      <w:pPr>
        <w:spacing w:after="0"/>
        <w:jc w:val="left"/>
        <w:rPr>
          <w:sz w:val="18"/>
        </w:rPr>
        <w:sectPr>
          <w:footerReference r:id="rId23"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8"/>
        <w:ind w:left="0"/>
        <w:rPr>
          <w:b/>
          <w:sz w:val="9"/>
        </w:rPr>
      </w:pPr>
    </w:p>
    <w:p>
      <w:pPr>
        <w:pStyle w:val="18"/>
        <w:numPr>
          <w:ilvl w:val="2"/>
          <w:numId w:val="46"/>
        </w:numPr>
        <w:tabs>
          <w:tab w:val="left" w:pos="1241"/>
        </w:tabs>
        <w:spacing w:before="73" w:after="0" w:line="240" w:lineRule="auto"/>
        <w:ind w:left="1240" w:right="0" w:hanging="701"/>
        <w:jc w:val="both"/>
        <w:outlineLvl w:val="2"/>
        <w:rPr>
          <w:b/>
          <w:sz w:val="28"/>
        </w:rPr>
      </w:pPr>
      <w:bookmarkStart w:id="318" w:name="5.2.6 生态环境影响分析"/>
      <w:bookmarkEnd w:id="318"/>
      <w:bookmarkStart w:id="319" w:name="5.2.6 生态环境影响分析"/>
      <w:bookmarkEnd w:id="319"/>
      <w:bookmarkStart w:id="320" w:name="_Toc22409"/>
      <w:r>
        <w:rPr>
          <w:b/>
          <w:sz w:val="28"/>
        </w:rPr>
        <w:t>生态环境影响分析</w:t>
      </w:r>
      <w:bookmarkEnd w:id="320"/>
    </w:p>
    <w:p>
      <w:pPr>
        <w:pStyle w:val="7"/>
        <w:spacing w:before="5"/>
        <w:ind w:left="0"/>
        <w:rPr>
          <w:b/>
          <w:sz w:val="21"/>
        </w:rPr>
      </w:pPr>
    </w:p>
    <w:p>
      <w:pPr>
        <w:pStyle w:val="7"/>
        <w:spacing w:line="364" w:lineRule="auto"/>
        <w:ind w:right="577" w:firstLine="480"/>
        <w:jc w:val="both"/>
      </w:pPr>
      <w:r>
        <w:rPr>
          <w:spacing w:val="-6"/>
        </w:rPr>
        <w:t>项目所在地地表荒漠植被退化严重，植被覆盖率很低。本项目建成后，养殖</w:t>
      </w:r>
      <w:r>
        <w:rPr>
          <w:spacing w:val="-8"/>
        </w:rPr>
        <w:t>场将建成混凝土地面，并在空地和厂界四周进行绿化，项目所在区域将会因为项</w:t>
      </w:r>
      <w:r>
        <w:rPr>
          <w:spacing w:val="-9"/>
        </w:rPr>
        <w:t>目的建设而受益，植被覆盖率增大，多样性增加，使该地区的生态得到有效的改</w:t>
      </w:r>
      <w:r>
        <w:rPr>
          <w:spacing w:val="-10"/>
        </w:rPr>
        <w:t>善。因此本项目的实施可以提高土地利用率和生产力，且绿化种植一方面可以起</w:t>
      </w:r>
      <w:r>
        <w:rPr>
          <w:spacing w:val="-7"/>
        </w:rPr>
        <w:t>到降噪降恶臭的环境功能，另一方面更利于对地表径流水的吸收，有利于水土保</w:t>
      </w:r>
      <w:r>
        <w:t>持，减少土壤侵蚀。综合来说对当地生态的影响，利大于弊。</w:t>
      </w:r>
    </w:p>
    <w:p>
      <w:pPr>
        <w:pStyle w:val="7"/>
        <w:spacing w:before="4"/>
        <w:ind w:left="0"/>
        <w:rPr>
          <w:sz w:val="21"/>
        </w:rPr>
      </w:pPr>
    </w:p>
    <w:p>
      <w:pPr>
        <w:pStyle w:val="5"/>
        <w:numPr>
          <w:ilvl w:val="2"/>
          <w:numId w:val="46"/>
        </w:numPr>
        <w:tabs>
          <w:tab w:val="left" w:pos="1241"/>
        </w:tabs>
        <w:spacing w:before="0" w:after="0" w:line="240" w:lineRule="auto"/>
        <w:ind w:left="1240" w:right="0" w:hanging="701"/>
        <w:jc w:val="both"/>
        <w:outlineLvl w:val="2"/>
      </w:pPr>
      <w:bookmarkStart w:id="321" w:name="5.2.7 环境风险分析"/>
      <w:bookmarkEnd w:id="321"/>
      <w:bookmarkStart w:id="322" w:name="5.2.7 环境风险分析"/>
      <w:bookmarkEnd w:id="322"/>
      <w:bookmarkStart w:id="323" w:name="_Toc3031"/>
      <w:r>
        <w:t>环境风险分析</w:t>
      </w:r>
      <w:bookmarkEnd w:id="323"/>
    </w:p>
    <w:p>
      <w:pPr>
        <w:pStyle w:val="7"/>
        <w:spacing w:before="7"/>
        <w:ind w:left="0"/>
        <w:rPr>
          <w:b/>
          <w:sz w:val="21"/>
        </w:rPr>
      </w:pPr>
    </w:p>
    <w:p>
      <w:pPr>
        <w:pStyle w:val="7"/>
        <w:spacing w:before="1" w:line="364" w:lineRule="auto"/>
        <w:ind w:right="455" w:firstLine="480"/>
      </w:pPr>
      <w:r>
        <w:rPr>
          <w:spacing w:val="-7"/>
        </w:rPr>
        <w:t>根据《建设项目环境风险评价技术导则》</w:t>
      </w:r>
      <w:r>
        <w:t>（</w:t>
      </w:r>
      <w:r>
        <w:rPr>
          <w:rFonts w:ascii="Times New Roman" w:eastAsia="Times New Roman"/>
        </w:rPr>
        <w:t>HJ169-2018</w:t>
      </w:r>
      <w:r>
        <w:t>）和国家环境保护总</w:t>
      </w:r>
      <w:r>
        <w:rPr>
          <w:spacing w:val="-9"/>
        </w:rPr>
        <w:t>局《关于防范环境风险加强环境影响评价管理的通知》，项目实施后环境风险评</w:t>
      </w:r>
      <w:r>
        <w:rPr>
          <w:spacing w:val="-19"/>
        </w:rPr>
        <w:t>价的基本内容包括风险调查、环境风险潜势初判、风险识别、风险事故情形分析、</w:t>
      </w:r>
      <w:r>
        <w:t>风险预测与评价、环境风险管理等，具体如下：</w:t>
      </w:r>
    </w:p>
    <w:p>
      <w:pPr>
        <w:pStyle w:val="18"/>
        <w:numPr>
          <w:ilvl w:val="0"/>
          <w:numId w:val="57"/>
        </w:numPr>
        <w:tabs>
          <w:tab w:val="left" w:pos="1621"/>
        </w:tabs>
        <w:spacing w:before="2" w:after="0" w:line="364" w:lineRule="auto"/>
        <w:ind w:left="540" w:right="580" w:firstLine="480"/>
        <w:jc w:val="left"/>
        <w:rPr>
          <w:sz w:val="24"/>
        </w:rPr>
      </w:pPr>
      <w:r>
        <w:rPr>
          <w:spacing w:val="-1"/>
          <w:sz w:val="24"/>
        </w:rPr>
        <w:t>项目风险调查。在分析建设项目物质及工艺系统危险性和环境敏感性</w:t>
      </w:r>
      <w:r>
        <w:rPr>
          <w:sz w:val="24"/>
        </w:rPr>
        <w:t>的基础下，进行风险潜势的判断，确定风险评价等级。</w:t>
      </w:r>
    </w:p>
    <w:p>
      <w:pPr>
        <w:pStyle w:val="18"/>
        <w:numPr>
          <w:ilvl w:val="0"/>
          <w:numId w:val="57"/>
        </w:numPr>
        <w:tabs>
          <w:tab w:val="left" w:pos="1621"/>
        </w:tabs>
        <w:spacing w:before="1" w:after="0" w:line="364" w:lineRule="auto"/>
        <w:ind w:left="540" w:right="580" w:firstLine="480"/>
        <w:jc w:val="left"/>
        <w:rPr>
          <w:sz w:val="24"/>
        </w:rPr>
      </w:pPr>
      <w:r>
        <w:rPr>
          <w:spacing w:val="-1"/>
          <w:sz w:val="24"/>
        </w:rPr>
        <w:t>项目风险识别及风险事故情形分析。明确危险物质在生产系统中的主</w:t>
      </w:r>
      <w:r>
        <w:rPr>
          <w:sz w:val="24"/>
        </w:rPr>
        <w:t>要分布，筛选具有代表性的风险事故情形，合理设定事故源项。</w:t>
      </w:r>
    </w:p>
    <w:p>
      <w:pPr>
        <w:pStyle w:val="18"/>
        <w:numPr>
          <w:ilvl w:val="0"/>
          <w:numId w:val="57"/>
        </w:numPr>
        <w:tabs>
          <w:tab w:val="left" w:pos="1621"/>
        </w:tabs>
        <w:spacing w:before="1" w:after="0" w:line="364" w:lineRule="auto"/>
        <w:ind w:left="540" w:right="580" w:firstLine="480"/>
        <w:jc w:val="left"/>
        <w:rPr>
          <w:sz w:val="24"/>
        </w:rPr>
      </w:pPr>
      <w:r>
        <w:rPr>
          <w:spacing w:val="-1"/>
          <w:sz w:val="24"/>
        </w:rPr>
        <w:t>开展预测评价。各环境要素按确定的评价工作等级分别预测评价，并</w:t>
      </w:r>
      <w:r>
        <w:rPr>
          <w:sz w:val="24"/>
        </w:rPr>
        <w:t>分析说明环境风险危害范围与程度，提出环境风险防范的基本要求。</w:t>
      </w:r>
    </w:p>
    <w:p>
      <w:pPr>
        <w:pStyle w:val="18"/>
        <w:numPr>
          <w:ilvl w:val="0"/>
          <w:numId w:val="57"/>
        </w:numPr>
        <w:tabs>
          <w:tab w:val="left" w:pos="1621"/>
        </w:tabs>
        <w:spacing w:before="2" w:after="0" w:line="364" w:lineRule="auto"/>
        <w:ind w:left="540" w:right="580" w:firstLine="480"/>
        <w:jc w:val="left"/>
        <w:rPr>
          <w:sz w:val="24"/>
        </w:rPr>
      </w:pPr>
      <w:r>
        <w:rPr>
          <w:spacing w:val="-1"/>
          <w:sz w:val="24"/>
        </w:rPr>
        <w:t>提出环境风险管理对策，明确环境风险防范措施及突发环境事件应急</w:t>
      </w:r>
      <w:r>
        <w:rPr>
          <w:sz w:val="24"/>
        </w:rPr>
        <w:t>预案编制要求。</w:t>
      </w:r>
    </w:p>
    <w:p>
      <w:pPr>
        <w:pStyle w:val="18"/>
        <w:numPr>
          <w:ilvl w:val="0"/>
          <w:numId w:val="57"/>
        </w:numPr>
        <w:tabs>
          <w:tab w:val="left" w:pos="1621"/>
        </w:tabs>
        <w:spacing w:before="1" w:after="0" w:line="240" w:lineRule="auto"/>
        <w:ind w:left="1621" w:right="0" w:hanging="601"/>
        <w:jc w:val="left"/>
        <w:rPr>
          <w:sz w:val="24"/>
        </w:rPr>
      </w:pPr>
      <w:r>
        <w:rPr>
          <w:sz w:val="24"/>
        </w:rPr>
        <w:t>综合环境风险评价过程，给出评价结论与建议。</w:t>
      </w:r>
    </w:p>
    <w:p>
      <w:pPr>
        <w:pStyle w:val="18"/>
        <w:numPr>
          <w:ilvl w:val="3"/>
          <w:numId w:val="58"/>
        </w:numPr>
        <w:tabs>
          <w:tab w:val="left" w:pos="1320"/>
        </w:tabs>
        <w:spacing w:before="167" w:after="0" w:line="240" w:lineRule="auto"/>
        <w:ind w:left="1320" w:right="0" w:hanging="780"/>
        <w:jc w:val="both"/>
        <w:rPr>
          <w:sz w:val="24"/>
        </w:rPr>
      </w:pPr>
      <w:bookmarkStart w:id="324" w:name="5.2.7.1 环境风险评价原则"/>
      <w:bookmarkEnd w:id="324"/>
      <w:bookmarkStart w:id="325" w:name="5.2.7.1 环境风险评价原则"/>
      <w:bookmarkEnd w:id="325"/>
      <w:r>
        <w:rPr>
          <w:sz w:val="24"/>
        </w:rPr>
        <w:t>环境风险评价原则</w:t>
      </w:r>
    </w:p>
    <w:p>
      <w:pPr>
        <w:pStyle w:val="7"/>
        <w:spacing w:before="168" w:line="364" w:lineRule="auto"/>
        <w:ind w:right="457" w:firstLine="480"/>
        <w:jc w:val="both"/>
      </w:pPr>
      <w:r>
        <w:rPr>
          <w:spacing w:val="-3"/>
        </w:rPr>
        <w:t>环境风险评价应以突发性事故导致的危险物质环境急性损害防控为目标，对</w:t>
      </w:r>
      <w:r>
        <w:rPr>
          <w:spacing w:val="-8"/>
        </w:rPr>
        <w:t>建设项目的环境风险进行分析、预测和评估，提出环境风险预防、控制、减缓措</w:t>
      </w:r>
      <w:r>
        <w:rPr>
          <w:spacing w:val="-18"/>
        </w:rPr>
        <w:t>施，明确环境风险监控及应急建议要求，为建设项目环境风险防控提供科学依据。</w:t>
      </w:r>
    </w:p>
    <w:p>
      <w:pPr>
        <w:pStyle w:val="18"/>
        <w:numPr>
          <w:ilvl w:val="3"/>
          <w:numId w:val="58"/>
        </w:numPr>
        <w:tabs>
          <w:tab w:val="left" w:pos="1320"/>
        </w:tabs>
        <w:spacing w:before="9" w:after="0" w:line="240" w:lineRule="auto"/>
        <w:ind w:left="1320" w:right="0" w:hanging="780"/>
        <w:jc w:val="both"/>
        <w:rPr>
          <w:sz w:val="24"/>
        </w:rPr>
      </w:pPr>
      <w:bookmarkStart w:id="326" w:name="5.2.7.2 评价程序"/>
      <w:bookmarkEnd w:id="326"/>
      <w:bookmarkStart w:id="327" w:name="5.2.7.2 评价程序"/>
      <w:bookmarkEnd w:id="327"/>
      <w:r>
        <w:rPr>
          <w:sz w:val="24"/>
        </w:rPr>
        <w:t>评价程序</w:t>
      </w:r>
    </w:p>
    <w:p>
      <w:pPr>
        <w:pStyle w:val="7"/>
        <w:spacing w:before="170"/>
        <w:ind w:left="1020"/>
      </w:pPr>
      <w:r>
        <w:t>环境风险评价程序见图</w:t>
      </w:r>
      <w:r>
        <w:rPr>
          <w:rFonts w:ascii="Times New Roman" w:eastAsia="Times New Roman"/>
        </w:rPr>
        <w:t>5.2-1</w:t>
      </w:r>
      <w:r>
        <w:t>。</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6"/>
        <w:ind w:left="0"/>
        <w:rPr>
          <w:sz w:val="5"/>
        </w:rPr>
      </w:pPr>
    </w:p>
    <w:p>
      <w:pPr>
        <w:pStyle w:val="7"/>
        <w:ind w:left="1265"/>
        <w:rPr>
          <w:sz w:val="20"/>
        </w:rPr>
      </w:pPr>
      <w:r>
        <w:rPr>
          <w:sz w:val="20"/>
        </w:rPr>
        <w:drawing>
          <wp:inline distT="0" distB="0" distL="0" distR="0">
            <wp:extent cx="4439285" cy="4568825"/>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53" cstate="print"/>
                    <a:stretch>
                      <a:fillRect/>
                    </a:stretch>
                  </pic:blipFill>
                  <pic:spPr>
                    <a:xfrm>
                      <a:off x="0" y="0"/>
                      <a:ext cx="4439351" cy="4569333"/>
                    </a:xfrm>
                    <a:prstGeom prst="rect">
                      <a:avLst/>
                    </a:prstGeom>
                  </pic:spPr>
                </pic:pic>
              </a:graphicData>
            </a:graphic>
          </wp:inline>
        </w:drawing>
      </w:r>
    </w:p>
    <w:p>
      <w:pPr>
        <w:pStyle w:val="7"/>
        <w:bidi w:val="0"/>
        <w:jc w:val="center"/>
      </w:pPr>
      <w:r>
        <w:t>图</w:t>
      </w:r>
      <w:r>
        <w:rPr>
          <w:rFonts w:ascii="Times New Roman" w:eastAsia="Times New Roman"/>
        </w:rPr>
        <w:t>5.2-1</w:t>
      </w:r>
      <w:r>
        <w:rPr>
          <w:rFonts w:ascii="Times New Roman" w:eastAsia="Times New Roman"/>
        </w:rPr>
        <w:tab/>
      </w:r>
      <w:r>
        <w:t>环境风险评价流程框图</w:t>
      </w:r>
    </w:p>
    <w:p>
      <w:pPr>
        <w:pStyle w:val="7"/>
        <w:spacing w:before="3"/>
        <w:ind w:left="0"/>
        <w:rPr>
          <w:b/>
          <w:sz w:val="19"/>
        </w:rPr>
      </w:pPr>
    </w:p>
    <w:p>
      <w:pPr>
        <w:pStyle w:val="18"/>
        <w:numPr>
          <w:ilvl w:val="3"/>
          <w:numId w:val="58"/>
        </w:numPr>
        <w:tabs>
          <w:tab w:val="left" w:pos="1320"/>
        </w:tabs>
        <w:spacing w:before="0" w:after="0" w:line="240" w:lineRule="auto"/>
        <w:ind w:left="1320" w:right="0" w:hanging="780"/>
        <w:jc w:val="left"/>
        <w:rPr>
          <w:sz w:val="24"/>
        </w:rPr>
      </w:pPr>
      <w:bookmarkStart w:id="328" w:name="5.2.7.3 环境风险源调查"/>
      <w:bookmarkEnd w:id="328"/>
      <w:bookmarkStart w:id="329" w:name="5.2.7.3 环境风险源调查"/>
      <w:bookmarkEnd w:id="329"/>
      <w:r>
        <w:rPr>
          <w:sz w:val="24"/>
        </w:rPr>
        <w:t>环境风险源调查</w:t>
      </w:r>
    </w:p>
    <w:p>
      <w:pPr>
        <w:pStyle w:val="7"/>
        <w:spacing w:before="168" w:line="364" w:lineRule="auto"/>
        <w:ind w:right="485" w:firstLine="480"/>
        <w:jc w:val="both"/>
      </w:pPr>
      <w:r>
        <w:rPr>
          <w:spacing w:val="-1"/>
        </w:rPr>
        <w:t>本项目畜禽规模化养殖项目，根据项目养殖场和有机肥厂的生产工艺特点，</w:t>
      </w:r>
      <w:r>
        <w:rPr>
          <w:spacing w:val="-10"/>
        </w:rPr>
        <w:t>使用物料特性，污染物的产生及储存方式，确定本项目涉及的有毒有害物质主要</w:t>
      </w:r>
      <w:r>
        <w:rPr>
          <w:spacing w:val="-11"/>
        </w:rPr>
        <w:t>为废气中的污染物氨和硫化氢，其主要来源于养羊棚舍、羊粪堆场排放的废气，</w:t>
      </w:r>
      <w:r>
        <w:rPr>
          <w:spacing w:val="-6"/>
        </w:rPr>
        <w:t>本项目氨和硫化氢产生后，随即经处理设施处理排放，不对其进行储存。项目区</w:t>
      </w:r>
      <w:r>
        <w:rPr>
          <w:spacing w:val="-12"/>
        </w:rPr>
        <w:t>暂未通入天然气管道，冬季采暖方式采用电采暖。本项目主要物料危险源辨识结</w:t>
      </w:r>
      <w:r>
        <w:rPr>
          <w:spacing w:val="-24"/>
        </w:rPr>
        <w:t>果见表</w:t>
      </w:r>
      <w:r>
        <w:rPr>
          <w:rFonts w:ascii="Times New Roman" w:eastAsia="Times New Roman"/>
        </w:rPr>
        <w:t>5.2-10</w:t>
      </w:r>
      <w:r>
        <w:t>。</w:t>
      </w:r>
    </w:p>
    <w:p>
      <w:pPr>
        <w:pStyle w:val="7"/>
        <w:bidi w:val="0"/>
        <w:jc w:val="center"/>
      </w:pPr>
      <w:r>
        <w:t>表</w:t>
      </w:r>
      <w:r>
        <w:rPr>
          <w:rFonts w:ascii="Times New Roman" w:eastAsia="Times New Roman"/>
        </w:rPr>
        <w:t>5.2-10</w:t>
      </w:r>
      <w:r>
        <w:rPr>
          <w:rFonts w:ascii="Times New Roman" w:eastAsia="Times New Roman"/>
        </w:rPr>
        <w:tab/>
      </w:r>
      <w:r>
        <w:t>重大危险源辨识表</w:t>
      </w:r>
    </w:p>
    <w:tbl>
      <w:tblPr>
        <w:tblStyle w:val="15"/>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4"/>
        <w:gridCol w:w="1519"/>
        <w:gridCol w:w="1553"/>
        <w:gridCol w:w="1516"/>
        <w:gridCol w:w="2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544" w:type="dxa"/>
          </w:tcPr>
          <w:p>
            <w:pPr>
              <w:pStyle w:val="19"/>
              <w:spacing w:before="29"/>
              <w:ind w:left="330" w:right="319"/>
              <w:rPr>
                <w:b/>
                <w:sz w:val="21"/>
              </w:rPr>
            </w:pPr>
            <w:r>
              <w:rPr>
                <w:b/>
                <w:sz w:val="21"/>
              </w:rPr>
              <w:t>分类</w:t>
            </w:r>
          </w:p>
        </w:tc>
        <w:tc>
          <w:tcPr>
            <w:tcW w:w="1519" w:type="dxa"/>
          </w:tcPr>
          <w:p>
            <w:pPr>
              <w:pStyle w:val="19"/>
              <w:spacing w:before="29"/>
              <w:ind w:left="318" w:right="307"/>
              <w:rPr>
                <w:b/>
                <w:sz w:val="21"/>
              </w:rPr>
            </w:pPr>
            <w:r>
              <w:rPr>
                <w:b/>
                <w:sz w:val="21"/>
              </w:rPr>
              <w:t>物质名称</w:t>
            </w:r>
          </w:p>
        </w:tc>
        <w:tc>
          <w:tcPr>
            <w:tcW w:w="1553" w:type="dxa"/>
          </w:tcPr>
          <w:p>
            <w:pPr>
              <w:pStyle w:val="19"/>
              <w:spacing w:before="29"/>
              <w:ind w:left="194" w:right="183"/>
              <w:rPr>
                <w:b/>
                <w:sz w:val="21"/>
              </w:rPr>
            </w:pPr>
            <w:r>
              <w:rPr>
                <w:b/>
                <w:sz w:val="21"/>
              </w:rPr>
              <w:t>临界量（</w:t>
            </w:r>
            <w:r>
              <w:rPr>
                <w:rFonts w:ascii="Times New Roman" w:eastAsia="Times New Roman"/>
                <w:b/>
                <w:sz w:val="21"/>
              </w:rPr>
              <w:t>t</w:t>
            </w:r>
            <w:r>
              <w:rPr>
                <w:b/>
                <w:sz w:val="21"/>
              </w:rPr>
              <w:t>）</w:t>
            </w:r>
          </w:p>
        </w:tc>
        <w:tc>
          <w:tcPr>
            <w:tcW w:w="1516" w:type="dxa"/>
          </w:tcPr>
          <w:p>
            <w:pPr>
              <w:pStyle w:val="19"/>
              <w:spacing w:before="29"/>
              <w:ind w:left="89" w:right="42"/>
              <w:rPr>
                <w:b/>
                <w:sz w:val="21"/>
              </w:rPr>
            </w:pPr>
            <w:r>
              <w:rPr>
                <w:b/>
                <w:sz w:val="21"/>
              </w:rPr>
              <w:t>在线贮量（</w:t>
            </w:r>
            <w:r>
              <w:rPr>
                <w:rFonts w:ascii="Times New Roman" w:eastAsia="Times New Roman"/>
                <w:b/>
                <w:sz w:val="21"/>
              </w:rPr>
              <w:t>t</w:t>
            </w:r>
            <w:r>
              <w:rPr>
                <w:b/>
                <w:sz w:val="21"/>
              </w:rPr>
              <w:t>）</w:t>
            </w:r>
          </w:p>
        </w:tc>
        <w:tc>
          <w:tcPr>
            <w:tcW w:w="2339" w:type="dxa"/>
          </w:tcPr>
          <w:p>
            <w:pPr>
              <w:pStyle w:val="19"/>
              <w:spacing w:before="29"/>
              <w:ind w:left="203" w:right="188"/>
              <w:rPr>
                <w:b/>
                <w:sz w:val="21"/>
              </w:rPr>
            </w:pPr>
            <w:r>
              <w:rPr>
                <w:b/>
                <w:sz w:val="21"/>
              </w:rPr>
              <w:t>是否构成重大危险源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544" w:type="dxa"/>
          </w:tcPr>
          <w:p>
            <w:pPr>
              <w:pStyle w:val="19"/>
              <w:spacing w:before="30"/>
              <w:ind w:left="330" w:right="324"/>
              <w:rPr>
                <w:sz w:val="21"/>
              </w:rPr>
            </w:pPr>
            <w:r>
              <w:rPr>
                <w:sz w:val="21"/>
              </w:rPr>
              <w:t>有毒气体</w:t>
            </w:r>
          </w:p>
        </w:tc>
        <w:tc>
          <w:tcPr>
            <w:tcW w:w="1519" w:type="dxa"/>
          </w:tcPr>
          <w:p>
            <w:pPr>
              <w:pStyle w:val="19"/>
              <w:spacing w:before="30"/>
              <w:ind w:left="310" w:right="307"/>
              <w:rPr>
                <w:sz w:val="21"/>
              </w:rPr>
            </w:pPr>
            <w:r>
              <w:rPr>
                <w:sz w:val="21"/>
              </w:rPr>
              <w:t>氨气</w:t>
            </w:r>
          </w:p>
        </w:tc>
        <w:tc>
          <w:tcPr>
            <w:tcW w:w="1553" w:type="dxa"/>
          </w:tcPr>
          <w:p>
            <w:pPr>
              <w:pStyle w:val="19"/>
              <w:spacing w:before="44"/>
              <w:ind w:left="7"/>
              <w:rPr>
                <w:rFonts w:ascii="Times New Roman"/>
                <w:sz w:val="21"/>
              </w:rPr>
            </w:pPr>
            <w:r>
              <w:rPr>
                <w:rFonts w:ascii="Times New Roman"/>
                <w:w w:val="99"/>
                <w:sz w:val="21"/>
              </w:rPr>
              <w:t>5</w:t>
            </w:r>
          </w:p>
        </w:tc>
        <w:tc>
          <w:tcPr>
            <w:tcW w:w="1516" w:type="dxa"/>
          </w:tcPr>
          <w:p>
            <w:pPr>
              <w:pStyle w:val="19"/>
              <w:spacing w:before="44"/>
              <w:ind w:left="5"/>
              <w:rPr>
                <w:rFonts w:ascii="Times New Roman"/>
                <w:sz w:val="21"/>
              </w:rPr>
            </w:pPr>
            <w:r>
              <w:rPr>
                <w:rFonts w:ascii="Times New Roman"/>
                <w:w w:val="99"/>
                <w:sz w:val="21"/>
              </w:rPr>
              <w:t>0</w:t>
            </w:r>
          </w:p>
        </w:tc>
        <w:tc>
          <w:tcPr>
            <w:tcW w:w="2339" w:type="dxa"/>
          </w:tcPr>
          <w:p>
            <w:pPr>
              <w:pStyle w:val="19"/>
              <w:spacing w:before="30"/>
              <w:ind w:left="194" w:right="188"/>
              <w:rPr>
                <w:sz w:val="21"/>
              </w:rPr>
            </w:pPr>
            <w:r>
              <w:rPr>
                <w:sz w:val="21"/>
              </w:rPr>
              <w:t>不是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544" w:type="dxa"/>
          </w:tcPr>
          <w:p>
            <w:pPr>
              <w:pStyle w:val="19"/>
              <w:spacing w:before="30"/>
              <w:ind w:left="330" w:right="324"/>
              <w:rPr>
                <w:sz w:val="21"/>
              </w:rPr>
            </w:pPr>
            <w:r>
              <w:rPr>
                <w:sz w:val="21"/>
              </w:rPr>
              <w:t>易燃气体</w:t>
            </w:r>
          </w:p>
        </w:tc>
        <w:tc>
          <w:tcPr>
            <w:tcW w:w="1519" w:type="dxa"/>
          </w:tcPr>
          <w:p>
            <w:pPr>
              <w:pStyle w:val="19"/>
              <w:spacing w:before="30"/>
              <w:ind w:left="315" w:right="307"/>
              <w:rPr>
                <w:sz w:val="21"/>
              </w:rPr>
            </w:pPr>
            <w:r>
              <w:rPr>
                <w:sz w:val="21"/>
              </w:rPr>
              <w:t>硫化氢</w:t>
            </w:r>
          </w:p>
        </w:tc>
        <w:tc>
          <w:tcPr>
            <w:tcW w:w="1553" w:type="dxa"/>
          </w:tcPr>
          <w:p>
            <w:pPr>
              <w:pStyle w:val="19"/>
              <w:spacing w:before="44"/>
              <w:ind w:left="190" w:right="183"/>
              <w:rPr>
                <w:rFonts w:ascii="Times New Roman"/>
                <w:sz w:val="21"/>
              </w:rPr>
            </w:pPr>
            <w:r>
              <w:rPr>
                <w:rFonts w:ascii="Times New Roman"/>
                <w:sz w:val="21"/>
              </w:rPr>
              <w:t>2.5</w:t>
            </w:r>
          </w:p>
        </w:tc>
        <w:tc>
          <w:tcPr>
            <w:tcW w:w="1516" w:type="dxa"/>
          </w:tcPr>
          <w:p>
            <w:pPr>
              <w:pStyle w:val="19"/>
              <w:spacing w:before="44"/>
              <w:ind w:left="5"/>
              <w:rPr>
                <w:rFonts w:ascii="Times New Roman"/>
                <w:sz w:val="21"/>
              </w:rPr>
            </w:pPr>
            <w:r>
              <w:rPr>
                <w:rFonts w:ascii="Times New Roman"/>
                <w:w w:val="99"/>
                <w:sz w:val="21"/>
              </w:rPr>
              <w:t>0</w:t>
            </w:r>
          </w:p>
        </w:tc>
        <w:tc>
          <w:tcPr>
            <w:tcW w:w="2339" w:type="dxa"/>
          </w:tcPr>
          <w:p>
            <w:pPr>
              <w:pStyle w:val="19"/>
              <w:spacing w:before="30"/>
              <w:ind w:left="194" w:right="188"/>
              <w:rPr>
                <w:sz w:val="21"/>
              </w:rPr>
            </w:pPr>
            <w:r>
              <w:rPr>
                <w:sz w:val="21"/>
              </w:rPr>
              <w:t>不是</w:t>
            </w:r>
          </w:p>
        </w:tc>
      </w:tr>
    </w:tbl>
    <w:p>
      <w:pPr>
        <w:pStyle w:val="7"/>
        <w:spacing w:before="6"/>
        <w:ind w:left="0"/>
        <w:rPr>
          <w:b/>
          <w:sz w:val="18"/>
        </w:rPr>
      </w:pPr>
    </w:p>
    <w:p>
      <w:pPr>
        <w:pStyle w:val="7"/>
        <w:spacing w:line="364" w:lineRule="auto"/>
        <w:ind w:right="575" w:firstLine="482"/>
        <w:jc w:val="both"/>
      </w:pPr>
      <w:r>
        <w:t>由上表可知，项目涉及《建设项目环境风险评价技术导则》（</w:t>
      </w:r>
      <w:r>
        <w:rPr>
          <w:rFonts w:ascii="Times New Roman" w:hAnsi="Times New Roman" w:eastAsia="Times New Roman"/>
        </w:rPr>
        <w:t>HJ69-2018</w:t>
      </w:r>
      <w:r>
        <w:t>）</w:t>
      </w:r>
      <w:r>
        <w:rPr>
          <w:spacing w:val="-21"/>
        </w:rPr>
        <w:t>附录</w:t>
      </w:r>
      <w:r>
        <w:rPr>
          <w:rFonts w:ascii="Times New Roman" w:hAnsi="Times New Roman" w:eastAsia="Times New Roman"/>
          <w:spacing w:val="-10"/>
        </w:rPr>
        <w:t>B</w:t>
      </w:r>
      <w:r>
        <w:rPr>
          <w:spacing w:val="-24"/>
        </w:rPr>
        <w:t>“表</w:t>
      </w:r>
      <w:r>
        <w:rPr>
          <w:rFonts w:ascii="Times New Roman" w:hAnsi="Times New Roman" w:eastAsia="Times New Roman"/>
        </w:rPr>
        <w:t>B.1</w:t>
      </w:r>
      <w:r>
        <w:rPr>
          <w:spacing w:val="-4"/>
        </w:rPr>
        <w:t>重点关注的危险物质及临界量”中氨气和硫化氢，项目不对其进行储存，因此，在生产场所的在线量为</w:t>
      </w:r>
      <w:r>
        <w:rPr>
          <w:rFonts w:ascii="Times New Roman" w:hAnsi="Times New Roman" w:eastAsia="Times New Roman"/>
        </w:rPr>
        <w:t>0</w:t>
      </w:r>
      <w:r>
        <w:t>，远小于临界量。</w:t>
      </w:r>
    </w:p>
    <w:p>
      <w:pPr>
        <w:spacing w:after="0" w:line="364" w:lineRule="auto"/>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ind w:left="1020"/>
      </w:pPr>
      <w:r>
        <w:t>因此，项目整体未构成危险源。</w:t>
      </w:r>
    </w:p>
    <w:p>
      <w:pPr>
        <w:pStyle w:val="18"/>
        <w:numPr>
          <w:ilvl w:val="3"/>
          <w:numId w:val="58"/>
        </w:numPr>
        <w:tabs>
          <w:tab w:val="left" w:pos="1320"/>
        </w:tabs>
        <w:spacing w:before="170" w:after="0" w:line="240" w:lineRule="auto"/>
        <w:ind w:left="1320" w:right="0" w:hanging="780"/>
        <w:jc w:val="both"/>
        <w:rPr>
          <w:sz w:val="24"/>
        </w:rPr>
      </w:pPr>
      <w:bookmarkStart w:id="330" w:name="5.2.7.4 环境敏感目标调查"/>
      <w:bookmarkEnd w:id="330"/>
      <w:bookmarkStart w:id="331" w:name="5.2.7.4 环境敏感目标调查"/>
      <w:bookmarkEnd w:id="331"/>
      <w:r>
        <w:rPr>
          <w:sz w:val="24"/>
        </w:rPr>
        <w:t>环境敏感目标调查</w:t>
      </w:r>
    </w:p>
    <w:p>
      <w:pPr>
        <w:pStyle w:val="7"/>
        <w:spacing w:before="168" w:line="364" w:lineRule="auto"/>
        <w:ind w:right="577" w:firstLine="480"/>
        <w:jc w:val="both"/>
      </w:pPr>
      <w:r>
        <w:rPr>
          <w:spacing w:val="-7"/>
        </w:rPr>
        <w:t>根据现场踏勘及相关资料查阅，项目所属区域内无自然保护区、文物古迹等</w:t>
      </w:r>
      <w:r>
        <w:rPr>
          <w:spacing w:val="-10"/>
        </w:rPr>
        <w:t>特殊敏感目标。项目区地处</w:t>
      </w:r>
      <w:r>
        <w:rPr>
          <w:rFonts w:hint="eastAsia"/>
          <w:spacing w:val="-10"/>
          <w:lang w:val="en-US" w:eastAsia="zh-CN"/>
        </w:rPr>
        <w:t>莎车县</w:t>
      </w:r>
      <w:r>
        <w:rPr>
          <w:rFonts w:hint="eastAsia"/>
          <w:color w:val="0000FF"/>
          <w:sz w:val="24"/>
          <w:szCs w:val="24"/>
          <w:lang w:val="en-US" w:eastAsia="zh-CN"/>
        </w:rPr>
        <w:t>萨依吾斯塘</w:t>
      </w:r>
      <w:r>
        <w:rPr>
          <w:color w:val="0000FF"/>
          <w:sz w:val="24"/>
          <w:szCs w:val="24"/>
        </w:rPr>
        <w:t>村</w:t>
      </w:r>
      <w:r>
        <w:rPr>
          <w:spacing w:val="-10"/>
        </w:rPr>
        <w:t>东侧约</w:t>
      </w:r>
      <w:r>
        <w:rPr>
          <w:rFonts w:hint="eastAsia" w:ascii="Times New Roman" w:eastAsia="宋体"/>
          <w:lang w:val="en-US" w:eastAsia="zh-CN"/>
        </w:rPr>
        <w:t>1.6</w:t>
      </w:r>
      <w:r>
        <w:rPr>
          <w:rFonts w:ascii="Times New Roman" w:eastAsia="Times New Roman"/>
        </w:rPr>
        <w:t>km</w:t>
      </w:r>
      <w:r>
        <w:rPr>
          <w:spacing w:val="-11"/>
        </w:rPr>
        <w:t>处，项目周边环</w:t>
      </w:r>
      <w:r>
        <w:rPr>
          <w:spacing w:val="-8"/>
        </w:rPr>
        <w:t>境保护目标见表</w:t>
      </w:r>
      <w:r>
        <w:rPr>
          <w:rFonts w:ascii="Times New Roman" w:eastAsia="Times New Roman"/>
        </w:rPr>
        <w:t>5.2-11</w:t>
      </w:r>
      <w:r>
        <w:t>。</w:t>
      </w:r>
    </w:p>
    <w:p>
      <w:pPr>
        <w:pStyle w:val="7"/>
        <w:bidi w:val="0"/>
        <w:jc w:val="center"/>
      </w:pPr>
      <w:r>
        <w:t>表</w:t>
      </w:r>
      <w:r>
        <w:rPr>
          <w:rFonts w:ascii="Times New Roman" w:eastAsia="Times New Roman"/>
          <w:spacing w:val="-3"/>
        </w:rPr>
        <w:t>5.2-11</w:t>
      </w:r>
      <w:r>
        <w:rPr>
          <w:rFonts w:ascii="Times New Roman" w:eastAsia="Times New Roman"/>
          <w:spacing w:val="-3"/>
        </w:rPr>
        <w:tab/>
      </w:r>
      <w:r>
        <w:t>环境保护目标一览表</w:t>
      </w:r>
    </w:p>
    <w:tbl>
      <w:tblPr>
        <w:tblStyle w:val="1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8"/>
        <w:gridCol w:w="1898"/>
        <w:gridCol w:w="1187"/>
        <w:gridCol w:w="1027"/>
        <w:gridCol w:w="1059"/>
        <w:gridCol w:w="818"/>
        <w:gridCol w:w="2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758" w:type="dxa"/>
          </w:tcPr>
          <w:p>
            <w:pPr>
              <w:pStyle w:val="19"/>
              <w:spacing w:before="109" w:line="213" w:lineRule="auto"/>
              <w:ind w:left="142" w:right="134"/>
              <w:jc w:val="left"/>
              <w:rPr>
                <w:b/>
                <w:sz w:val="21"/>
              </w:rPr>
            </w:pPr>
            <w:r>
              <w:rPr>
                <w:b/>
                <w:sz w:val="21"/>
              </w:rPr>
              <w:t>环境要素</w:t>
            </w:r>
          </w:p>
        </w:tc>
        <w:tc>
          <w:tcPr>
            <w:tcW w:w="1898" w:type="dxa"/>
          </w:tcPr>
          <w:p>
            <w:pPr>
              <w:pStyle w:val="19"/>
              <w:spacing w:before="1"/>
              <w:jc w:val="left"/>
              <w:rPr>
                <w:sz w:val="16"/>
              </w:rPr>
            </w:pPr>
          </w:p>
          <w:p>
            <w:pPr>
              <w:pStyle w:val="19"/>
              <w:ind w:left="24" w:right="12"/>
              <w:rPr>
                <w:b/>
                <w:sz w:val="21"/>
              </w:rPr>
            </w:pPr>
            <w:r>
              <w:rPr>
                <w:b/>
                <w:sz w:val="21"/>
              </w:rPr>
              <w:t>敏感目标名称</w:t>
            </w:r>
          </w:p>
        </w:tc>
        <w:tc>
          <w:tcPr>
            <w:tcW w:w="1187" w:type="dxa"/>
          </w:tcPr>
          <w:p>
            <w:pPr>
              <w:pStyle w:val="19"/>
              <w:spacing w:before="109" w:line="213" w:lineRule="auto"/>
              <w:ind w:left="345" w:right="121" w:hanging="212"/>
              <w:jc w:val="left"/>
              <w:rPr>
                <w:b/>
                <w:sz w:val="21"/>
              </w:rPr>
            </w:pPr>
            <w:r>
              <w:rPr>
                <w:b/>
                <w:sz w:val="21"/>
              </w:rPr>
              <w:t>相对场址方位</w:t>
            </w:r>
          </w:p>
        </w:tc>
        <w:tc>
          <w:tcPr>
            <w:tcW w:w="1027" w:type="dxa"/>
          </w:tcPr>
          <w:p>
            <w:pPr>
              <w:pStyle w:val="19"/>
              <w:spacing w:before="109" w:line="213" w:lineRule="auto"/>
              <w:ind w:left="36" w:right="46" w:firstLine="21"/>
              <w:jc w:val="left"/>
              <w:rPr>
                <w:rFonts w:ascii="Times New Roman" w:eastAsia="Times New Roman"/>
                <w:b/>
                <w:sz w:val="21"/>
              </w:rPr>
            </w:pPr>
            <w:r>
              <w:rPr>
                <w:b/>
                <w:sz w:val="21"/>
              </w:rPr>
              <w:t>相对场址距离（</w:t>
            </w:r>
            <w:r>
              <w:rPr>
                <w:rFonts w:ascii="Times New Roman" w:eastAsia="Times New Roman"/>
                <w:b/>
                <w:sz w:val="21"/>
              </w:rPr>
              <w:t>m</w:t>
            </w:r>
          </w:p>
        </w:tc>
        <w:tc>
          <w:tcPr>
            <w:tcW w:w="1059" w:type="dxa"/>
          </w:tcPr>
          <w:p>
            <w:pPr>
              <w:pStyle w:val="19"/>
              <w:spacing w:before="206"/>
              <w:ind w:left="-141"/>
              <w:jc w:val="left"/>
              <w:rPr>
                <w:b/>
                <w:sz w:val="21"/>
              </w:rPr>
            </w:pPr>
            <w:r>
              <w:rPr>
                <w:b/>
                <w:position w:val="-11"/>
                <w:sz w:val="21"/>
              </w:rPr>
              <w:t>）</w:t>
            </w:r>
            <w:r>
              <w:rPr>
                <w:b/>
                <w:sz w:val="21"/>
              </w:rPr>
              <w:t>保护对象</w:t>
            </w:r>
          </w:p>
        </w:tc>
        <w:tc>
          <w:tcPr>
            <w:tcW w:w="818" w:type="dxa"/>
          </w:tcPr>
          <w:p>
            <w:pPr>
              <w:pStyle w:val="19"/>
              <w:spacing w:before="1"/>
              <w:jc w:val="left"/>
              <w:rPr>
                <w:sz w:val="16"/>
              </w:rPr>
            </w:pPr>
          </w:p>
          <w:p>
            <w:pPr>
              <w:pStyle w:val="19"/>
              <w:ind w:left="151" w:right="141"/>
              <w:rPr>
                <w:b/>
                <w:sz w:val="21"/>
              </w:rPr>
            </w:pPr>
            <w:r>
              <w:rPr>
                <w:b/>
                <w:sz w:val="21"/>
              </w:rPr>
              <w:t>人数</w:t>
            </w:r>
          </w:p>
        </w:tc>
        <w:tc>
          <w:tcPr>
            <w:tcW w:w="2289" w:type="dxa"/>
          </w:tcPr>
          <w:p>
            <w:pPr>
              <w:pStyle w:val="19"/>
              <w:spacing w:before="1"/>
              <w:jc w:val="left"/>
              <w:rPr>
                <w:sz w:val="16"/>
              </w:rPr>
            </w:pPr>
          </w:p>
          <w:p>
            <w:pPr>
              <w:pStyle w:val="19"/>
              <w:ind w:left="33" w:right="19"/>
              <w:rPr>
                <w:b/>
                <w:sz w:val="21"/>
              </w:rPr>
            </w:pPr>
            <w:r>
              <w:rPr>
                <w:b/>
                <w:sz w:val="21"/>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58" w:type="dxa"/>
            <w:vMerge w:val="restart"/>
          </w:tcPr>
          <w:p>
            <w:pPr>
              <w:pStyle w:val="19"/>
              <w:jc w:val="left"/>
              <w:rPr>
                <w:color w:val="0000FF"/>
                <w:sz w:val="20"/>
              </w:rPr>
            </w:pPr>
          </w:p>
          <w:p>
            <w:pPr>
              <w:pStyle w:val="19"/>
              <w:jc w:val="left"/>
              <w:rPr>
                <w:color w:val="0000FF"/>
                <w:sz w:val="20"/>
              </w:rPr>
            </w:pPr>
          </w:p>
          <w:p>
            <w:pPr>
              <w:pStyle w:val="19"/>
              <w:spacing w:before="3"/>
              <w:jc w:val="left"/>
              <w:rPr>
                <w:color w:val="0000FF"/>
                <w:sz w:val="23"/>
              </w:rPr>
            </w:pPr>
          </w:p>
          <w:p>
            <w:pPr>
              <w:pStyle w:val="19"/>
              <w:spacing w:line="213" w:lineRule="auto"/>
              <w:ind w:left="142" w:right="136"/>
              <w:jc w:val="left"/>
              <w:rPr>
                <w:color w:val="0000FF"/>
                <w:sz w:val="21"/>
              </w:rPr>
            </w:pPr>
            <w:r>
              <w:rPr>
                <w:color w:val="0000FF"/>
                <w:sz w:val="21"/>
              </w:rPr>
              <w:t>大气环境</w:t>
            </w:r>
          </w:p>
        </w:tc>
        <w:tc>
          <w:tcPr>
            <w:tcW w:w="1898" w:type="dxa"/>
          </w:tcPr>
          <w:p>
            <w:pPr>
              <w:pStyle w:val="19"/>
              <w:spacing w:before="31"/>
              <w:ind w:left="24" w:right="17"/>
              <w:rPr>
                <w:color w:val="0000FF"/>
                <w:sz w:val="21"/>
              </w:rPr>
            </w:pPr>
            <w:r>
              <w:rPr>
                <w:rFonts w:hint="eastAsia"/>
                <w:color w:val="0000FF"/>
                <w:sz w:val="21"/>
                <w:lang w:val="en-US" w:eastAsia="zh-CN"/>
              </w:rPr>
              <w:t>萨依吾斯塘</w:t>
            </w:r>
            <w:r>
              <w:rPr>
                <w:color w:val="0000FF"/>
                <w:sz w:val="21"/>
              </w:rPr>
              <w:t>村</w:t>
            </w:r>
          </w:p>
        </w:tc>
        <w:tc>
          <w:tcPr>
            <w:tcW w:w="1187" w:type="dxa"/>
          </w:tcPr>
          <w:p>
            <w:pPr>
              <w:pStyle w:val="19"/>
              <w:spacing w:before="31"/>
              <w:ind w:left="111" w:right="103"/>
              <w:rPr>
                <w:color w:val="0000FF"/>
                <w:sz w:val="21"/>
              </w:rPr>
            </w:pPr>
            <w:r>
              <w:rPr>
                <w:color w:val="0000FF"/>
                <w:sz w:val="21"/>
              </w:rPr>
              <w:t>西侧</w:t>
            </w:r>
          </w:p>
        </w:tc>
        <w:tc>
          <w:tcPr>
            <w:tcW w:w="1027" w:type="dxa"/>
          </w:tcPr>
          <w:p>
            <w:pPr>
              <w:pStyle w:val="19"/>
              <w:spacing w:before="45"/>
              <w:ind w:left="37" w:right="27"/>
              <w:rPr>
                <w:rFonts w:hint="default" w:ascii="Times New Roman" w:eastAsia="宋体"/>
                <w:color w:val="0000FF"/>
                <w:sz w:val="21"/>
                <w:lang w:val="en-US" w:eastAsia="zh-CN"/>
              </w:rPr>
            </w:pPr>
            <w:r>
              <w:rPr>
                <w:rFonts w:hint="eastAsia" w:ascii="Times New Roman"/>
                <w:color w:val="0000FF"/>
                <w:sz w:val="21"/>
                <w:lang w:val="en-US" w:eastAsia="zh-CN"/>
              </w:rPr>
              <w:t>1600</w:t>
            </w:r>
          </w:p>
        </w:tc>
        <w:tc>
          <w:tcPr>
            <w:tcW w:w="1059" w:type="dxa"/>
          </w:tcPr>
          <w:p>
            <w:pPr>
              <w:pStyle w:val="19"/>
              <w:spacing w:before="31"/>
              <w:ind w:left="284"/>
              <w:jc w:val="left"/>
              <w:rPr>
                <w:color w:val="0000FF"/>
                <w:sz w:val="21"/>
              </w:rPr>
            </w:pPr>
            <w:r>
              <w:rPr>
                <w:color w:val="0000FF"/>
                <w:sz w:val="21"/>
              </w:rPr>
              <w:t>村庄</w:t>
            </w:r>
          </w:p>
        </w:tc>
        <w:tc>
          <w:tcPr>
            <w:tcW w:w="818" w:type="dxa"/>
          </w:tcPr>
          <w:p>
            <w:pPr>
              <w:pStyle w:val="19"/>
              <w:spacing w:before="45"/>
              <w:ind w:left="150" w:right="141"/>
              <w:rPr>
                <w:rFonts w:ascii="Times New Roman"/>
                <w:color w:val="0000FF"/>
                <w:sz w:val="21"/>
              </w:rPr>
            </w:pPr>
            <w:r>
              <w:rPr>
                <w:rFonts w:ascii="Times New Roman"/>
                <w:color w:val="0000FF"/>
                <w:sz w:val="21"/>
              </w:rPr>
              <w:t>1500</w:t>
            </w:r>
          </w:p>
        </w:tc>
        <w:tc>
          <w:tcPr>
            <w:tcW w:w="2289" w:type="dxa"/>
            <w:vMerge w:val="restart"/>
          </w:tcPr>
          <w:p>
            <w:pPr>
              <w:pStyle w:val="19"/>
              <w:jc w:val="left"/>
              <w:rPr>
                <w:color w:val="0000FF"/>
                <w:sz w:val="20"/>
              </w:rPr>
            </w:pPr>
          </w:p>
          <w:p>
            <w:pPr>
              <w:pStyle w:val="19"/>
              <w:jc w:val="left"/>
              <w:rPr>
                <w:color w:val="0000FF"/>
                <w:sz w:val="20"/>
              </w:rPr>
            </w:pPr>
          </w:p>
          <w:p>
            <w:pPr>
              <w:pStyle w:val="19"/>
              <w:spacing w:before="155" w:line="255" w:lineRule="exact"/>
              <w:ind w:left="70" w:right="19"/>
              <w:rPr>
                <w:color w:val="0000FF"/>
                <w:sz w:val="21"/>
              </w:rPr>
            </w:pPr>
            <w:r>
              <w:rPr>
                <w:color w:val="0000FF"/>
                <w:w w:val="95"/>
                <w:sz w:val="21"/>
              </w:rPr>
              <w:t>《环境空气质量标准》</w:t>
            </w:r>
          </w:p>
          <w:p>
            <w:pPr>
              <w:pStyle w:val="19"/>
              <w:spacing w:line="240" w:lineRule="exact"/>
              <w:ind w:left="28" w:right="19"/>
              <w:rPr>
                <w:color w:val="0000FF"/>
                <w:sz w:val="21"/>
              </w:rPr>
            </w:pPr>
            <w:r>
              <w:rPr>
                <w:color w:val="0000FF"/>
                <w:sz w:val="21"/>
              </w:rPr>
              <w:t>（</w:t>
            </w:r>
            <w:r>
              <w:rPr>
                <w:rFonts w:ascii="Times New Roman" w:eastAsia="Times New Roman"/>
                <w:color w:val="0000FF"/>
                <w:sz w:val="21"/>
              </w:rPr>
              <w:t>GB3095-2012</w:t>
            </w:r>
            <w:r>
              <w:rPr>
                <w:color w:val="0000FF"/>
                <w:sz w:val="21"/>
              </w:rPr>
              <w:t>）二级</w:t>
            </w:r>
          </w:p>
          <w:p>
            <w:pPr>
              <w:pStyle w:val="19"/>
              <w:spacing w:line="255" w:lineRule="exact"/>
              <w:ind w:left="25" w:right="19"/>
              <w:rPr>
                <w:color w:val="0000FF"/>
                <w:sz w:val="21"/>
              </w:rPr>
            </w:pPr>
            <w:r>
              <w:rPr>
                <w:color w:val="0000FF"/>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758" w:type="dxa"/>
            <w:vMerge w:val="continue"/>
            <w:tcBorders>
              <w:top w:val="nil"/>
            </w:tcBorders>
          </w:tcPr>
          <w:p>
            <w:pPr>
              <w:rPr>
                <w:color w:val="0000FF"/>
                <w:sz w:val="2"/>
                <w:szCs w:val="2"/>
              </w:rPr>
            </w:pPr>
          </w:p>
        </w:tc>
        <w:tc>
          <w:tcPr>
            <w:tcW w:w="1898" w:type="dxa"/>
          </w:tcPr>
          <w:p>
            <w:pPr>
              <w:pStyle w:val="19"/>
              <w:spacing w:before="32"/>
              <w:ind w:left="24" w:right="17"/>
              <w:jc w:val="both"/>
              <w:rPr>
                <w:rFonts w:hint="default" w:eastAsia="宋体"/>
                <w:color w:val="0000FF"/>
                <w:sz w:val="21"/>
                <w:lang w:val="en-US" w:eastAsia="zh-CN"/>
              </w:rPr>
            </w:pPr>
            <w:r>
              <w:rPr>
                <w:rFonts w:hint="eastAsia"/>
                <w:color w:val="0000FF"/>
                <w:sz w:val="21"/>
                <w:lang w:val="en-US" w:eastAsia="zh-CN"/>
              </w:rPr>
              <w:t>孜热普夏提塔吉克族乡</w:t>
            </w:r>
          </w:p>
        </w:tc>
        <w:tc>
          <w:tcPr>
            <w:tcW w:w="1187" w:type="dxa"/>
          </w:tcPr>
          <w:p>
            <w:pPr>
              <w:pStyle w:val="19"/>
              <w:spacing w:before="32"/>
              <w:ind w:left="111" w:right="103"/>
              <w:rPr>
                <w:color w:val="0000FF"/>
                <w:sz w:val="21"/>
              </w:rPr>
            </w:pPr>
            <w:r>
              <w:rPr>
                <w:color w:val="0000FF"/>
                <w:sz w:val="21"/>
              </w:rPr>
              <w:t>西侧</w:t>
            </w:r>
          </w:p>
        </w:tc>
        <w:tc>
          <w:tcPr>
            <w:tcW w:w="1027" w:type="dxa"/>
          </w:tcPr>
          <w:p>
            <w:pPr>
              <w:pStyle w:val="19"/>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1800</w:t>
            </w:r>
          </w:p>
        </w:tc>
        <w:tc>
          <w:tcPr>
            <w:tcW w:w="1059" w:type="dxa"/>
          </w:tcPr>
          <w:p>
            <w:pPr>
              <w:pStyle w:val="19"/>
              <w:spacing w:before="32"/>
              <w:ind w:left="284"/>
              <w:jc w:val="left"/>
              <w:rPr>
                <w:color w:val="0000FF"/>
                <w:sz w:val="21"/>
              </w:rPr>
            </w:pPr>
            <w:r>
              <w:rPr>
                <w:color w:val="0000FF"/>
                <w:sz w:val="21"/>
              </w:rPr>
              <w:t>村庄</w:t>
            </w:r>
          </w:p>
        </w:tc>
        <w:tc>
          <w:tcPr>
            <w:tcW w:w="818" w:type="dxa"/>
          </w:tcPr>
          <w:p>
            <w:pPr>
              <w:pStyle w:val="19"/>
              <w:spacing w:before="46"/>
              <w:ind w:left="150" w:right="141"/>
              <w:rPr>
                <w:rFonts w:ascii="Times New Roman"/>
                <w:color w:val="0000FF"/>
                <w:sz w:val="21"/>
              </w:rPr>
            </w:pPr>
            <w:r>
              <w:rPr>
                <w:rFonts w:ascii="Times New Roman"/>
                <w:color w:val="0000FF"/>
                <w:sz w:val="21"/>
              </w:rPr>
              <w:t>1200</w:t>
            </w:r>
          </w:p>
        </w:tc>
        <w:tc>
          <w:tcPr>
            <w:tcW w:w="2289"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758" w:type="dxa"/>
            <w:vMerge w:val="continue"/>
            <w:tcBorders>
              <w:top w:val="nil"/>
            </w:tcBorders>
          </w:tcPr>
          <w:p>
            <w:pPr>
              <w:rPr>
                <w:color w:val="0000FF"/>
                <w:sz w:val="2"/>
                <w:szCs w:val="2"/>
              </w:rPr>
            </w:pPr>
          </w:p>
        </w:tc>
        <w:tc>
          <w:tcPr>
            <w:tcW w:w="1898" w:type="dxa"/>
          </w:tcPr>
          <w:p>
            <w:pPr>
              <w:pStyle w:val="19"/>
              <w:spacing w:before="32"/>
              <w:ind w:left="24" w:right="17"/>
              <w:rPr>
                <w:color w:val="0000FF"/>
                <w:sz w:val="21"/>
              </w:rPr>
            </w:pPr>
            <w:r>
              <w:rPr>
                <w:rFonts w:hint="eastAsia"/>
                <w:color w:val="0000FF"/>
                <w:sz w:val="21"/>
                <w:lang w:val="en-US" w:eastAsia="zh-CN"/>
              </w:rPr>
              <w:t>孜热普夏提</w:t>
            </w:r>
            <w:r>
              <w:rPr>
                <w:color w:val="0000FF"/>
                <w:sz w:val="21"/>
              </w:rPr>
              <w:t>村</w:t>
            </w:r>
          </w:p>
        </w:tc>
        <w:tc>
          <w:tcPr>
            <w:tcW w:w="1187" w:type="dxa"/>
          </w:tcPr>
          <w:p>
            <w:pPr>
              <w:pStyle w:val="19"/>
              <w:spacing w:before="32"/>
              <w:ind w:left="111" w:right="103"/>
              <w:rPr>
                <w:color w:val="0000FF"/>
                <w:sz w:val="21"/>
              </w:rPr>
            </w:pPr>
            <w:r>
              <w:rPr>
                <w:color w:val="0000FF"/>
                <w:sz w:val="21"/>
              </w:rPr>
              <w:t>西北侧</w:t>
            </w:r>
          </w:p>
        </w:tc>
        <w:tc>
          <w:tcPr>
            <w:tcW w:w="1027" w:type="dxa"/>
          </w:tcPr>
          <w:p>
            <w:pPr>
              <w:pStyle w:val="19"/>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1700</w:t>
            </w:r>
          </w:p>
        </w:tc>
        <w:tc>
          <w:tcPr>
            <w:tcW w:w="1059" w:type="dxa"/>
          </w:tcPr>
          <w:p>
            <w:pPr>
              <w:pStyle w:val="19"/>
              <w:spacing w:before="32"/>
              <w:ind w:left="284"/>
              <w:jc w:val="left"/>
              <w:rPr>
                <w:color w:val="0000FF"/>
                <w:sz w:val="21"/>
              </w:rPr>
            </w:pPr>
            <w:r>
              <w:rPr>
                <w:color w:val="0000FF"/>
                <w:sz w:val="21"/>
              </w:rPr>
              <w:t>村庄</w:t>
            </w:r>
          </w:p>
        </w:tc>
        <w:tc>
          <w:tcPr>
            <w:tcW w:w="818" w:type="dxa"/>
          </w:tcPr>
          <w:p>
            <w:pPr>
              <w:pStyle w:val="19"/>
              <w:spacing w:before="46"/>
              <w:ind w:left="150" w:right="141"/>
              <w:rPr>
                <w:rFonts w:ascii="Times New Roman"/>
                <w:color w:val="0000FF"/>
                <w:sz w:val="21"/>
              </w:rPr>
            </w:pPr>
            <w:r>
              <w:rPr>
                <w:rFonts w:ascii="Times New Roman"/>
                <w:color w:val="0000FF"/>
                <w:sz w:val="21"/>
              </w:rPr>
              <w:t>500</w:t>
            </w:r>
          </w:p>
        </w:tc>
        <w:tc>
          <w:tcPr>
            <w:tcW w:w="2289"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758" w:type="dxa"/>
            <w:vMerge w:val="continue"/>
            <w:tcBorders>
              <w:top w:val="nil"/>
            </w:tcBorders>
          </w:tcPr>
          <w:p>
            <w:pPr>
              <w:rPr>
                <w:color w:val="0000FF"/>
                <w:sz w:val="2"/>
                <w:szCs w:val="2"/>
              </w:rPr>
            </w:pPr>
          </w:p>
        </w:tc>
        <w:tc>
          <w:tcPr>
            <w:tcW w:w="1898" w:type="dxa"/>
          </w:tcPr>
          <w:p>
            <w:pPr>
              <w:pStyle w:val="19"/>
              <w:spacing w:before="32"/>
              <w:ind w:left="24" w:right="14"/>
              <w:rPr>
                <w:color w:val="0000FF"/>
                <w:sz w:val="21"/>
              </w:rPr>
            </w:pPr>
            <w:r>
              <w:rPr>
                <w:rFonts w:hint="eastAsia"/>
                <w:color w:val="0000FF"/>
                <w:sz w:val="21"/>
                <w:lang w:val="en-US" w:eastAsia="zh-CN"/>
              </w:rPr>
              <w:t>库孜玛勒</w:t>
            </w:r>
            <w:r>
              <w:rPr>
                <w:color w:val="0000FF"/>
                <w:sz w:val="21"/>
              </w:rPr>
              <w:t>村</w:t>
            </w:r>
          </w:p>
        </w:tc>
        <w:tc>
          <w:tcPr>
            <w:tcW w:w="1187" w:type="dxa"/>
          </w:tcPr>
          <w:p>
            <w:pPr>
              <w:pStyle w:val="19"/>
              <w:spacing w:before="32"/>
              <w:ind w:left="111" w:right="103"/>
              <w:rPr>
                <w:color w:val="0000FF"/>
                <w:sz w:val="21"/>
              </w:rPr>
            </w:pPr>
            <w:r>
              <w:rPr>
                <w:color w:val="0000FF"/>
                <w:sz w:val="21"/>
              </w:rPr>
              <w:t>西南侧</w:t>
            </w:r>
          </w:p>
        </w:tc>
        <w:tc>
          <w:tcPr>
            <w:tcW w:w="1027" w:type="dxa"/>
          </w:tcPr>
          <w:p>
            <w:pPr>
              <w:pStyle w:val="19"/>
              <w:spacing w:before="46"/>
              <w:ind w:left="37" w:right="27"/>
              <w:rPr>
                <w:rFonts w:hint="default" w:ascii="Times New Roman" w:eastAsia="宋体"/>
                <w:color w:val="0000FF"/>
                <w:sz w:val="21"/>
                <w:lang w:val="en-US" w:eastAsia="zh-CN"/>
              </w:rPr>
            </w:pPr>
            <w:r>
              <w:rPr>
                <w:rFonts w:hint="eastAsia" w:ascii="Times New Roman"/>
                <w:color w:val="0000FF"/>
                <w:sz w:val="21"/>
                <w:lang w:val="en-US" w:eastAsia="zh-CN"/>
              </w:rPr>
              <w:t>2100</w:t>
            </w:r>
          </w:p>
        </w:tc>
        <w:tc>
          <w:tcPr>
            <w:tcW w:w="1059" w:type="dxa"/>
          </w:tcPr>
          <w:p>
            <w:pPr>
              <w:pStyle w:val="19"/>
              <w:spacing w:before="32"/>
              <w:ind w:left="284"/>
              <w:jc w:val="left"/>
              <w:rPr>
                <w:color w:val="0000FF"/>
                <w:sz w:val="21"/>
              </w:rPr>
            </w:pPr>
            <w:r>
              <w:rPr>
                <w:color w:val="0000FF"/>
                <w:sz w:val="21"/>
              </w:rPr>
              <w:t>村庄</w:t>
            </w:r>
          </w:p>
        </w:tc>
        <w:tc>
          <w:tcPr>
            <w:tcW w:w="818" w:type="dxa"/>
          </w:tcPr>
          <w:p>
            <w:pPr>
              <w:pStyle w:val="19"/>
              <w:spacing w:before="46"/>
              <w:ind w:left="150" w:right="141"/>
              <w:rPr>
                <w:rFonts w:ascii="Times New Roman"/>
                <w:color w:val="0000FF"/>
                <w:sz w:val="21"/>
              </w:rPr>
            </w:pPr>
            <w:r>
              <w:rPr>
                <w:rFonts w:ascii="Times New Roman"/>
                <w:color w:val="0000FF"/>
                <w:sz w:val="21"/>
              </w:rPr>
              <w:t>1500</w:t>
            </w:r>
          </w:p>
        </w:tc>
        <w:tc>
          <w:tcPr>
            <w:tcW w:w="2289"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758" w:type="dxa"/>
            <w:vMerge w:val="continue"/>
            <w:tcBorders>
              <w:top w:val="nil"/>
            </w:tcBorders>
          </w:tcPr>
          <w:p>
            <w:pPr>
              <w:rPr>
                <w:color w:val="0000FF"/>
                <w:sz w:val="2"/>
                <w:szCs w:val="2"/>
              </w:rPr>
            </w:pPr>
          </w:p>
        </w:tc>
        <w:tc>
          <w:tcPr>
            <w:tcW w:w="1898" w:type="dxa"/>
          </w:tcPr>
          <w:p>
            <w:pPr>
              <w:pStyle w:val="19"/>
              <w:spacing w:before="33"/>
              <w:ind w:left="23" w:right="18"/>
              <w:rPr>
                <w:color w:val="0000FF"/>
                <w:sz w:val="21"/>
              </w:rPr>
            </w:pPr>
            <w:r>
              <w:rPr>
                <w:rFonts w:hint="eastAsia"/>
                <w:color w:val="0000FF"/>
                <w:sz w:val="21"/>
                <w:lang w:val="en-US" w:eastAsia="zh-CN"/>
              </w:rPr>
              <w:t>喀勒提拉</w:t>
            </w:r>
            <w:r>
              <w:rPr>
                <w:color w:val="0000FF"/>
                <w:sz w:val="21"/>
              </w:rPr>
              <w:t>村</w:t>
            </w:r>
          </w:p>
        </w:tc>
        <w:tc>
          <w:tcPr>
            <w:tcW w:w="1187" w:type="dxa"/>
          </w:tcPr>
          <w:p>
            <w:pPr>
              <w:pStyle w:val="19"/>
              <w:spacing w:before="33"/>
              <w:ind w:left="111" w:right="103"/>
              <w:rPr>
                <w:color w:val="0000FF"/>
                <w:sz w:val="21"/>
              </w:rPr>
            </w:pPr>
            <w:r>
              <w:rPr>
                <w:rFonts w:hint="eastAsia"/>
                <w:color w:val="0000FF"/>
                <w:sz w:val="21"/>
                <w:lang w:val="en-US" w:eastAsia="zh-CN"/>
              </w:rPr>
              <w:t>东</w:t>
            </w:r>
            <w:r>
              <w:rPr>
                <w:color w:val="0000FF"/>
                <w:sz w:val="21"/>
              </w:rPr>
              <w:t>侧</w:t>
            </w:r>
          </w:p>
        </w:tc>
        <w:tc>
          <w:tcPr>
            <w:tcW w:w="1027" w:type="dxa"/>
          </w:tcPr>
          <w:p>
            <w:pPr>
              <w:pStyle w:val="19"/>
              <w:spacing w:before="47"/>
              <w:ind w:left="37" w:right="27"/>
              <w:rPr>
                <w:rFonts w:ascii="Times New Roman"/>
                <w:color w:val="0000FF"/>
                <w:sz w:val="21"/>
              </w:rPr>
            </w:pPr>
            <w:r>
              <w:rPr>
                <w:rFonts w:hint="eastAsia" w:ascii="Times New Roman"/>
                <w:color w:val="0000FF"/>
                <w:sz w:val="21"/>
                <w:lang w:val="en-US" w:eastAsia="zh-CN"/>
              </w:rPr>
              <w:t>22</w:t>
            </w:r>
            <w:r>
              <w:rPr>
                <w:rFonts w:ascii="Times New Roman"/>
                <w:color w:val="0000FF"/>
                <w:sz w:val="21"/>
              </w:rPr>
              <w:t>80</w:t>
            </w:r>
          </w:p>
        </w:tc>
        <w:tc>
          <w:tcPr>
            <w:tcW w:w="1059" w:type="dxa"/>
          </w:tcPr>
          <w:p>
            <w:pPr>
              <w:pStyle w:val="19"/>
              <w:spacing w:before="33"/>
              <w:ind w:left="284"/>
              <w:jc w:val="left"/>
              <w:rPr>
                <w:color w:val="0000FF"/>
                <w:sz w:val="21"/>
              </w:rPr>
            </w:pPr>
            <w:r>
              <w:rPr>
                <w:color w:val="0000FF"/>
                <w:sz w:val="21"/>
              </w:rPr>
              <w:t>村庄</w:t>
            </w:r>
          </w:p>
        </w:tc>
        <w:tc>
          <w:tcPr>
            <w:tcW w:w="818" w:type="dxa"/>
          </w:tcPr>
          <w:p>
            <w:pPr>
              <w:pStyle w:val="19"/>
              <w:spacing w:before="47"/>
              <w:ind w:left="151" w:right="140"/>
              <w:rPr>
                <w:rFonts w:ascii="Times New Roman"/>
                <w:color w:val="0000FF"/>
                <w:sz w:val="21"/>
              </w:rPr>
            </w:pPr>
            <w:r>
              <w:rPr>
                <w:rFonts w:ascii="Times New Roman"/>
                <w:color w:val="0000FF"/>
                <w:sz w:val="21"/>
              </w:rPr>
              <w:t>700</w:t>
            </w:r>
          </w:p>
        </w:tc>
        <w:tc>
          <w:tcPr>
            <w:tcW w:w="2289"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758" w:type="dxa"/>
          </w:tcPr>
          <w:p>
            <w:pPr>
              <w:pStyle w:val="19"/>
              <w:spacing w:before="3"/>
              <w:jc w:val="left"/>
              <w:rPr>
                <w:color w:val="0000FF"/>
                <w:sz w:val="17"/>
              </w:rPr>
            </w:pPr>
          </w:p>
          <w:p>
            <w:pPr>
              <w:pStyle w:val="19"/>
              <w:ind w:left="39"/>
              <w:jc w:val="left"/>
              <w:rPr>
                <w:color w:val="0000FF"/>
                <w:sz w:val="21"/>
              </w:rPr>
            </w:pPr>
            <w:r>
              <w:rPr>
                <w:color w:val="0000FF"/>
                <w:sz w:val="21"/>
              </w:rPr>
              <w:t>水环境</w:t>
            </w:r>
          </w:p>
        </w:tc>
        <w:tc>
          <w:tcPr>
            <w:tcW w:w="1898" w:type="dxa"/>
          </w:tcPr>
          <w:p>
            <w:pPr>
              <w:pStyle w:val="19"/>
              <w:spacing w:before="3"/>
              <w:jc w:val="left"/>
              <w:rPr>
                <w:color w:val="0000FF"/>
                <w:sz w:val="17"/>
              </w:rPr>
            </w:pPr>
          </w:p>
          <w:p>
            <w:pPr>
              <w:pStyle w:val="19"/>
              <w:ind w:left="24" w:right="17"/>
              <w:rPr>
                <w:color w:val="0000FF"/>
                <w:sz w:val="21"/>
              </w:rPr>
            </w:pPr>
            <w:r>
              <w:rPr>
                <w:color w:val="0000FF"/>
                <w:sz w:val="21"/>
              </w:rPr>
              <w:t>地下水</w:t>
            </w:r>
          </w:p>
        </w:tc>
        <w:tc>
          <w:tcPr>
            <w:tcW w:w="1187" w:type="dxa"/>
          </w:tcPr>
          <w:p>
            <w:pPr>
              <w:pStyle w:val="19"/>
              <w:spacing w:before="3"/>
              <w:jc w:val="left"/>
              <w:rPr>
                <w:color w:val="0000FF"/>
                <w:sz w:val="17"/>
              </w:rPr>
            </w:pPr>
          </w:p>
          <w:p>
            <w:pPr>
              <w:pStyle w:val="19"/>
              <w:ind w:left="109" w:right="103"/>
              <w:rPr>
                <w:color w:val="0000FF"/>
                <w:sz w:val="21"/>
              </w:rPr>
            </w:pPr>
            <w:r>
              <w:rPr>
                <w:color w:val="0000FF"/>
                <w:sz w:val="21"/>
              </w:rPr>
              <w:t>厂址区域</w:t>
            </w:r>
          </w:p>
        </w:tc>
        <w:tc>
          <w:tcPr>
            <w:tcW w:w="1027" w:type="dxa"/>
          </w:tcPr>
          <w:p>
            <w:pPr>
              <w:pStyle w:val="19"/>
              <w:spacing w:before="3"/>
              <w:jc w:val="left"/>
              <w:rPr>
                <w:color w:val="0000FF"/>
                <w:sz w:val="17"/>
              </w:rPr>
            </w:pPr>
          </w:p>
          <w:p>
            <w:pPr>
              <w:pStyle w:val="19"/>
              <w:ind w:left="37" w:right="33"/>
              <w:rPr>
                <w:color w:val="0000FF"/>
                <w:sz w:val="21"/>
              </w:rPr>
            </w:pPr>
            <w:r>
              <w:rPr>
                <w:color w:val="0000FF"/>
                <w:sz w:val="21"/>
              </w:rPr>
              <w:t>厂址区域</w:t>
            </w:r>
          </w:p>
        </w:tc>
        <w:tc>
          <w:tcPr>
            <w:tcW w:w="1059" w:type="dxa"/>
          </w:tcPr>
          <w:p>
            <w:pPr>
              <w:pStyle w:val="19"/>
              <w:spacing w:before="3"/>
              <w:jc w:val="left"/>
              <w:rPr>
                <w:color w:val="0000FF"/>
                <w:sz w:val="17"/>
              </w:rPr>
            </w:pPr>
          </w:p>
          <w:p>
            <w:pPr>
              <w:pStyle w:val="19"/>
              <w:ind w:left="284"/>
              <w:jc w:val="left"/>
              <w:rPr>
                <w:color w:val="0000FF"/>
                <w:sz w:val="21"/>
              </w:rPr>
            </w:pPr>
            <w:r>
              <w:rPr>
                <w:color w:val="0000FF"/>
                <w:sz w:val="21"/>
              </w:rPr>
              <w:t>水质</w:t>
            </w:r>
          </w:p>
        </w:tc>
        <w:tc>
          <w:tcPr>
            <w:tcW w:w="818" w:type="dxa"/>
          </w:tcPr>
          <w:p>
            <w:pPr>
              <w:pStyle w:val="19"/>
              <w:spacing w:before="3"/>
              <w:jc w:val="left"/>
              <w:rPr>
                <w:color w:val="0000FF"/>
                <w:sz w:val="17"/>
              </w:rPr>
            </w:pPr>
          </w:p>
          <w:p>
            <w:pPr>
              <w:pStyle w:val="19"/>
              <w:ind w:left="5"/>
              <w:rPr>
                <w:color w:val="0000FF"/>
                <w:sz w:val="21"/>
              </w:rPr>
            </w:pPr>
            <w:r>
              <w:rPr>
                <w:color w:val="0000FF"/>
                <w:w w:val="99"/>
                <w:sz w:val="21"/>
              </w:rPr>
              <w:t>—</w:t>
            </w:r>
          </w:p>
        </w:tc>
        <w:tc>
          <w:tcPr>
            <w:tcW w:w="2289" w:type="dxa"/>
          </w:tcPr>
          <w:p>
            <w:pPr>
              <w:pStyle w:val="19"/>
              <w:spacing w:before="4" w:line="213" w:lineRule="auto"/>
              <w:ind w:left="36" w:right="129"/>
              <w:jc w:val="left"/>
              <w:rPr>
                <w:rFonts w:ascii="Times New Roman" w:eastAsia="Times New Roman"/>
                <w:color w:val="0000FF"/>
                <w:sz w:val="21"/>
              </w:rPr>
            </w:pPr>
            <w:r>
              <w:rPr>
                <w:color w:val="0000FF"/>
                <w:sz w:val="21"/>
              </w:rPr>
              <w:t>《地下水环境质量标</w:t>
            </w:r>
            <w:r>
              <w:rPr>
                <w:color w:val="0000FF"/>
                <w:spacing w:val="-80"/>
                <w:w w:val="95"/>
                <w:sz w:val="21"/>
              </w:rPr>
              <w:t>准》</w:t>
            </w:r>
            <w:r>
              <w:rPr>
                <w:color w:val="0000FF"/>
                <w:w w:val="95"/>
                <w:sz w:val="21"/>
              </w:rPr>
              <w:t>（</w:t>
            </w:r>
            <w:r>
              <w:rPr>
                <w:rFonts w:ascii="Times New Roman" w:eastAsia="Times New Roman"/>
                <w:color w:val="0000FF"/>
                <w:w w:val="95"/>
                <w:sz w:val="21"/>
              </w:rPr>
              <w:t>GB/T14848-2017</w:t>
            </w:r>
          </w:p>
          <w:p>
            <w:pPr>
              <w:pStyle w:val="19"/>
              <w:spacing w:line="217" w:lineRule="exact"/>
              <w:ind w:left="36"/>
              <w:jc w:val="left"/>
              <w:rPr>
                <w:color w:val="0000FF"/>
                <w:sz w:val="21"/>
              </w:rPr>
            </w:pPr>
            <w:r>
              <w:rPr>
                <w:color w:val="0000FF"/>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758" w:type="dxa"/>
          </w:tcPr>
          <w:p>
            <w:pPr>
              <w:pStyle w:val="19"/>
              <w:spacing w:before="1" w:line="240" w:lineRule="exact"/>
              <w:ind w:left="142" w:right="136"/>
              <w:jc w:val="left"/>
              <w:rPr>
                <w:color w:val="0000FF"/>
                <w:sz w:val="21"/>
              </w:rPr>
            </w:pPr>
            <w:r>
              <w:rPr>
                <w:color w:val="0000FF"/>
                <w:sz w:val="21"/>
              </w:rPr>
              <w:t>土壤环境</w:t>
            </w:r>
          </w:p>
        </w:tc>
        <w:tc>
          <w:tcPr>
            <w:tcW w:w="1898" w:type="dxa"/>
          </w:tcPr>
          <w:p>
            <w:pPr>
              <w:pStyle w:val="19"/>
              <w:spacing w:before="103"/>
              <w:ind w:left="24" w:right="17"/>
              <w:rPr>
                <w:color w:val="0000FF"/>
                <w:sz w:val="21"/>
              </w:rPr>
            </w:pPr>
            <w:r>
              <w:rPr>
                <w:color w:val="0000FF"/>
                <w:sz w:val="21"/>
              </w:rPr>
              <w:t>耕地</w:t>
            </w:r>
          </w:p>
        </w:tc>
        <w:tc>
          <w:tcPr>
            <w:tcW w:w="1187" w:type="dxa"/>
          </w:tcPr>
          <w:p>
            <w:pPr>
              <w:pStyle w:val="19"/>
              <w:spacing w:before="103"/>
              <w:ind w:left="111" w:right="103"/>
              <w:rPr>
                <w:color w:val="0000FF"/>
                <w:sz w:val="21"/>
              </w:rPr>
            </w:pPr>
            <w:r>
              <w:rPr>
                <w:color w:val="0000FF"/>
                <w:sz w:val="21"/>
              </w:rPr>
              <w:t>四周</w:t>
            </w:r>
          </w:p>
        </w:tc>
        <w:tc>
          <w:tcPr>
            <w:tcW w:w="1027" w:type="dxa"/>
          </w:tcPr>
          <w:p>
            <w:pPr>
              <w:pStyle w:val="19"/>
              <w:spacing w:before="103"/>
              <w:ind w:left="37" w:right="30"/>
              <w:rPr>
                <w:color w:val="0000FF"/>
                <w:sz w:val="21"/>
              </w:rPr>
            </w:pPr>
            <w:r>
              <w:rPr>
                <w:color w:val="0000FF"/>
                <w:sz w:val="21"/>
              </w:rPr>
              <w:t>四周</w:t>
            </w:r>
          </w:p>
        </w:tc>
        <w:tc>
          <w:tcPr>
            <w:tcW w:w="1059" w:type="dxa"/>
          </w:tcPr>
          <w:p>
            <w:pPr>
              <w:pStyle w:val="19"/>
              <w:spacing w:before="103"/>
              <w:ind w:left="284"/>
              <w:jc w:val="left"/>
              <w:rPr>
                <w:color w:val="0000FF"/>
                <w:sz w:val="21"/>
              </w:rPr>
            </w:pPr>
            <w:r>
              <w:rPr>
                <w:color w:val="0000FF"/>
                <w:sz w:val="21"/>
              </w:rPr>
              <w:t>耕地</w:t>
            </w:r>
          </w:p>
        </w:tc>
        <w:tc>
          <w:tcPr>
            <w:tcW w:w="818" w:type="dxa"/>
          </w:tcPr>
          <w:p>
            <w:pPr>
              <w:pStyle w:val="19"/>
              <w:spacing w:before="103"/>
              <w:ind w:left="5"/>
              <w:rPr>
                <w:color w:val="0000FF"/>
                <w:sz w:val="21"/>
              </w:rPr>
            </w:pPr>
            <w:r>
              <w:rPr>
                <w:color w:val="0000FF"/>
                <w:w w:val="99"/>
                <w:sz w:val="21"/>
              </w:rPr>
              <w:t>—</w:t>
            </w:r>
          </w:p>
        </w:tc>
        <w:tc>
          <w:tcPr>
            <w:tcW w:w="2289" w:type="dxa"/>
          </w:tcPr>
          <w:p>
            <w:pPr>
              <w:pStyle w:val="19"/>
              <w:spacing w:before="103"/>
              <w:ind w:left="28" w:right="19"/>
              <w:rPr>
                <w:color w:val="0000FF"/>
                <w:sz w:val="21"/>
              </w:rPr>
            </w:pPr>
            <w:r>
              <w:rPr>
                <w:color w:val="0000FF"/>
                <w:sz w:val="21"/>
              </w:rPr>
              <w:t>不受影响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758" w:type="dxa"/>
          </w:tcPr>
          <w:p>
            <w:pPr>
              <w:pStyle w:val="19"/>
              <w:spacing w:line="236" w:lineRule="exact"/>
              <w:ind w:left="142"/>
              <w:jc w:val="left"/>
              <w:rPr>
                <w:color w:val="0000FF"/>
                <w:sz w:val="21"/>
              </w:rPr>
            </w:pPr>
            <w:r>
              <w:rPr>
                <w:color w:val="0000FF"/>
                <w:spacing w:val="-1"/>
                <w:w w:val="95"/>
                <w:sz w:val="21"/>
              </w:rPr>
              <w:t>环境</w:t>
            </w:r>
          </w:p>
          <w:p>
            <w:pPr>
              <w:pStyle w:val="19"/>
              <w:spacing w:line="223" w:lineRule="exact"/>
              <w:ind w:left="142"/>
              <w:jc w:val="left"/>
              <w:rPr>
                <w:color w:val="0000FF"/>
                <w:sz w:val="21"/>
              </w:rPr>
            </w:pPr>
            <w:r>
              <w:rPr>
                <w:color w:val="0000FF"/>
                <w:spacing w:val="-1"/>
                <w:w w:val="95"/>
                <w:sz w:val="21"/>
              </w:rPr>
              <w:t>风险</w:t>
            </w:r>
          </w:p>
        </w:tc>
        <w:tc>
          <w:tcPr>
            <w:tcW w:w="1898" w:type="dxa"/>
          </w:tcPr>
          <w:p>
            <w:pPr>
              <w:pStyle w:val="19"/>
              <w:spacing w:line="236" w:lineRule="exact"/>
              <w:ind w:left="36"/>
              <w:jc w:val="left"/>
              <w:rPr>
                <w:color w:val="0000FF"/>
                <w:sz w:val="21"/>
              </w:rPr>
            </w:pPr>
            <w:r>
              <w:rPr>
                <w:color w:val="0000FF"/>
                <w:sz w:val="21"/>
              </w:rPr>
              <w:t>村庄、地下水、大</w:t>
            </w:r>
          </w:p>
          <w:p>
            <w:pPr>
              <w:pStyle w:val="19"/>
              <w:spacing w:line="223" w:lineRule="exact"/>
              <w:ind w:left="36"/>
              <w:jc w:val="left"/>
              <w:rPr>
                <w:color w:val="0000FF"/>
                <w:sz w:val="21"/>
              </w:rPr>
            </w:pPr>
            <w:r>
              <w:rPr>
                <w:color w:val="0000FF"/>
                <w:sz w:val="21"/>
              </w:rPr>
              <w:t>气环境</w:t>
            </w:r>
          </w:p>
        </w:tc>
        <w:tc>
          <w:tcPr>
            <w:tcW w:w="1187" w:type="dxa"/>
          </w:tcPr>
          <w:p>
            <w:pPr>
              <w:pStyle w:val="19"/>
              <w:spacing w:line="236" w:lineRule="exact"/>
              <w:ind w:left="35"/>
              <w:jc w:val="left"/>
              <w:rPr>
                <w:color w:val="0000FF"/>
                <w:sz w:val="21"/>
              </w:rPr>
            </w:pPr>
            <w:r>
              <w:rPr>
                <w:color w:val="0000FF"/>
                <w:sz w:val="21"/>
              </w:rPr>
              <w:t>村庄、地下</w:t>
            </w:r>
          </w:p>
          <w:p>
            <w:pPr>
              <w:pStyle w:val="19"/>
              <w:spacing w:line="223" w:lineRule="exact"/>
              <w:ind w:left="35"/>
              <w:jc w:val="left"/>
              <w:rPr>
                <w:color w:val="0000FF"/>
                <w:sz w:val="21"/>
              </w:rPr>
            </w:pPr>
            <w:r>
              <w:rPr>
                <w:color w:val="0000FF"/>
                <w:sz w:val="21"/>
              </w:rPr>
              <w:t>水、大气</w:t>
            </w:r>
          </w:p>
        </w:tc>
        <w:tc>
          <w:tcPr>
            <w:tcW w:w="1027" w:type="dxa"/>
          </w:tcPr>
          <w:p>
            <w:pPr>
              <w:pStyle w:val="19"/>
              <w:spacing w:before="115"/>
              <w:ind w:left="37" w:right="27"/>
              <w:rPr>
                <w:rFonts w:ascii="Times New Roman"/>
                <w:color w:val="0000FF"/>
                <w:sz w:val="21"/>
              </w:rPr>
            </w:pPr>
            <w:r>
              <w:rPr>
                <w:rFonts w:ascii="Times New Roman"/>
                <w:color w:val="0000FF"/>
                <w:sz w:val="21"/>
              </w:rPr>
              <w:t>500</w:t>
            </w:r>
          </w:p>
        </w:tc>
        <w:tc>
          <w:tcPr>
            <w:tcW w:w="1059" w:type="dxa"/>
          </w:tcPr>
          <w:p>
            <w:pPr>
              <w:pStyle w:val="19"/>
              <w:spacing w:before="101"/>
              <w:ind w:left="8"/>
              <w:rPr>
                <w:color w:val="0000FF"/>
                <w:sz w:val="21"/>
              </w:rPr>
            </w:pPr>
            <w:r>
              <w:rPr>
                <w:color w:val="0000FF"/>
                <w:w w:val="99"/>
                <w:sz w:val="21"/>
              </w:rPr>
              <w:t>—</w:t>
            </w:r>
          </w:p>
        </w:tc>
        <w:tc>
          <w:tcPr>
            <w:tcW w:w="818" w:type="dxa"/>
          </w:tcPr>
          <w:p>
            <w:pPr>
              <w:pStyle w:val="19"/>
              <w:spacing w:before="101"/>
              <w:ind w:left="5"/>
              <w:rPr>
                <w:color w:val="0000FF"/>
                <w:sz w:val="21"/>
              </w:rPr>
            </w:pPr>
            <w:r>
              <w:rPr>
                <w:color w:val="0000FF"/>
                <w:w w:val="99"/>
                <w:sz w:val="21"/>
              </w:rPr>
              <w:t>—</w:t>
            </w:r>
          </w:p>
        </w:tc>
        <w:tc>
          <w:tcPr>
            <w:tcW w:w="2289" w:type="dxa"/>
          </w:tcPr>
          <w:p>
            <w:pPr>
              <w:pStyle w:val="19"/>
              <w:spacing w:before="101"/>
              <w:ind w:left="28" w:right="19"/>
              <w:rPr>
                <w:color w:val="0000FF"/>
                <w:sz w:val="21"/>
              </w:rPr>
            </w:pPr>
            <w:r>
              <w:rPr>
                <w:color w:val="0000FF"/>
                <w:sz w:val="21"/>
              </w:rPr>
              <w:t>不受风险事故影响</w:t>
            </w:r>
          </w:p>
        </w:tc>
      </w:tr>
    </w:tbl>
    <w:p>
      <w:pPr>
        <w:pStyle w:val="7"/>
        <w:spacing w:before="1"/>
        <w:ind w:left="0"/>
        <w:rPr>
          <w:b/>
          <w:sz w:val="19"/>
        </w:rPr>
      </w:pPr>
    </w:p>
    <w:p>
      <w:pPr>
        <w:pStyle w:val="18"/>
        <w:numPr>
          <w:ilvl w:val="3"/>
          <w:numId w:val="58"/>
        </w:numPr>
        <w:tabs>
          <w:tab w:val="left" w:pos="1320"/>
        </w:tabs>
        <w:spacing w:before="1" w:after="0" w:line="240" w:lineRule="auto"/>
        <w:ind w:left="1320" w:right="0" w:hanging="780"/>
        <w:jc w:val="both"/>
        <w:rPr>
          <w:sz w:val="24"/>
        </w:rPr>
      </w:pPr>
      <w:bookmarkStart w:id="332" w:name="5.2.7.5 环境风险潜势初判"/>
      <w:bookmarkEnd w:id="332"/>
      <w:bookmarkStart w:id="333" w:name="5.2.7.5 环境风险潜势初判"/>
      <w:bookmarkEnd w:id="333"/>
      <w:r>
        <w:rPr>
          <w:sz w:val="24"/>
        </w:rPr>
        <w:t>环境风险潜势初判</w:t>
      </w:r>
    </w:p>
    <w:p>
      <w:pPr>
        <w:pStyle w:val="7"/>
        <w:spacing w:before="167"/>
      </w:pPr>
      <w:r>
        <w:t>（</w:t>
      </w:r>
      <w:r>
        <w:rPr>
          <w:rFonts w:ascii="Calibri" w:eastAsia="Calibri"/>
        </w:rPr>
        <w:t>1</w:t>
      </w:r>
      <w:r>
        <w:t>）环境风险潜势划分</w:t>
      </w:r>
    </w:p>
    <w:p>
      <w:pPr>
        <w:pStyle w:val="7"/>
        <w:spacing w:before="161" w:line="364" w:lineRule="auto"/>
        <w:ind w:right="575" w:firstLine="480"/>
        <w:jc w:val="both"/>
      </w:pPr>
      <w:r>
        <w:rPr>
          <w:spacing w:val="-8"/>
        </w:rPr>
        <w:t>分析建设项目生产、使用、储存过程中涉及的有毒有害、易燃易爆物质，依</w:t>
      </w:r>
      <w:r>
        <w:rPr>
          <w:spacing w:val="-15"/>
        </w:rPr>
        <w:t>据附录</w:t>
      </w:r>
      <w:r>
        <w:rPr>
          <w:rFonts w:ascii="Times New Roman" w:eastAsia="Times New Roman"/>
        </w:rPr>
        <w:t>B</w:t>
      </w:r>
      <w:r>
        <w:rPr>
          <w:spacing w:val="-4"/>
        </w:rPr>
        <w:t>确定危险物质临界量。定量分析危险物质数量与临界量的比值</w:t>
      </w:r>
      <w:r>
        <w:rPr>
          <w:spacing w:val="-9"/>
        </w:rPr>
        <w:t>（</w:t>
      </w:r>
      <w:r>
        <w:rPr>
          <w:rFonts w:ascii="Times New Roman" w:eastAsia="Times New Roman"/>
          <w:spacing w:val="-9"/>
        </w:rPr>
        <w:t>Q</w:t>
      </w:r>
      <w:r>
        <w:rPr>
          <w:spacing w:val="-9"/>
        </w:rPr>
        <w:t>）</w:t>
      </w:r>
      <w:r>
        <w:rPr>
          <w:spacing w:val="-13"/>
        </w:rPr>
        <w:t>和</w:t>
      </w:r>
      <w:r>
        <w:t>所属行业及生产工艺特点（</w:t>
      </w:r>
      <w:r>
        <w:rPr>
          <w:rFonts w:ascii="Times New Roman" w:eastAsia="Times New Roman"/>
        </w:rPr>
        <w:t>M</w:t>
      </w:r>
      <w:r>
        <w:t>），</w:t>
      </w:r>
      <w:r>
        <w:rPr>
          <w:spacing w:val="-15"/>
        </w:rPr>
        <w:t>按附录</w:t>
      </w:r>
      <w:r>
        <w:rPr>
          <w:rFonts w:ascii="Times New Roman" w:eastAsia="Times New Roman"/>
        </w:rPr>
        <w:t>C</w:t>
      </w:r>
      <w:r>
        <w:t>对危险物质及工艺系统危险性</w:t>
      </w:r>
      <w:r>
        <w:rPr>
          <w:spacing w:val="-6"/>
        </w:rPr>
        <w:t>（</w:t>
      </w:r>
      <w:r>
        <w:rPr>
          <w:rFonts w:ascii="Times New Roman" w:eastAsia="Times New Roman"/>
          <w:spacing w:val="-6"/>
        </w:rPr>
        <w:t>P</w:t>
      </w:r>
      <w:r>
        <w:rPr>
          <w:spacing w:val="-6"/>
        </w:rPr>
        <w:t>）</w:t>
      </w:r>
      <w:r>
        <w:t>等级进行判断。</w:t>
      </w:r>
    </w:p>
    <w:p>
      <w:pPr>
        <w:pStyle w:val="7"/>
        <w:spacing w:before="2"/>
        <w:ind w:left="1020"/>
        <w:jc w:val="both"/>
        <w:rPr>
          <w:rFonts w:ascii="Times New Roman" w:eastAsia="Times New Roman"/>
        </w:rPr>
      </w:pPr>
      <w:r>
        <w:t>根据危险物质数量与临界量比值（</w:t>
      </w:r>
      <w:r>
        <w:rPr>
          <w:rFonts w:ascii="Times New Roman" w:eastAsia="Times New Roman"/>
        </w:rPr>
        <w:t>Q</w:t>
      </w:r>
      <w:r>
        <w:t>）和行业及生产工艺（</w:t>
      </w:r>
      <w:r>
        <w:rPr>
          <w:rFonts w:ascii="Times New Roman" w:eastAsia="Times New Roman"/>
        </w:rPr>
        <w:t>M</w:t>
      </w:r>
      <w:r>
        <w:t>），按照表</w:t>
      </w:r>
      <w:r>
        <w:rPr>
          <w:rFonts w:ascii="Times New Roman" w:eastAsia="Times New Roman"/>
        </w:rPr>
        <w:t>5.2-12</w:t>
      </w:r>
    </w:p>
    <w:p>
      <w:pPr>
        <w:tabs>
          <w:tab w:val="left" w:pos="3280"/>
        </w:tabs>
        <w:spacing w:before="161" w:line="424" w:lineRule="auto"/>
        <w:ind w:left="1639" w:right="1136" w:hanging="1100"/>
        <w:jc w:val="both"/>
        <w:rPr>
          <w:b/>
          <w:sz w:val="24"/>
        </w:rPr>
      </w:pPr>
      <w:r>
        <w:pict>
          <v:line id="_x0000_s1167" o:spid="_x0000_s1167" o:spt="20" style="position:absolute;left:0pt;margin-left:86.5pt;margin-top:51.15pt;height:33.75pt;width:141.3pt;mso-position-horizontal-relative:page;z-index:-270983168;mso-width-relative:page;mso-height-relative:page;" stroked="t" coordsize="21600,21600">
            <v:path arrowok="t"/>
            <v:fill focussize="0,0"/>
            <v:stroke weight="0.5pt" color="#000000"/>
            <v:imagedata o:title=""/>
            <o:lock v:ext="edit"/>
          </v:line>
        </w:pict>
      </w:r>
      <w:r>
        <w:pict>
          <v:shape id="_x0000_s1168" o:spid="_x0000_s1168" o:spt="202" type="#_x0000_t202" style="position:absolute;left:0pt;margin-left:86.1pt;margin-top:50.75pt;height:100.65pt;width:424.1pt;mso-position-horizontal-relative:page;z-index:251756544;mso-width-relative:page;mso-height-relative:page;" filled="f" stroked="f" coordsize="21600,21600">
            <v:path/>
            <v:fill on="f" focussize="0,0"/>
            <v:stroke on="f"/>
            <v:imagedata o:title=""/>
            <o:lock v:ext="edit" aspectratio="f"/>
            <v:textbox inset="0mm,0mm,0mm,0mm">
              <w:txbxContent>
                <w:tbl>
                  <w:tblPr>
                    <w:tblStyle w:val="1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1"/>
                    <w:gridCol w:w="1375"/>
                    <w:gridCol w:w="1395"/>
                    <w:gridCol w:w="1440"/>
                    <w:gridCol w:w="1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31" w:type="dxa"/>
                        <w:vMerge w:val="restart"/>
                      </w:tcPr>
                      <w:p>
                        <w:pPr>
                          <w:pStyle w:val="19"/>
                          <w:spacing w:before="3" w:line="310" w:lineRule="atLeast"/>
                          <w:ind w:left="108" w:right="199" w:firstLine="1252"/>
                          <w:jc w:val="left"/>
                          <w:rPr>
                            <w:sz w:val="21"/>
                          </w:rPr>
                        </w:pPr>
                        <w:r>
                          <w:rPr>
                            <w:sz w:val="21"/>
                          </w:rPr>
                          <w:t>危险物质数量与临界量比值（</w:t>
                        </w:r>
                        <w:r>
                          <w:rPr>
                            <w:rFonts w:ascii="Times New Roman" w:eastAsia="Times New Roman"/>
                            <w:sz w:val="21"/>
                          </w:rPr>
                          <w:t>Q</w:t>
                        </w:r>
                        <w:r>
                          <w:rPr>
                            <w:sz w:val="21"/>
                          </w:rPr>
                          <w:t>）</w:t>
                        </w:r>
                      </w:p>
                    </w:tc>
                    <w:tc>
                      <w:tcPr>
                        <w:tcW w:w="5620" w:type="dxa"/>
                        <w:gridSpan w:val="4"/>
                      </w:tcPr>
                      <w:p>
                        <w:pPr>
                          <w:pStyle w:val="19"/>
                          <w:spacing w:before="29"/>
                          <w:ind w:left="1770"/>
                          <w:jc w:val="left"/>
                          <w:rPr>
                            <w:sz w:val="21"/>
                          </w:rPr>
                        </w:pPr>
                        <w:r>
                          <w:rPr>
                            <w:sz w:val="21"/>
                          </w:rPr>
                          <w:t>行业及生产工艺（</w:t>
                        </w:r>
                        <w:r>
                          <w:rPr>
                            <w:rFonts w:ascii="Times New Roman" w:eastAsia="Times New Roman"/>
                            <w:sz w:val="21"/>
                          </w:rPr>
                          <w:t>M</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31" w:type="dxa"/>
                        <w:vMerge w:val="continue"/>
                        <w:tcBorders>
                          <w:top w:val="nil"/>
                        </w:tcBorders>
                      </w:tcPr>
                      <w:p>
                        <w:pPr>
                          <w:rPr>
                            <w:sz w:val="2"/>
                            <w:szCs w:val="2"/>
                          </w:rPr>
                        </w:pPr>
                      </w:p>
                    </w:tc>
                    <w:tc>
                      <w:tcPr>
                        <w:tcW w:w="1375" w:type="dxa"/>
                      </w:tcPr>
                      <w:p>
                        <w:pPr>
                          <w:pStyle w:val="19"/>
                          <w:spacing w:before="44"/>
                          <w:ind w:left="520" w:right="513"/>
                          <w:rPr>
                            <w:rFonts w:ascii="Times New Roman"/>
                            <w:sz w:val="21"/>
                          </w:rPr>
                        </w:pPr>
                        <w:r>
                          <w:rPr>
                            <w:rFonts w:ascii="Times New Roman"/>
                            <w:sz w:val="21"/>
                          </w:rPr>
                          <w:t>M1</w:t>
                        </w:r>
                      </w:p>
                    </w:tc>
                    <w:tc>
                      <w:tcPr>
                        <w:tcW w:w="1395" w:type="dxa"/>
                      </w:tcPr>
                      <w:p>
                        <w:pPr>
                          <w:pStyle w:val="19"/>
                          <w:spacing w:before="44"/>
                          <w:ind w:left="551"/>
                          <w:jc w:val="left"/>
                          <w:rPr>
                            <w:rFonts w:ascii="Times New Roman"/>
                            <w:sz w:val="21"/>
                          </w:rPr>
                        </w:pPr>
                        <w:r>
                          <w:rPr>
                            <w:rFonts w:ascii="Times New Roman"/>
                            <w:sz w:val="21"/>
                          </w:rPr>
                          <w:t>M2</w:t>
                        </w:r>
                      </w:p>
                    </w:tc>
                    <w:tc>
                      <w:tcPr>
                        <w:tcW w:w="1440" w:type="dxa"/>
                      </w:tcPr>
                      <w:p>
                        <w:pPr>
                          <w:pStyle w:val="19"/>
                          <w:spacing w:before="44"/>
                          <w:ind w:left="572"/>
                          <w:jc w:val="left"/>
                          <w:rPr>
                            <w:rFonts w:ascii="Times New Roman"/>
                            <w:sz w:val="21"/>
                          </w:rPr>
                        </w:pPr>
                        <w:r>
                          <w:rPr>
                            <w:rFonts w:ascii="Times New Roman"/>
                            <w:sz w:val="21"/>
                          </w:rPr>
                          <w:t>M3</w:t>
                        </w:r>
                      </w:p>
                    </w:tc>
                    <w:tc>
                      <w:tcPr>
                        <w:tcW w:w="1410" w:type="dxa"/>
                      </w:tcPr>
                      <w:p>
                        <w:pPr>
                          <w:pStyle w:val="19"/>
                          <w:spacing w:before="44"/>
                          <w:ind w:left="536" w:right="531"/>
                          <w:rPr>
                            <w:rFonts w:ascii="Times New Roman"/>
                            <w:sz w:val="21"/>
                          </w:rPr>
                        </w:pPr>
                        <w:r>
                          <w:rPr>
                            <w:rFonts w:ascii="Times New Roman"/>
                            <w:sz w:val="21"/>
                          </w:rPr>
                          <w:t>M4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831" w:type="dxa"/>
                      </w:tcPr>
                      <w:p>
                        <w:pPr>
                          <w:pStyle w:val="19"/>
                          <w:spacing w:before="31"/>
                          <w:ind w:left="846" w:right="837"/>
                          <w:rPr>
                            <w:rFonts w:ascii="Times New Roman" w:hAnsi="Times New Roman"/>
                            <w:sz w:val="21"/>
                          </w:rPr>
                        </w:pPr>
                        <w:r>
                          <w:rPr>
                            <w:rFonts w:ascii="Times New Roman" w:hAnsi="Times New Roman"/>
                            <w:sz w:val="21"/>
                          </w:rPr>
                          <w:t>Q</w:t>
                        </w:r>
                        <w:r>
                          <w:rPr>
                            <w:sz w:val="21"/>
                          </w:rPr>
                          <w:t>≥</w:t>
                        </w:r>
                        <w:r>
                          <w:rPr>
                            <w:rFonts w:ascii="Times New Roman" w:hAnsi="Times New Roman"/>
                            <w:sz w:val="21"/>
                          </w:rPr>
                          <w:t>100</w:t>
                        </w:r>
                      </w:p>
                    </w:tc>
                    <w:tc>
                      <w:tcPr>
                        <w:tcW w:w="1375" w:type="dxa"/>
                      </w:tcPr>
                      <w:p>
                        <w:pPr>
                          <w:pStyle w:val="19"/>
                          <w:spacing w:before="45"/>
                          <w:ind w:left="520" w:right="510"/>
                          <w:rPr>
                            <w:rFonts w:ascii="Times New Roman"/>
                            <w:sz w:val="21"/>
                          </w:rPr>
                        </w:pPr>
                        <w:r>
                          <w:rPr>
                            <w:rFonts w:ascii="Times New Roman"/>
                            <w:sz w:val="21"/>
                          </w:rPr>
                          <w:t>P1</w:t>
                        </w:r>
                      </w:p>
                    </w:tc>
                    <w:tc>
                      <w:tcPr>
                        <w:tcW w:w="1395" w:type="dxa"/>
                      </w:tcPr>
                      <w:p>
                        <w:pPr>
                          <w:pStyle w:val="19"/>
                          <w:spacing w:before="45"/>
                          <w:ind w:left="587"/>
                          <w:jc w:val="left"/>
                          <w:rPr>
                            <w:rFonts w:ascii="Times New Roman"/>
                            <w:sz w:val="21"/>
                          </w:rPr>
                        </w:pPr>
                        <w:r>
                          <w:rPr>
                            <w:rFonts w:ascii="Times New Roman"/>
                            <w:sz w:val="21"/>
                          </w:rPr>
                          <w:t>P1</w:t>
                        </w:r>
                      </w:p>
                    </w:tc>
                    <w:tc>
                      <w:tcPr>
                        <w:tcW w:w="1440" w:type="dxa"/>
                      </w:tcPr>
                      <w:p>
                        <w:pPr>
                          <w:pStyle w:val="19"/>
                          <w:spacing w:before="45"/>
                          <w:ind w:left="608"/>
                          <w:jc w:val="left"/>
                          <w:rPr>
                            <w:rFonts w:ascii="Times New Roman"/>
                            <w:sz w:val="21"/>
                          </w:rPr>
                        </w:pPr>
                        <w:r>
                          <w:rPr>
                            <w:rFonts w:ascii="Times New Roman"/>
                            <w:sz w:val="21"/>
                          </w:rPr>
                          <w:t>P2</w:t>
                        </w:r>
                      </w:p>
                    </w:tc>
                    <w:tc>
                      <w:tcPr>
                        <w:tcW w:w="1410" w:type="dxa"/>
                      </w:tcPr>
                      <w:p>
                        <w:pPr>
                          <w:pStyle w:val="19"/>
                          <w:spacing w:before="45"/>
                          <w:ind w:left="536" w:right="528"/>
                          <w:rPr>
                            <w:rFonts w:ascii="Times New Roman"/>
                            <w:sz w:val="21"/>
                          </w:rPr>
                        </w:pPr>
                        <w:r>
                          <w:rPr>
                            <w:rFonts w:ascii="Times New Roman"/>
                            <w:sz w:val="21"/>
                          </w:rPr>
                          <w:t>P3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831" w:type="dxa"/>
                      </w:tcPr>
                      <w:p>
                        <w:pPr>
                          <w:pStyle w:val="19"/>
                          <w:spacing w:before="29"/>
                          <w:ind w:left="846" w:right="837"/>
                          <w:rPr>
                            <w:rFonts w:ascii="Times New Roman" w:hAnsi="Times New Roman" w:eastAsia="Times New Roman"/>
                            <w:sz w:val="21"/>
                          </w:rPr>
                        </w:pPr>
                        <w:r>
                          <w:rPr>
                            <w:rFonts w:ascii="Times New Roman" w:hAnsi="Times New Roman" w:eastAsia="Times New Roman"/>
                            <w:sz w:val="21"/>
                          </w:rPr>
                          <w:t>10</w:t>
                        </w:r>
                        <w:r>
                          <w:rPr>
                            <w:sz w:val="21"/>
                          </w:rPr>
                          <w:t>≤</w:t>
                        </w:r>
                        <w:r>
                          <w:rPr>
                            <w:rFonts w:ascii="Times New Roman" w:hAnsi="Times New Roman" w:eastAsia="Times New Roman"/>
                            <w:sz w:val="21"/>
                          </w:rPr>
                          <w:t>Q</w:t>
                        </w:r>
                        <w:r>
                          <w:rPr>
                            <w:sz w:val="21"/>
                          </w:rPr>
                          <w:t>＜</w:t>
                        </w:r>
                        <w:r>
                          <w:rPr>
                            <w:rFonts w:ascii="Times New Roman" w:hAnsi="Times New Roman" w:eastAsia="Times New Roman"/>
                            <w:sz w:val="21"/>
                          </w:rPr>
                          <w:t>100</w:t>
                        </w:r>
                      </w:p>
                    </w:tc>
                    <w:tc>
                      <w:tcPr>
                        <w:tcW w:w="1375" w:type="dxa"/>
                      </w:tcPr>
                      <w:p>
                        <w:pPr>
                          <w:pStyle w:val="19"/>
                          <w:spacing w:before="43"/>
                          <w:ind w:left="520" w:right="510"/>
                          <w:rPr>
                            <w:rFonts w:ascii="Times New Roman"/>
                            <w:sz w:val="21"/>
                          </w:rPr>
                        </w:pPr>
                        <w:r>
                          <w:rPr>
                            <w:rFonts w:ascii="Times New Roman"/>
                            <w:sz w:val="21"/>
                          </w:rPr>
                          <w:t>P1</w:t>
                        </w:r>
                      </w:p>
                    </w:tc>
                    <w:tc>
                      <w:tcPr>
                        <w:tcW w:w="1395" w:type="dxa"/>
                      </w:tcPr>
                      <w:p>
                        <w:pPr>
                          <w:pStyle w:val="19"/>
                          <w:spacing w:before="43"/>
                          <w:ind w:left="587"/>
                          <w:jc w:val="left"/>
                          <w:rPr>
                            <w:rFonts w:ascii="Times New Roman"/>
                            <w:sz w:val="21"/>
                          </w:rPr>
                        </w:pPr>
                        <w:r>
                          <w:rPr>
                            <w:rFonts w:ascii="Times New Roman"/>
                            <w:sz w:val="21"/>
                          </w:rPr>
                          <w:t>P2</w:t>
                        </w:r>
                      </w:p>
                    </w:tc>
                    <w:tc>
                      <w:tcPr>
                        <w:tcW w:w="1440" w:type="dxa"/>
                      </w:tcPr>
                      <w:p>
                        <w:pPr>
                          <w:pStyle w:val="19"/>
                          <w:spacing w:before="43"/>
                          <w:ind w:left="608"/>
                          <w:jc w:val="left"/>
                          <w:rPr>
                            <w:rFonts w:ascii="Times New Roman"/>
                            <w:sz w:val="21"/>
                          </w:rPr>
                        </w:pPr>
                        <w:r>
                          <w:rPr>
                            <w:rFonts w:ascii="Times New Roman"/>
                            <w:sz w:val="21"/>
                          </w:rPr>
                          <w:t>P3</w:t>
                        </w:r>
                      </w:p>
                    </w:tc>
                    <w:tc>
                      <w:tcPr>
                        <w:tcW w:w="1410" w:type="dxa"/>
                      </w:tcPr>
                      <w:p>
                        <w:pPr>
                          <w:pStyle w:val="19"/>
                          <w:spacing w:before="43"/>
                          <w:ind w:left="536" w:right="528"/>
                          <w:rPr>
                            <w:rFonts w:ascii="Times New Roman"/>
                            <w:sz w:val="21"/>
                          </w:rPr>
                        </w:pPr>
                        <w:r>
                          <w:rPr>
                            <w:rFonts w:ascii="Times New Roman"/>
                            <w:sz w:val="21"/>
                          </w:rPr>
                          <w:t>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831" w:type="dxa"/>
                      </w:tcPr>
                      <w:p>
                        <w:pPr>
                          <w:pStyle w:val="19"/>
                          <w:spacing w:before="30"/>
                          <w:ind w:left="846" w:right="837"/>
                          <w:rPr>
                            <w:rFonts w:ascii="Times New Roman" w:hAnsi="Times New Roman" w:eastAsia="Times New Roman"/>
                            <w:sz w:val="21"/>
                          </w:rPr>
                        </w:pPr>
                        <w:r>
                          <w:rPr>
                            <w:rFonts w:ascii="Times New Roman" w:hAnsi="Times New Roman" w:eastAsia="Times New Roman"/>
                            <w:sz w:val="21"/>
                          </w:rPr>
                          <w:t>1</w:t>
                        </w:r>
                        <w:r>
                          <w:rPr>
                            <w:sz w:val="21"/>
                          </w:rPr>
                          <w:t>≤</w:t>
                        </w:r>
                        <w:r>
                          <w:rPr>
                            <w:rFonts w:ascii="Times New Roman" w:hAnsi="Times New Roman" w:eastAsia="Times New Roman"/>
                            <w:sz w:val="21"/>
                          </w:rPr>
                          <w:t>Q</w:t>
                        </w:r>
                        <w:r>
                          <w:rPr>
                            <w:sz w:val="21"/>
                          </w:rPr>
                          <w:t>＜</w:t>
                        </w:r>
                        <w:r>
                          <w:rPr>
                            <w:rFonts w:ascii="Times New Roman" w:hAnsi="Times New Roman" w:eastAsia="Times New Roman"/>
                            <w:sz w:val="21"/>
                          </w:rPr>
                          <w:t>10</w:t>
                        </w:r>
                      </w:p>
                    </w:tc>
                    <w:tc>
                      <w:tcPr>
                        <w:tcW w:w="1375" w:type="dxa"/>
                      </w:tcPr>
                      <w:p>
                        <w:pPr>
                          <w:pStyle w:val="19"/>
                          <w:spacing w:before="44"/>
                          <w:ind w:left="520" w:right="510"/>
                          <w:rPr>
                            <w:rFonts w:ascii="Times New Roman"/>
                            <w:sz w:val="21"/>
                          </w:rPr>
                        </w:pPr>
                        <w:r>
                          <w:rPr>
                            <w:rFonts w:ascii="Times New Roman"/>
                            <w:sz w:val="21"/>
                          </w:rPr>
                          <w:t>P2</w:t>
                        </w:r>
                      </w:p>
                    </w:tc>
                    <w:tc>
                      <w:tcPr>
                        <w:tcW w:w="1395" w:type="dxa"/>
                      </w:tcPr>
                      <w:p>
                        <w:pPr>
                          <w:pStyle w:val="19"/>
                          <w:spacing w:before="44"/>
                          <w:ind w:left="587"/>
                          <w:jc w:val="left"/>
                          <w:rPr>
                            <w:rFonts w:ascii="Times New Roman"/>
                            <w:sz w:val="21"/>
                          </w:rPr>
                        </w:pPr>
                        <w:r>
                          <w:rPr>
                            <w:rFonts w:ascii="Times New Roman"/>
                            <w:sz w:val="21"/>
                          </w:rPr>
                          <w:t>P3</w:t>
                        </w:r>
                      </w:p>
                    </w:tc>
                    <w:tc>
                      <w:tcPr>
                        <w:tcW w:w="1440" w:type="dxa"/>
                      </w:tcPr>
                      <w:p>
                        <w:pPr>
                          <w:pStyle w:val="19"/>
                          <w:spacing w:before="44"/>
                          <w:ind w:left="608"/>
                          <w:jc w:val="left"/>
                          <w:rPr>
                            <w:rFonts w:ascii="Times New Roman"/>
                            <w:sz w:val="21"/>
                          </w:rPr>
                        </w:pPr>
                        <w:r>
                          <w:rPr>
                            <w:rFonts w:ascii="Times New Roman"/>
                            <w:sz w:val="21"/>
                          </w:rPr>
                          <w:t>P4</w:t>
                        </w:r>
                      </w:p>
                    </w:tc>
                    <w:tc>
                      <w:tcPr>
                        <w:tcW w:w="1410" w:type="dxa"/>
                      </w:tcPr>
                      <w:p>
                        <w:pPr>
                          <w:pStyle w:val="19"/>
                          <w:spacing w:before="44"/>
                          <w:ind w:left="536" w:right="528"/>
                          <w:rPr>
                            <w:rFonts w:ascii="Times New Roman"/>
                            <w:sz w:val="21"/>
                          </w:rPr>
                        </w:pPr>
                        <w:r>
                          <w:rPr>
                            <w:rFonts w:ascii="Times New Roman"/>
                            <w:sz w:val="21"/>
                          </w:rPr>
                          <w:t>P4</w:t>
                        </w:r>
                      </w:p>
                    </w:tc>
                  </w:tr>
                </w:tbl>
                <w:p>
                  <w:pPr>
                    <w:pStyle w:val="7"/>
                    <w:ind w:left="0"/>
                  </w:pPr>
                </w:p>
              </w:txbxContent>
            </v:textbox>
          </v:shape>
        </w:pict>
      </w:r>
      <w:r>
        <w:rPr>
          <w:sz w:val="24"/>
        </w:rPr>
        <w:t>确定危险物质及工艺系统危险性等级（</w:t>
      </w:r>
      <w:r>
        <w:rPr>
          <w:rFonts w:ascii="Times New Roman" w:eastAsia="Times New Roman"/>
          <w:sz w:val="24"/>
        </w:rPr>
        <w:t>P</w:t>
      </w:r>
      <w:r>
        <w:rPr>
          <w:sz w:val="24"/>
        </w:rPr>
        <w:t>），分别</w:t>
      </w:r>
      <w:r>
        <w:rPr>
          <w:rFonts w:ascii="Times New Roman" w:eastAsia="Times New Roman"/>
          <w:sz w:val="24"/>
        </w:rPr>
        <w:t>P1</w:t>
      </w:r>
      <w:r>
        <w:rPr>
          <w:sz w:val="24"/>
        </w:rPr>
        <w:t>、</w:t>
      </w:r>
      <w:r>
        <w:rPr>
          <w:rFonts w:ascii="Times New Roman" w:eastAsia="Times New Roman"/>
          <w:sz w:val="24"/>
        </w:rPr>
        <w:t>P2</w:t>
      </w:r>
      <w:r>
        <w:rPr>
          <w:sz w:val="24"/>
        </w:rPr>
        <w:t>、</w:t>
      </w:r>
      <w:r>
        <w:rPr>
          <w:rFonts w:ascii="Times New Roman" w:eastAsia="Times New Roman"/>
          <w:sz w:val="24"/>
        </w:rPr>
        <w:t>P3</w:t>
      </w:r>
      <w:r>
        <w:rPr>
          <w:sz w:val="24"/>
        </w:rPr>
        <w:t>、</w:t>
      </w:r>
      <w:r>
        <w:rPr>
          <w:rFonts w:ascii="Times New Roman" w:eastAsia="Times New Roman"/>
          <w:sz w:val="24"/>
        </w:rPr>
        <w:t>P4</w:t>
      </w:r>
      <w:r>
        <w:rPr>
          <w:sz w:val="24"/>
        </w:rPr>
        <w:t>表示</w:t>
      </w:r>
      <w:r>
        <w:rPr>
          <w:spacing w:val="-11"/>
          <w:sz w:val="24"/>
        </w:rPr>
        <w:t>。</w:t>
      </w:r>
      <w:r>
        <w:rPr>
          <w:b/>
          <w:sz w:val="24"/>
        </w:rPr>
        <w:t>表</w:t>
      </w:r>
      <w:r>
        <w:rPr>
          <w:rFonts w:ascii="Times New Roman" w:eastAsia="Times New Roman"/>
          <w:b/>
          <w:sz w:val="24"/>
        </w:rPr>
        <w:t>5.2-12</w:t>
      </w:r>
      <w:r>
        <w:rPr>
          <w:rFonts w:ascii="Times New Roman" w:eastAsia="Times New Roman"/>
          <w:b/>
          <w:sz w:val="24"/>
        </w:rPr>
        <w:tab/>
      </w:r>
      <w:r>
        <w:rPr>
          <w:b/>
          <w:sz w:val="24"/>
        </w:rPr>
        <w:t>危险物质及工艺系统危险性等级判断（</w:t>
      </w:r>
      <w:r>
        <w:rPr>
          <w:rFonts w:ascii="Times New Roman" w:eastAsia="Times New Roman"/>
          <w:b/>
          <w:sz w:val="24"/>
        </w:rPr>
        <w:t>P</w:t>
      </w:r>
      <w:r>
        <w:rPr>
          <w:b/>
          <w:sz w:val="24"/>
        </w:rPr>
        <w:t>）</w:t>
      </w:r>
    </w:p>
    <w:p>
      <w:pPr>
        <w:pStyle w:val="7"/>
        <w:ind w:left="0"/>
        <w:rPr>
          <w:b/>
          <w:sz w:val="26"/>
        </w:rPr>
      </w:pPr>
    </w:p>
    <w:p>
      <w:pPr>
        <w:pStyle w:val="7"/>
        <w:ind w:left="0"/>
        <w:rPr>
          <w:b/>
          <w:sz w:val="26"/>
        </w:rPr>
      </w:pPr>
    </w:p>
    <w:p>
      <w:pPr>
        <w:pStyle w:val="7"/>
        <w:ind w:left="0"/>
        <w:rPr>
          <w:b/>
          <w:sz w:val="26"/>
        </w:rPr>
      </w:pPr>
    </w:p>
    <w:p>
      <w:pPr>
        <w:pStyle w:val="7"/>
        <w:ind w:left="0"/>
        <w:rPr>
          <w:b/>
          <w:sz w:val="26"/>
        </w:rPr>
      </w:pPr>
    </w:p>
    <w:p>
      <w:pPr>
        <w:pStyle w:val="7"/>
        <w:spacing w:before="5"/>
        <w:ind w:left="0"/>
        <w:rPr>
          <w:b/>
          <w:sz w:val="23"/>
        </w:rPr>
      </w:pPr>
    </w:p>
    <w:p>
      <w:pPr>
        <w:pStyle w:val="7"/>
        <w:spacing w:before="1"/>
        <w:jc w:val="both"/>
      </w:pPr>
    </w:p>
    <w:p>
      <w:pPr>
        <w:pStyle w:val="7"/>
        <w:spacing w:before="1"/>
        <w:jc w:val="both"/>
      </w:pPr>
      <w:r>
        <w:t>①危险物质数量与临界量比值（</w:t>
      </w:r>
      <w:r>
        <w:rPr>
          <w:rFonts w:ascii="Times New Roman" w:hAnsi="Times New Roman" w:eastAsia="Times New Roman"/>
        </w:rPr>
        <w:t>Q</w:t>
      </w:r>
      <w:r>
        <w:t>）</w:t>
      </w:r>
    </w:p>
    <w:p>
      <w:pPr>
        <w:pStyle w:val="7"/>
        <w:spacing w:before="64" w:line="364" w:lineRule="auto"/>
        <w:ind w:right="577"/>
      </w:pPr>
      <w:r>
        <w:t>根据《建设项目环境风险评价技术导则》（</w:t>
      </w:r>
      <w:r>
        <w:rPr>
          <w:rFonts w:ascii="Times New Roman" w:eastAsia="Times New Roman"/>
        </w:rPr>
        <w:t>HJ168-2018</w:t>
      </w:r>
      <w:r>
        <w:t>）附录</w:t>
      </w:r>
      <w:r>
        <w:rPr>
          <w:rFonts w:ascii="Times New Roman" w:eastAsia="Times New Roman"/>
        </w:rPr>
        <w:t>C</w:t>
      </w:r>
      <w:r>
        <w:t>中的计算</w:t>
      </w:r>
      <w:r>
        <w:rPr>
          <w:spacing w:val="-2"/>
        </w:rPr>
        <w:t>公式，计算所涉及的每种危险物质在厂界内的最大存在总量与其在附录</w:t>
      </w:r>
      <w:r>
        <w:rPr>
          <w:rFonts w:ascii="Times New Roman" w:eastAsia="Times New Roman"/>
        </w:rPr>
        <w:t>B</w:t>
      </w:r>
      <w:r>
        <w:t>中对</w:t>
      </w:r>
      <w:r>
        <w:rPr>
          <w:spacing w:val="-8"/>
        </w:rPr>
        <w:t>应临界量的比值</w:t>
      </w:r>
      <w:r>
        <w:rPr>
          <w:rFonts w:ascii="Times New Roman" w:eastAsia="Times New Roman"/>
        </w:rPr>
        <w:t>Q</w:t>
      </w:r>
      <w:r>
        <w:rPr>
          <w:spacing w:val="-11"/>
        </w:rPr>
        <w:t>。在不同场区的同一种物质，按其在厂界内的最大存在总量计</w:t>
      </w:r>
      <w:r>
        <w:t>算。</w:t>
      </w:r>
    </w:p>
    <w:p>
      <w:pPr>
        <w:spacing w:before="131" w:line="349" w:lineRule="exact"/>
        <w:ind w:left="0" w:right="113" w:firstLine="0"/>
        <w:jc w:val="center"/>
        <w:rPr>
          <w:rFonts w:ascii="Times New Roman" w:hAnsi="Times New Roman"/>
          <w:sz w:val="14"/>
        </w:rPr>
      </w:pPr>
      <w:r>
        <w:pict>
          <v:line id="_x0000_s1169" o:spid="_x0000_s1169" o:spt="20" style="position:absolute;left:0pt;margin-left:265.25pt;margin-top:22.2pt;height:0pt;width:12.8pt;mso-position-horizontal-relative:page;z-index:251757568;mso-width-relative:page;mso-height-relative:page;" stroked="t" coordsize="21600,21600">
            <v:path arrowok="t"/>
            <v:fill focussize="0,0"/>
            <v:stroke weight="0.5pt" color="#000000"/>
            <v:imagedata o:title=""/>
            <o:lock v:ext="edit"/>
          </v:line>
        </w:pict>
      </w:r>
      <w:r>
        <w:pict>
          <v:line id="_x0000_s1170" o:spid="_x0000_s1170" o:spt="20" style="position:absolute;left:0pt;margin-left:289.55pt;margin-top:22.2pt;height:0pt;width:14.15pt;mso-position-horizontal-relative:page;z-index:251758592;mso-width-relative:page;mso-height-relative:page;" stroked="t" coordsize="21600,21600">
            <v:path arrowok="t"/>
            <v:fill focussize="0,0"/>
            <v:stroke weight="0.5pt" color="#000000"/>
            <v:imagedata o:title=""/>
            <o:lock v:ext="edit"/>
          </v:line>
        </w:pict>
      </w:r>
      <w:r>
        <w:pict>
          <v:line id="_x0000_s1171" o:spid="_x0000_s1171" o:spt="20" style="position:absolute;left:0pt;margin-left:336pt;margin-top:22.2pt;height:0pt;width:14.5pt;mso-position-horizontal-relative:page;z-index:251759616;mso-width-relative:page;mso-height-relative:page;" stroked="t" coordsize="21600,21600">
            <v:path arrowok="t"/>
            <v:fill focussize="0,0"/>
            <v:stroke weight="0.5pt" color="#000000"/>
            <v:imagedata o:title=""/>
            <o:lock v:ext="edit"/>
          </v:line>
        </w:pict>
      </w:r>
      <w:r>
        <w:rPr>
          <w:rFonts w:ascii="Times New Roman" w:hAnsi="Times New Roman"/>
          <w:i/>
          <w:sz w:val="24"/>
        </w:rPr>
        <w:t>Q</w:t>
      </w:r>
      <w:r>
        <w:rPr>
          <w:rFonts w:ascii="Symbol" w:hAnsi="Symbol"/>
          <w:sz w:val="24"/>
        </w:rPr>
        <w:t></w:t>
      </w:r>
      <w:r>
        <w:rPr>
          <w:rFonts w:ascii="Times New Roman" w:hAnsi="Times New Roman"/>
          <w:i/>
          <w:spacing w:val="-6"/>
          <w:position w:val="15"/>
          <w:sz w:val="24"/>
        </w:rPr>
        <w:t>q</w:t>
      </w:r>
      <w:r>
        <w:rPr>
          <w:rFonts w:ascii="Times New Roman" w:hAnsi="Times New Roman"/>
          <w:spacing w:val="-6"/>
          <w:position w:val="9"/>
          <w:sz w:val="14"/>
        </w:rPr>
        <w:t>1</w:t>
      </w:r>
      <w:r>
        <w:rPr>
          <w:rFonts w:ascii="Symbol" w:hAnsi="Symbol"/>
          <w:sz w:val="24"/>
        </w:rPr>
        <w:t></w:t>
      </w:r>
      <w:r>
        <w:rPr>
          <w:rFonts w:ascii="Times New Roman" w:hAnsi="Times New Roman"/>
          <w:i/>
          <w:position w:val="15"/>
          <w:sz w:val="24"/>
        </w:rPr>
        <w:t>q</w:t>
      </w:r>
      <w:r>
        <w:rPr>
          <w:rFonts w:ascii="Times New Roman" w:hAnsi="Times New Roman"/>
          <w:position w:val="9"/>
          <w:sz w:val="14"/>
        </w:rPr>
        <w:t>2</w:t>
      </w:r>
      <w:r>
        <w:rPr>
          <w:rFonts w:ascii="Symbol" w:hAnsi="Symbol"/>
          <w:spacing w:val="15"/>
          <w:sz w:val="24"/>
        </w:rPr>
        <w:t></w:t>
      </w:r>
      <w:r>
        <w:rPr>
          <w:rFonts w:ascii="MT Extra" w:hAnsi="MT Extra"/>
          <w:spacing w:val="15"/>
          <w:sz w:val="24"/>
        </w:rPr>
        <w:t></w:t>
      </w:r>
      <w:r>
        <w:rPr>
          <w:rFonts w:ascii="Symbol" w:hAnsi="Symbol"/>
          <w:spacing w:val="15"/>
          <w:sz w:val="24"/>
        </w:rPr>
        <w:t></w:t>
      </w:r>
      <w:r>
        <w:rPr>
          <w:rFonts w:ascii="Times New Roman" w:hAnsi="Times New Roman"/>
          <w:i/>
          <w:position w:val="15"/>
          <w:sz w:val="24"/>
        </w:rPr>
        <w:t>q</w:t>
      </w:r>
      <w:r>
        <w:rPr>
          <w:rFonts w:ascii="Times New Roman" w:hAnsi="Times New Roman"/>
          <w:position w:val="9"/>
          <w:sz w:val="14"/>
        </w:rPr>
        <w:t>n</w:t>
      </w:r>
    </w:p>
    <w:p>
      <w:pPr>
        <w:tabs>
          <w:tab w:val="left" w:pos="821"/>
          <w:tab w:val="left" w:pos="1749"/>
        </w:tabs>
        <w:spacing w:before="0" w:line="303" w:lineRule="exact"/>
        <w:ind w:left="335" w:right="0" w:firstLine="0"/>
        <w:jc w:val="center"/>
        <w:rPr>
          <w:rFonts w:ascii="Times New Roman"/>
          <w:sz w:val="14"/>
        </w:rPr>
      </w:pPr>
      <w:r>
        <w:rPr>
          <w:rFonts w:ascii="Times New Roman"/>
          <w:i/>
          <w:spacing w:val="-10"/>
          <w:sz w:val="24"/>
        </w:rPr>
        <w:t>Q</w:t>
      </w:r>
      <w:r>
        <w:rPr>
          <w:rFonts w:ascii="Times New Roman"/>
          <w:spacing w:val="-10"/>
          <w:position w:val="-5"/>
          <w:sz w:val="14"/>
        </w:rPr>
        <w:t>1</w:t>
      </w:r>
      <w:r>
        <w:rPr>
          <w:rFonts w:ascii="Times New Roman"/>
          <w:spacing w:val="-10"/>
          <w:position w:val="-5"/>
          <w:sz w:val="14"/>
        </w:rPr>
        <w:tab/>
      </w:r>
      <w:r>
        <w:rPr>
          <w:rFonts w:ascii="Times New Roman"/>
          <w:i/>
          <w:sz w:val="24"/>
        </w:rPr>
        <w:t>Q</w:t>
      </w:r>
      <w:r>
        <w:rPr>
          <w:rFonts w:ascii="Times New Roman"/>
          <w:position w:val="-5"/>
          <w:sz w:val="14"/>
        </w:rPr>
        <w:t>2</w:t>
      </w:r>
      <w:r>
        <w:rPr>
          <w:rFonts w:ascii="Times New Roman"/>
          <w:position w:val="-5"/>
          <w:sz w:val="14"/>
        </w:rPr>
        <w:tab/>
      </w:r>
      <w:r>
        <w:rPr>
          <w:rFonts w:ascii="Times New Roman"/>
          <w:i/>
          <w:sz w:val="24"/>
        </w:rPr>
        <w:t>Q</w:t>
      </w:r>
      <w:r>
        <w:rPr>
          <w:rFonts w:ascii="Times New Roman"/>
          <w:position w:val="-5"/>
          <w:sz w:val="14"/>
        </w:rPr>
        <w:t>n</w:t>
      </w:r>
    </w:p>
    <w:p>
      <w:pPr>
        <w:pStyle w:val="7"/>
        <w:spacing w:before="5"/>
        <w:ind w:left="0"/>
        <w:rPr>
          <w:rFonts w:ascii="Times New Roman"/>
          <w:sz w:val="13"/>
        </w:rPr>
      </w:pPr>
    </w:p>
    <w:p>
      <w:pPr>
        <w:pStyle w:val="7"/>
        <w:spacing w:before="73"/>
        <w:ind w:left="1044"/>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position w:val="2"/>
          <w:vertAlign w:val="baseline"/>
        </w:rPr>
        <w:t>、</w:t>
      </w:r>
      <w:r>
        <w:rPr>
          <w:rFonts w:ascii="Times New Roman" w:hAnsi="Times New Roman" w:eastAsia="Times New Roman"/>
          <w:position w:val="2"/>
          <w:vertAlign w:val="baseline"/>
        </w:rPr>
        <w:t>···</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7"/>
        <w:spacing w:before="156" w:line="364" w:lineRule="auto"/>
        <w:ind w:left="1044" w:right="2261" w:firstLine="732"/>
      </w:pP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position w:val="2"/>
          <w:vertAlign w:val="baseline"/>
        </w:rPr>
        <w:t>、</w:t>
      </w:r>
      <w:r>
        <w:rPr>
          <w:rFonts w:ascii="Times New Roman" w:hAnsi="Times New Roman" w:eastAsia="Times New Roman"/>
          <w:position w:val="2"/>
          <w:vertAlign w:val="baseline"/>
        </w:rPr>
        <w:t>···</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当</w:t>
      </w:r>
      <w:r>
        <w:rPr>
          <w:rFonts w:ascii="Times New Roman" w:hAnsi="Times New Roman" w:eastAsia="Times New Roman"/>
          <w:vertAlign w:val="baseline"/>
        </w:rPr>
        <w:t>Q</w:t>
      </w:r>
      <w:r>
        <w:rPr>
          <w:vertAlign w:val="baseline"/>
        </w:rPr>
        <w:t>＜</w:t>
      </w:r>
      <w:r>
        <w:rPr>
          <w:rFonts w:ascii="Times New Roman" w:hAnsi="Times New Roman" w:eastAsia="Times New Roman"/>
          <w:vertAlign w:val="baseline"/>
        </w:rPr>
        <w:t>1</w:t>
      </w:r>
      <w:r>
        <w:rPr>
          <w:vertAlign w:val="baseline"/>
        </w:rPr>
        <w:t>时，该项目环境风险潜势为Ⅰ；</w:t>
      </w:r>
    </w:p>
    <w:p>
      <w:pPr>
        <w:pStyle w:val="7"/>
        <w:ind w:left="1044"/>
      </w:pPr>
      <w:r>
        <w:t>当</w:t>
      </w:r>
      <w:r>
        <w:rPr>
          <w:rFonts w:ascii="Times New Roman" w:hAnsi="Times New Roman" w:eastAsia="Times New Roman"/>
        </w:rPr>
        <w:t>Q</w:t>
      </w:r>
      <w:r>
        <w:t>≥</w:t>
      </w:r>
      <w:r>
        <w:rPr>
          <w:rFonts w:ascii="Times New Roman" w:hAnsi="Times New Roman" w:eastAsia="Times New Roman"/>
        </w:rPr>
        <w:t>1</w:t>
      </w:r>
      <w:r>
        <w:t>时，将</w:t>
      </w:r>
      <w:r>
        <w:rPr>
          <w:rFonts w:ascii="Times New Roman" w:hAnsi="Times New Roman" w:eastAsia="Times New Roman"/>
        </w:rPr>
        <w:t>Q</w:t>
      </w:r>
      <w:r>
        <w:t>值划分为：（</w:t>
      </w:r>
      <w:r>
        <w:rPr>
          <w:rFonts w:ascii="Times New Roman" w:hAnsi="Times New Roman" w:eastAsia="Times New Roman"/>
        </w:rPr>
        <w:t>1</w:t>
      </w:r>
      <w:r>
        <w:t>）</w:t>
      </w:r>
      <w:r>
        <w:rPr>
          <w:rFonts w:ascii="Times New Roman" w:hAnsi="Times New Roman" w:eastAsia="Times New Roman"/>
        </w:rPr>
        <w:t>1</w:t>
      </w:r>
      <w:r>
        <w:t>≤</w:t>
      </w:r>
      <w:r>
        <w:rPr>
          <w:rFonts w:ascii="Times New Roman" w:hAnsi="Times New Roman" w:eastAsia="Times New Roman"/>
        </w:rPr>
        <w:t>Q</w:t>
      </w:r>
      <w:r>
        <w:t>＜</w:t>
      </w:r>
      <w:r>
        <w:rPr>
          <w:rFonts w:ascii="Times New Roman" w:hAnsi="Times New Roman" w:eastAsia="Times New Roman"/>
        </w:rPr>
        <w:t>10</w:t>
      </w:r>
      <w:r>
        <w:t>；（</w:t>
      </w:r>
      <w:r>
        <w:rPr>
          <w:rFonts w:ascii="Times New Roman" w:hAnsi="Times New Roman" w:eastAsia="Times New Roman"/>
        </w:rPr>
        <w:t>2</w:t>
      </w:r>
      <w:r>
        <w:t>）</w:t>
      </w:r>
      <w:r>
        <w:rPr>
          <w:rFonts w:ascii="Times New Roman" w:hAnsi="Times New Roman" w:eastAsia="Times New Roman"/>
        </w:rPr>
        <w:t>10</w:t>
      </w:r>
      <w:r>
        <w:t>≤</w:t>
      </w:r>
      <w:r>
        <w:rPr>
          <w:rFonts w:ascii="Times New Roman" w:hAnsi="Times New Roman" w:eastAsia="Times New Roman"/>
        </w:rPr>
        <w:t>Q</w:t>
      </w:r>
      <w:r>
        <w:t>＜</w:t>
      </w:r>
      <w:r>
        <w:rPr>
          <w:rFonts w:ascii="Times New Roman" w:hAnsi="Times New Roman" w:eastAsia="Times New Roman"/>
        </w:rPr>
        <w:t>100</w:t>
      </w:r>
      <w:r>
        <w:t>；（</w:t>
      </w:r>
      <w:r>
        <w:rPr>
          <w:rFonts w:ascii="Times New Roman" w:hAnsi="Times New Roman" w:eastAsia="Times New Roman"/>
        </w:rPr>
        <w:t>3</w:t>
      </w:r>
      <w:r>
        <w:t>）</w:t>
      </w:r>
    </w:p>
    <w:p>
      <w:pPr>
        <w:pStyle w:val="7"/>
        <w:spacing w:before="161"/>
      </w:pPr>
      <w:r>
        <w:rPr>
          <w:rFonts w:ascii="Times New Roman" w:hAnsi="Times New Roman" w:eastAsia="Times New Roman"/>
        </w:rPr>
        <w:t>Q</w:t>
      </w:r>
      <w:r>
        <w:t>≥</w:t>
      </w:r>
      <w:r>
        <w:rPr>
          <w:rFonts w:ascii="Times New Roman" w:hAnsi="Times New Roman" w:eastAsia="Times New Roman"/>
        </w:rPr>
        <w:t>100</w:t>
      </w:r>
      <w:r>
        <w:t>。</w:t>
      </w:r>
    </w:p>
    <w:p>
      <w:pPr>
        <w:pStyle w:val="7"/>
        <w:spacing w:before="160"/>
        <w:ind w:left="1020"/>
      </w:pPr>
      <w:r>
        <w:t>本项目主要风险物质为氨和硫化氢，对照《建设项目环境风险评价技术导则》</w:t>
      </w:r>
    </w:p>
    <w:p>
      <w:pPr>
        <w:pStyle w:val="7"/>
        <w:spacing w:before="161" w:line="364" w:lineRule="auto"/>
        <w:ind w:right="457"/>
      </w:pPr>
      <w:r>
        <w:rPr>
          <w:spacing w:val="-7"/>
        </w:rPr>
        <w:t>（</w:t>
      </w:r>
      <w:r>
        <w:rPr>
          <w:rFonts w:ascii="Times New Roman" w:eastAsia="Times New Roman"/>
          <w:spacing w:val="-7"/>
        </w:rPr>
        <w:t>HJ169-2018</w:t>
      </w:r>
      <w:r>
        <w:rPr>
          <w:spacing w:val="-7"/>
        </w:rPr>
        <w:t>）</w:t>
      </w:r>
      <w:r>
        <w:rPr>
          <w:spacing w:val="-20"/>
        </w:rPr>
        <w:t>附录</w:t>
      </w:r>
      <w:r>
        <w:rPr>
          <w:rFonts w:ascii="Times New Roman" w:eastAsia="Times New Roman"/>
          <w:spacing w:val="-41"/>
        </w:rPr>
        <w:t>B</w:t>
      </w:r>
      <w:r>
        <w:rPr>
          <w:spacing w:val="-15"/>
        </w:rPr>
        <w:t>，氨气和硫化氢属于环境风险物质，临界量分别为</w:t>
      </w:r>
      <w:r>
        <w:rPr>
          <w:rFonts w:ascii="Times New Roman" w:eastAsia="Times New Roman"/>
        </w:rPr>
        <w:t>5t</w:t>
      </w:r>
      <w:r>
        <w:rPr>
          <w:spacing w:val="-77"/>
        </w:rPr>
        <w:t>、</w:t>
      </w:r>
      <w:r>
        <w:rPr>
          <w:rFonts w:ascii="Times New Roman" w:eastAsia="Times New Roman"/>
        </w:rPr>
        <w:t>2.5t</w:t>
      </w:r>
      <w:r>
        <w:rPr>
          <w:spacing w:val="-14"/>
        </w:rPr>
        <w:t>。</w:t>
      </w:r>
      <w:r>
        <w:rPr>
          <w:spacing w:val="-4"/>
        </w:rPr>
        <w:t>环境风险评价工作级别判定结果见表</w:t>
      </w:r>
      <w:r>
        <w:rPr>
          <w:rFonts w:ascii="Times New Roman" w:eastAsia="Times New Roman"/>
        </w:rPr>
        <w:t>5.2-13</w:t>
      </w:r>
      <w:r>
        <w:t>。</w:t>
      </w:r>
    </w:p>
    <w:p>
      <w:pPr>
        <w:pStyle w:val="7"/>
        <w:bidi w:val="0"/>
        <w:jc w:val="center"/>
      </w:pPr>
      <w:r>
        <w:t>表</w:t>
      </w:r>
      <w:r>
        <w:rPr>
          <w:rFonts w:ascii="Times New Roman" w:eastAsia="Times New Roman"/>
        </w:rPr>
        <w:t>5.2-13</w:t>
      </w:r>
      <w:r>
        <w:rPr>
          <w:rFonts w:ascii="Times New Roman" w:eastAsia="Times New Roman"/>
        </w:rPr>
        <w:tab/>
      </w:r>
      <w:r>
        <w:t>环境风险物质识别</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303"/>
        <w:gridCol w:w="2105"/>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04" w:type="dxa"/>
          </w:tcPr>
          <w:p>
            <w:pPr>
              <w:pStyle w:val="19"/>
              <w:spacing w:before="29"/>
              <w:ind w:left="199" w:right="190"/>
              <w:rPr>
                <w:b/>
                <w:sz w:val="21"/>
              </w:rPr>
            </w:pPr>
            <w:r>
              <w:rPr>
                <w:b/>
                <w:sz w:val="21"/>
              </w:rPr>
              <w:t>危险物质名称</w:t>
            </w:r>
          </w:p>
        </w:tc>
        <w:tc>
          <w:tcPr>
            <w:tcW w:w="1303" w:type="dxa"/>
          </w:tcPr>
          <w:p>
            <w:pPr>
              <w:pStyle w:val="19"/>
              <w:spacing w:before="29"/>
              <w:ind w:left="193" w:right="183"/>
              <w:rPr>
                <w:b/>
                <w:sz w:val="21"/>
              </w:rPr>
            </w:pPr>
            <w:r>
              <w:rPr>
                <w:rFonts w:ascii="Times New Roman" w:eastAsia="Times New Roman"/>
                <w:b/>
                <w:sz w:val="21"/>
              </w:rPr>
              <w:t>CAS</w:t>
            </w:r>
            <w:r>
              <w:rPr>
                <w:b/>
                <w:sz w:val="21"/>
              </w:rPr>
              <w:t>号</w:t>
            </w:r>
          </w:p>
        </w:tc>
        <w:tc>
          <w:tcPr>
            <w:tcW w:w="2105" w:type="dxa"/>
          </w:tcPr>
          <w:p>
            <w:pPr>
              <w:pStyle w:val="19"/>
              <w:spacing w:before="25"/>
              <w:ind w:left="115" w:right="98"/>
              <w:rPr>
                <w:b/>
                <w:sz w:val="21"/>
              </w:rPr>
            </w:pPr>
            <w:r>
              <w:rPr>
                <w:b/>
                <w:position w:val="2"/>
                <w:sz w:val="21"/>
              </w:rPr>
              <w:t>最大存在总量（</w:t>
            </w:r>
            <w:r>
              <w:rPr>
                <w:rFonts w:ascii="Times New Roman" w:eastAsia="Times New Roman"/>
                <w:b/>
                <w:position w:val="2"/>
                <w:sz w:val="21"/>
              </w:rPr>
              <w:t>q</w:t>
            </w:r>
            <w:r>
              <w:rPr>
                <w:rFonts w:ascii="Times New Roman" w:eastAsia="Times New Roman"/>
                <w:b/>
                <w:position w:val="2"/>
                <w:sz w:val="21"/>
                <w:vertAlign w:val="subscript"/>
              </w:rPr>
              <w:t>l</w:t>
            </w:r>
            <w:r>
              <w:rPr>
                <w:b/>
                <w:position w:val="2"/>
                <w:sz w:val="21"/>
                <w:vertAlign w:val="baseline"/>
              </w:rPr>
              <w:t>）</w:t>
            </w:r>
          </w:p>
        </w:tc>
        <w:tc>
          <w:tcPr>
            <w:tcW w:w="1705" w:type="dxa"/>
          </w:tcPr>
          <w:p>
            <w:pPr>
              <w:pStyle w:val="19"/>
              <w:spacing w:before="25"/>
              <w:ind w:left="206" w:right="193"/>
              <w:rPr>
                <w:b/>
                <w:sz w:val="21"/>
              </w:rPr>
            </w:pPr>
            <w:r>
              <w:rPr>
                <w:b/>
                <w:position w:val="2"/>
                <w:sz w:val="21"/>
              </w:rPr>
              <w:t>临界量（</w:t>
            </w:r>
            <w:r>
              <w:rPr>
                <w:rFonts w:ascii="Times New Roman" w:eastAsia="Times New Roman"/>
                <w:b/>
                <w:position w:val="2"/>
                <w:sz w:val="21"/>
              </w:rPr>
              <w:t>Q</w:t>
            </w:r>
            <w:r>
              <w:rPr>
                <w:rFonts w:ascii="Times New Roman" w:eastAsia="Times New Roman"/>
                <w:b/>
                <w:position w:val="2"/>
                <w:sz w:val="21"/>
                <w:vertAlign w:val="subscript"/>
              </w:rPr>
              <w:t>l</w:t>
            </w:r>
            <w:r>
              <w:rPr>
                <w:b/>
                <w:position w:val="2"/>
                <w:sz w:val="21"/>
                <w:vertAlign w:val="baseline"/>
              </w:rPr>
              <w:t>）</w:t>
            </w:r>
          </w:p>
        </w:tc>
        <w:tc>
          <w:tcPr>
            <w:tcW w:w="1705" w:type="dxa"/>
          </w:tcPr>
          <w:p>
            <w:pPr>
              <w:pStyle w:val="19"/>
              <w:spacing w:before="25"/>
              <w:ind w:left="204" w:right="193"/>
              <w:rPr>
                <w:b/>
                <w:sz w:val="21"/>
              </w:rPr>
            </w:pPr>
            <w:r>
              <w:rPr>
                <w:rFonts w:ascii="Times New Roman" w:eastAsia="Times New Roman"/>
                <w:b/>
                <w:position w:val="2"/>
                <w:sz w:val="21"/>
              </w:rPr>
              <w:t>Q</w:t>
            </w:r>
            <w:r>
              <w:rPr>
                <w:b/>
                <w:position w:val="2"/>
                <w:sz w:val="21"/>
              </w:rPr>
              <w:t>（</w:t>
            </w:r>
            <w:r>
              <w:rPr>
                <w:rFonts w:ascii="Times New Roman" w:eastAsia="Times New Roman"/>
                <w:b/>
                <w:position w:val="2"/>
                <w:sz w:val="21"/>
              </w:rPr>
              <w:t>q</w:t>
            </w:r>
            <w:r>
              <w:rPr>
                <w:rFonts w:ascii="Times New Roman" w:eastAsia="Times New Roman"/>
                <w:b/>
                <w:position w:val="2"/>
                <w:sz w:val="21"/>
                <w:vertAlign w:val="subscript"/>
              </w:rPr>
              <w:t>l</w:t>
            </w:r>
            <w:r>
              <w:rPr>
                <w:rFonts w:ascii="Times New Roman" w:eastAsia="Times New Roman"/>
                <w:b/>
                <w:position w:val="2"/>
                <w:sz w:val="21"/>
                <w:vertAlign w:val="baseline"/>
              </w:rPr>
              <w:t>/Q</w:t>
            </w:r>
            <w:r>
              <w:rPr>
                <w:rFonts w:ascii="Times New Roman" w:eastAsia="Times New Roman"/>
                <w:b/>
                <w:position w:val="2"/>
                <w:sz w:val="21"/>
                <w:vertAlign w:val="subscript"/>
              </w:rPr>
              <w:t>l</w:t>
            </w:r>
            <w:r>
              <w:rPr>
                <w:b/>
                <w:position w:val="2"/>
                <w:sz w:val="21"/>
                <w:vertAlign w:val="base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04" w:type="dxa"/>
          </w:tcPr>
          <w:p>
            <w:pPr>
              <w:pStyle w:val="19"/>
              <w:spacing w:before="29"/>
              <w:ind w:left="194" w:right="190"/>
              <w:rPr>
                <w:sz w:val="21"/>
              </w:rPr>
            </w:pPr>
            <w:r>
              <w:rPr>
                <w:sz w:val="21"/>
              </w:rPr>
              <w:t>氨气</w:t>
            </w:r>
          </w:p>
        </w:tc>
        <w:tc>
          <w:tcPr>
            <w:tcW w:w="1303" w:type="dxa"/>
          </w:tcPr>
          <w:p>
            <w:pPr>
              <w:pStyle w:val="19"/>
              <w:spacing w:before="43"/>
              <w:ind w:left="194" w:right="183"/>
              <w:rPr>
                <w:rFonts w:ascii="Times New Roman"/>
                <w:sz w:val="21"/>
              </w:rPr>
            </w:pPr>
            <w:r>
              <w:rPr>
                <w:rFonts w:ascii="Times New Roman"/>
                <w:sz w:val="21"/>
              </w:rPr>
              <w:t>7664-41-7</w:t>
            </w:r>
          </w:p>
        </w:tc>
        <w:tc>
          <w:tcPr>
            <w:tcW w:w="2105" w:type="dxa"/>
          </w:tcPr>
          <w:p>
            <w:pPr>
              <w:pStyle w:val="19"/>
              <w:spacing w:before="43"/>
              <w:ind w:left="11"/>
              <w:rPr>
                <w:rFonts w:ascii="Times New Roman"/>
                <w:sz w:val="21"/>
              </w:rPr>
            </w:pPr>
            <w:r>
              <w:rPr>
                <w:rFonts w:ascii="Times New Roman"/>
                <w:w w:val="99"/>
                <w:sz w:val="21"/>
              </w:rPr>
              <w:t>0</w:t>
            </w:r>
          </w:p>
        </w:tc>
        <w:tc>
          <w:tcPr>
            <w:tcW w:w="1705" w:type="dxa"/>
          </w:tcPr>
          <w:p>
            <w:pPr>
              <w:pStyle w:val="19"/>
              <w:spacing w:before="43"/>
              <w:ind w:left="7"/>
              <w:rPr>
                <w:rFonts w:ascii="Times New Roman"/>
                <w:sz w:val="21"/>
              </w:rPr>
            </w:pPr>
            <w:r>
              <w:rPr>
                <w:rFonts w:ascii="Times New Roman"/>
                <w:w w:val="99"/>
                <w:sz w:val="21"/>
              </w:rPr>
              <w:t>5</w:t>
            </w:r>
          </w:p>
        </w:tc>
        <w:tc>
          <w:tcPr>
            <w:tcW w:w="1705" w:type="dxa"/>
          </w:tcPr>
          <w:p>
            <w:pPr>
              <w:pStyle w:val="19"/>
              <w:spacing w:before="43"/>
              <w:ind w:left="10"/>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04" w:type="dxa"/>
          </w:tcPr>
          <w:p>
            <w:pPr>
              <w:pStyle w:val="19"/>
              <w:spacing w:before="28"/>
              <w:ind w:left="199" w:right="190"/>
              <w:rPr>
                <w:sz w:val="21"/>
              </w:rPr>
            </w:pPr>
            <w:r>
              <w:rPr>
                <w:sz w:val="21"/>
              </w:rPr>
              <w:t>硫化氢</w:t>
            </w:r>
          </w:p>
        </w:tc>
        <w:tc>
          <w:tcPr>
            <w:tcW w:w="1303" w:type="dxa"/>
          </w:tcPr>
          <w:p>
            <w:pPr>
              <w:pStyle w:val="19"/>
              <w:spacing w:before="42"/>
              <w:ind w:left="194" w:right="183"/>
              <w:rPr>
                <w:rFonts w:ascii="Times New Roman"/>
                <w:sz w:val="21"/>
              </w:rPr>
            </w:pPr>
            <w:r>
              <w:rPr>
                <w:rFonts w:ascii="Times New Roman"/>
                <w:sz w:val="21"/>
              </w:rPr>
              <w:t>7783-06-4</w:t>
            </w:r>
          </w:p>
        </w:tc>
        <w:tc>
          <w:tcPr>
            <w:tcW w:w="2105" w:type="dxa"/>
          </w:tcPr>
          <w:p>
            <w:pPr>
              <w:pStyle w:val="19"/>
              <w:spacing w:before="42"/>
              <w:ind w:left="11"/>
              <w:rPr>
                <w:rFonts w:ascii="Times New Roman"/>
                <w:sz w:val="21"/>
              </w:rPr>
            </w:pPr>
            <w:r>
              <w:rPr>
                <w:rFonts w:ascii="Times New Roman"/>
                <w:w w:val="99"/>
                <w:sz w:val="21"/>
              </w:rPr>
              <w:t>0</w:t>
            </w:r>
          </w:p>
        </w:tc>
        <w:tc>
          <w:tcPr>
            <w:tcW w:w="1705" w:type="dxa"/>
          </w:tcPr>
          <w:p>
            <w:pPr>
              <w:pStyle w:val="19"/>
              <w:spacing w:before="42"/>
              <w:ind w:left="200" w:right="193"/>
              <w:rPr>
                <w:rFonts w:ascii="Times New Roman"/>
                <w:sz w:val="21"/>
              </w:rPr>
            </w:pPr>
            <w:r>
              <w:rPr>
                <w:rFonts w:ascii="Times New Roman"/>
                <w:sz w:val="21"/>
              </w:rPr>
              <w:t>2.5</w:t>
            </w:r>
          </w:p>
        </w:tc>
        <w:tc>
          <w:tcPr>
            <w:tcW w:w="1705" w:type="dxa"/>
          </w:tcPr>
          <w:p>
            <w:pPr>
              <w:pStyle w:val="19"/>
              <w:spacing w:before="42"/>
              <w:ind w:left="10"/>
              <w:rPr>
                <w:rFonts w:ascii="Times New Roman"/>
                <w:sz w:val="21"/>
              </w:rPr>
            </w:pPr>
            <w:r>
              <w:rPr>
                <w:rFonts w:ascii="Times New Roman"/>
                <w:w w:val="99"/>
                <w:sz w:val="21"/>
              </w:rPr>
              <w:t>0</w:t>
            </w:r>
          </w:p>
        </w:tc>
      </w:tr>
    </w:tbl>
    <w:p>
      <w:pPr>
        <w:pStyle w:val="7"/>
        <w:spacing w:before="6"/>
        <w:ind w:left="0"/>
        <w:rPr>
          <w:b/>
          <w:sz w:val="18"/>
        </w:rPr>
      </w:pPr>
    </w:p>
    <w:p>
      <w:pPr>
        <w:pStyle w:val="7"/>
        <w:spacing w:line="364" w:lineRule="auto"/>
        <w:ind w:right="575" w:firstLine="480"/>
      </w:pPr>
      <w:r>
        <w:rPr>
          <w:spacing w:val="-8"/>
        </w:rPr>
        <w:t>根据上表可以看出，本项目危险物质氨和硫化氢数量与临界量比值</w:t>
      </w:r>
      <w:r>
        <w:rPr>
          <w:rFonts w:ascii="Times New Roman" w:eastAsia="Times New Roman"/>
        </w:rPr>
        <w:t>Q&lt;1</w:t>
      </w:r>
      <w:r>
        <w:rPr>
          <w:spacing w:val="-33"/>
        </w:rPr>
        <w:t>。当</w:t>
      </w:r>
      <w:r>
        <w:rPr>
          <w:rFonts w:ascii="Times New Roman" w:eastAsia="Times New Roman"/>
        </w:rPr>
        <w:t>Q&lt;1</w:t>
      </w:r>
      <w:r>
        <w:rPr>
          <w:spacing w:val="-5"/>
        </w:rPr>
        <w:t>时，该项目的环境风险潜势为</w:t>
      </w:r>
      <w:r>
        <w:rPr>
          <w:rFonts w:ascii="Times New Roman" w:eastAsia="Times New Roman"/>
        </w:rPr>
        <w:t>I</w:t>
      </w:r>
      <w:r>
        <w:rPr>
          <w:spacing w:val="-1"/>
        </w:rPr>
        <w:t>，据此判定风险评价工作等级为简单分析。</w:t>
      </w:r>
    </w:p>
    <w:p>
      <w:pPr>
        <w:pStyle w:val="7"/>
        <w:spacing w:before="1"/>
        <w:ind w:left="1020"/>
      </w:pPr>
      <w:r>
        <w:t>②行业及生产工艺（</w:t>
      </w:r>
      <w:r>
        <w:rPr>
          <w:rFonts w:ascii="Times New Roman" w:hAnsi="Times New Roman" w:eastAsia="Times New Roman"/>
        </w:rPr>
        <w:t>M</w:t>
      </w:r>
      <w:r>
        <w:t>）</w:t>
      </w:r>
    </w:p>
    <w:p>
      <w:pPr>
        <w:pStyle w:val="7"/>
        <w:spacing w:before="161" w:line="364" w:lineRule="auto"/>
        <w:ind w:right="455" w:firstLine="480"/>
      </w:pPr>
      <w:r>
        <w:rPr>
          <w:spacing w:val="-7"/>
        </w:rPr>
        <w:t>分析项目所属行业及生产工艺特点，按表</w:t>
      </w:r>
      <w:r>
        <w:rPr>
          <w:rFonts w:ascii="Times New Roman" w:hAnsi="Times New Roman" w:eastAsia="Times New Roman"/>
        </w:rPr>
        <w:t>5.2-14</w:t>
      </w:r>
      <w:r>
        <w:rPr>
          <w:spacing w:val="-7"/>
        </w:rPr>
        <w:t>评估生产工艺情况。具有多</w:t>
      </w:r>
      <w:r>
        <w:rPr>
          <w:spacing w:val="-12"/>
        </w:rPr>
        <w:t>套工艺单元的项目，对每套生产工艺分别评分并求和。</w:t>
      </w:r>
      <w:r>
        <w:rPr>
          <w:rFonts w:ascii="Times New Roman" w:hAnsi="Times New Roman" w:eastAsia="Times New Roman"/>
        </w:rPr>
        <w:t>M</w:t>
      </w:r>
      <w:r>
        <w:rPr>
          <w:spacing w:val="-18"/>
        </w:rPr>
        <w:t>分为</w:t>
      </w:r>
      <w:r>
        <w:rPr>
          <w:spacing w:val="-13"/>
        </w:rPr>
        <w:t>（</w:t>
      </w:r>
      <w:r>
        <w:rPr>
          <w:rFonts w:ascii="Times New Roman" w:hAnsi="Times New Roman" w:eastAsia="Times New Roman"/>
          <w:spacing w:val="-13"/>
        </w:rPr>
        <w:t>1</w:t>
      </w:r>
      <w:r>
        <w:rPr>
          <w:spacing w:val="-13"/>
        </w:rPr>
        <w:t>）</w:t>
      </w:r>
      <w:r>
        <w:rPr>
          <w:rFonts w:ascii="Times New Roman" w:hAnsi="Times New Roman" w:eastAsia="Times New Roman"/>
          <w:spacing w:val="-13"/>
        </w:rPr>
        <w:t>M</w:t>
      </w:r>
      <w:r>
        <w:rPr>
          <w:spacing w:val="-13"/>
        </w:rPr>
        <w:t>＞</w:t>
      </w:r>
      <w:r>
        <w:rPr>
          <w:rFonts w:ascii="Times New Roman" w:hAnsi="Times New Roman" w:eastAsia="Times New Roman"/>
          <w:spacing w:val="-13"/>
        </w:rPr>
        <w:t>20</w:t>
      </w:r>
      <w:r>
        <w:rPr>
          <w:spacing w:val="-13"/>
        </w:rPr>
        <w:t>；（</w:t>
      </w:r>
      <w:r>
        <w:rPr>
          <w:rFonts w:ascii="Times New Roman" w:hAnsi="Times New Roman" w:eastAsia="Times New Roman"/>
          <w:spacing w:val="-13"/>
        </w:rPr>
        <w:t>2</w:t>
      </w:r>
      <w:r>
        <w:rPr>
          <w:spacing w:val="-13"/>
        </w:rPr>
        <w:t>）</w:t>
      </w:r>
      <w:r>
        <w:rPr>
          <w:rFonts w:ascii="Times New Roman" w:hAnsi="Times New Roman" w:eastAsia="Times New Roman"/>
        </w:rPr>
        <w:t>10</w:t>
      </w:r>
      <w:r>
        <w:t>≤</w:t>
      </w:r>
      <w:r>
        <w:rPr>
          <w:rFonts w:ascii="Times New Roman" w:hAnsi="Times New Roman" w:eastAsia="Times New Roman"/>
        </w:rPr>
        <w:t>M</w:t>
      </w:r>
      <w:r>
        <w:t>＜</w:t>
      </w:r>
      <w:r>
        <w:rPr>
          <w:rFonts w:ascii="Times New Roman" w:hAnsi="Times New Roman" w:eastAsia="Times New Roman"/>
        </w:rPr>
        <w:t>20</w:t>
      </w:r>
      <w:r>
        <w:t>；（</w:t>
      </w:r>
      <w:r>
        <w:rPr>
          <w:rFonts w:ascii="Times New Roman" w:hAnsi="Times New Roman" w:eastAsia="Times New Roman"/>
        </w:rPr>
        <w:t>3</w:t>
      </w:r>
      <w:r>
        <w:t>）</w:t>
      </w:r>
      <w:r>
        <w:rPr>
          <w:rFonts w:ascii="Times New Roman" w:hAnsi="Times New Roman" w:eastAsia="Times New Roman"/>
        </w:rPr>
        <w:t>5</w:t>
      </w:r>
      <w:r>
        <w:t>≤</w:t>
      </w:r>
      <w:r>
        <w:rPr>
          <w:rFonts w:ascii="Times New Roman" w:hAnsi="Times New Roman" w:eastAsia="Times New Roman"/>
        </w:rPr>
        <w:t>M</w:t>
      </w:r>
      <w:r>
        <w:t>＜</w:t>
      </w:r>
      <w:r>
        <w:rPr>
          <w:rFonts w:ascii="Times New Roman" w:hAnsi="Times New Roman" w:eastAsia="Times New Roman"/>
        </w:rPr>
        <w:t>10</w:t>
      </w:r>
      <w:r>
        <w:t>；（</w:t>
      </w:r>
      <w:r>
        <w:rPr>
          <w:rFonts w:ascii="Times New Roman" w:hAnsi="Times New Roman" w:eastAsia="Times New Roman"/>
        </w:rPr>
        <w:t>4</w:t>
      </w:r>
      <w:r>
        <w:t>）</w:t>
      </w:r>
      <w:r>
        <w:rPr>
          <w:rFonts w:ascii="Times New Roman" w:hAnsi="Times New Roman" w:eastAsia="Times New Roman"/>
        </w:rPr>
        <w:t>M=5</w:t>
      </w:r>
      <w:r>
        <w:rPr>
          <w:spacing w:val="-13"/>
        </w:rPr>
        <w:t>，分别以</w:t>
      </w:r>
      <w:r>
        <w:rPr>
          <w:rFonts w:ascii="Times New Roman" w:hAnsi="Times New Roman" w:eastAsia="Times New Roman"/>
        </w:rPr>
        <w:t>M1</w:t>
      </w:r>
      <w:r>
        <w:t>、</w:t>
      </w:r>
      <w:r>
        <w:rPr>
          <w:rFonts w:ascii="Times New Roman" w:hAnsi="Times New Roman" w:eastAsia="Times New Roman"/>
        </w:rPr>
        <w:t>M2</w:t>
      </w:r>
      <w:r>
        <w:t>、</w:t>
      </w:r>
      <w:r>
        <w:rPr>
          <w:rFonts w:ascii="Times New Roman" w:hAnsi="Times New Roman" w:eastAsia="Times New Roman"/>
        </w:rPr>
        <w:t>M3</w:t>
      </w:r>
      <w:r>
        <w:t>、</w:t>
      </w:r>
      <w:r>
        <w:rPr>
          <w:rFonts w:ascii="Times New Roman" w:hAnsi="Times New Roman" w:eastAsia="Times New Roman"/>
        </w:rPr>
        <w:t>M4</w:t>
      </w:r>
      <w:r>
        <w:t>表示。</w:t>
      </w:r>
    </w:p>
    <w:p>
      <w:pPr>
        <w:pStyle w:val="7"/>
        <w:bidi w:val="0"/>
        <w:jc w:val="center"/>
      </w:pPr>
      <w:r>
        <w:t>表</w:t>
      </w:r>
      <w:r>
        <w:rPr>
          <w:rFonts w:ascii="Times New Roman" w:eastAsia="Times New Roman"/>
        </w:rPr>
        <w:t>5.2-14</w:t>
      </w:r>
      <w:r>
        <w:rPr>
          <w:rFonts w:ascii="Times New Roman" w:eastAsia="Times New Roman"/>
        </w:rPr>
        <w:tab/>
      </w:r>
      <w:r>
        <w:t>行业及生产工艺（</w:t>
      </w:r>
      <w:r>
        <w:rPr>
          <w:rFonts w:ascii="Times New Roman" w:eastAsia="Times New Roman"/>
        </w:rPr>
        <w:t>M</w:t>
      </w:r>
      <w:r>
        <w:t>）</w:t>
      </w:r>
    </w:p>
    <w:tbl>
      <w:tblPr>
        <w:tblStyle w:val="15"/>
        <w:tblW w:w="0" w:type="auto"/>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7"/>
        <w:gridCol w:w="4964"/>
        <w:gridCol w:w="943"/>
        <w:gridCol w:w="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7" w:type="dxa"/>
          </w:tcPr>
          <w:p>
            <w:pPr>
              <w:pStyle w:val="19"/>
              <w:spacing w:before="33"/>
              <w:ind w:left="37" w:right="30"/>
              <w:rPr>
                <w:b/>
                <w:sz w:val="21"/>
              </w:rPr>
            </w:pPr>
            <w:r>
              <w:rPr>
                <w:b/>
                <w:sz w:val="21"/>
              </w:rPr>
              <w:t>行业</w:t>
            </w:r>
          </w:p>
        </w:tc>
        <w:tc>
          <w:tcPr>
            <w:tcW w:w="4964" w:type="dxa"/>
          </w:tcPr>
          <w:p>
            <w:pPr>
              <w:pStyle w:val="19"/>
              <w:spacing w:before="33"/>
              <w:ind w:left="2040" w:right="2029"/>
              <w:rPr>
                <w:b/>
                <w:sz w:val="21"/>
              </w:rPr>
            </w:pPr>
            <w:r>
              <w:rPr>
                <w:b/>
                <w:sz w:val="21"/>
              </w:rPr>
              <w:t>评估依据</w:t>
            </w:r>
          </w:p>
        </w:tc>
        <w:tc>
          <w:tcPr>
            <w:tcW w:w="943" w:type="dxa"/>
          </w:tcPr>
          <w:p>
            <w:pPr>
              <w:pStyle w:val="19"/>
              <w:spacing w:before="33"/>
              <w:ind w:left="86" w:right="78"/>
              <w:rPr>
                <w:b/>
                <w:sz w:val="21"/>
              </w:rPr>
            </w:pPr>
            <w:r>
              <w:rPr>
                <w:b/>
                <w:sz w:val="21"/>
              </w:rPr>
              <w:t>分值</w:t>
            </w:r>
          </w:p>
        </w:tc>
        <w:tc>
          <w:tcPr>
            <w:tcW w:w="689" w:type="dxa"/>
          </w:tcPr>
          <w:p>
            <w:pPr>
              <w:pStyle w:val="19"/>
              <w:spacing w:before="33"/>
              <w:ind w:left="112" w:right="104"/>
              <w:rPr>
                <w:b/>
                <w:sz w:val="21"/>
              </w:rPr>
            </w:pPr>
            <w:r>
              <w:rPr>
                <w:b/>
                <w:sz w:val="21"/>
              </w:rPr>
              <w:t>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857" w:type="dxa"/>
            <w:vMerge w:val="restart"/>
          </w:tcPr>
          <w:p>
            <w:pPr>
              <w:pStyle w:val="19"/>
              <w:jc w:val="left"/>
              <w:rPr>
                <w:b/>
                <w:sz w:val="20"/>
              </w:rPr>
            </w:pPr>
          </w:p>
          <w:p>
            <w:pPr>
              <w:pStyle w:val="19"/>
              <w:jc w:val="left"/>
              <w:rPr>
                <w:b/>
                <w:sz w:val="20"/>
              </w:rPr>
            </w:pPr>
          </w:p>
          <w:p>
            <w:pPr>
              <w:pStyle w:val="19"/>
              <w:spacing w:before="151" w:line="213" w:lineRule="auto"/>
              <w:ind w:left="107" w:right="-15"/>
              <w:jc w:val="left"/>
              <w:rPr>
                <w:sz w:val="21"/>
              </w:rPr>
            </w:pPr>
            <w:r>
              <w:rPr>
                <w:spacing w:val="-18"/>
                <w:sz w:val="21"/>
              </w:rPr>
              <w:t>石化、化工、医药、</w:t>
            </w:r>
            <w:r>
              <w:rPr>
                <w:spacing w:val="-11"/>
                <w:sz w:val="21"/>
              </w:rPr>
              <w:t>轻工、化纤、有色冶炼等</w:t>
            </w:r>
          </w:p>
        </w:tc>
        <w:tc>
          <w:tcPr>
            <w:tcW w:w="4964" w:type="dxa"/>
          </w:tcPr>
          <w:p>
            <w:pPr>
              <w:pStyle w:val="19"/>
              <w:spacing w:before="4" w:line="213" w:lineRule="auto"/>
              <w:ind w:left="107" w:right="96"/>
              <w:jc w:val="both"/>
              <w:rPr>
                <w:sz w:val="21"/>
              </w:rPr>
            </w:pPr>
            <w:r>
              <w:rPr>
                <w:spacing w:val="-4"/>
                <w:w w:val="95"/>
                <w:sz w:val="21"/>
              </w:rPr>
              <w:t>涉及光气及光气化工艺、电解工艺</w:t>
            </w:r>
            <w:r>
              <w:rPr>
                <w:w w:val="95"/>
                <w:sz w:val="21"/>
              </w:rPr>
              <w:t>（氯碱</w:t>
            </w:r>
            <w:r>
              <w:rPr>
                <w:spacing w:val="-20"/>
                <w:w w:val="95"/>
                <w:sz w:val="21"/>
              </w:rPr>
              <w:t>）</w:t>
            </w:r>
            <w:r>
              <w:rPr>
                <w:spacing w:val="-6"/>
                <w:w w:val="95"/>
                <w:sz w:val="21"/>
              </w:rPr>
              <w:t>、氯化工</w:t>
            </w:r>
            <w:r>
              <w:rPr>
                <w:spacing w:val="-9"/>
                <w:w w:val="95"/>
                <w:sz w:val="21"/>
              </w:rPr>
              <w:t>艺、硝化工艺、合成氨工艺、裂解</w:t>
            </w:r>
            <w:r>
              <w:rPr>
                <w:w w:val="95"/>
                <w:sz w:val="21"/>
              </w:rPr>
              <w:t>（裂化</w:t>
            </w:r>
            <w:r>
              <w:rPr>
                <w:spacing w:val="-13"/>
                <w:w w:val="95"/>
                <w:sz w:val="21"/>
              </w:rPr>
              <w:t>）</w:t>
            </w:r>
            <w:r>
              <w:rPr>
                <w:spacing w:val="-4"/>
                <w:w w:val="95"/>
                <w:sz w:val="21"/>
              </w:rPr>
              <w:t>工艺、氟</w:t>
            </w:r>
            <w:r>
              <w:rPr>
                <w:spacing w:val="-10"/>
                <w:w w:val="95"/>
                <w:sz w:val="21"/>
              </w:rPr>
              <w:t>化工艺、加氢工艺、重氮化工艺、氧化工艺、过氧化</w:t>
            </w:r>
            <w:r>
              <w:rPr>
                <w:spacing w:val="-11"/>
                <w:w w:val="95"/>
                <w:sz w:val="21"/>
              </w:rPr>
              <w:t>工艺、胺基化工艺、磺化工艺、聚合工艺、烷基化工</w:t>
            </w:r>
          </w:p>
          <w:p>
            <w:pPr>
              <w:pStyle w:val="19"/>
              <w:spacing w:line="218" w:lineRule="exact"/>
              <w:ind w:left="107"/>
              <w:jc w:val="left"/>
              <w:rPr>
                <w:sz w:val="21"/>
              </w:rPr>
            </w:pPr>
            <w:r>
              <w:rPr>
                <w:sz w:val="21"/>
              </w:rPr>
              <w:t>艺、新型煤化工工艺、电石生产工艺、偶氮化工艺</w:t>
            </w:r>
          </w:p>
        </w:tc>
        <w:tc>
          <w:tcPr>
            <w:tcW w:w="943" w:type="dxa"/>
          </w:tcPr>
          <w:p>
            <w:pPr>
              <w:pStyle w:val="19"/>
              <w:jc w:val="left"/>
              <w:rPr>
                <w:b/>
                <w:sz w:val="22"/>
              </w:rPr>
            </w:pPr>
          </w:p>
          <w:p>
            <w:pPr>
              <w:pStyle w:val="19"/>
              <w:spacing w:before="181"/>
              <w:ind w:left="86" w:right="78"/>
              <w:rPr>
                <w:sz w:val="21"/>
              </w:rPr>
            </w:pPr>
            <w:r>
              <w:rPr>
                <w:rFonts w:ascii="Times New Roman" w:eastAsia="Times New Roman"/>
                <w:sz w:val="21"/>
              </w:rPr>
              <w:t>10/</w:t>
            </w:r>
            <w:r>
              <w:rPr>
                <w:sz w:val="21"/>
              </w:rPr>
              <w:t>套</w:t>
            </w:r>
          </w:p>
        </w:tc>
        <w:tc>
          <w:tcPr>
            <w:tcW w:w="689" w:type="dxa"/>
          </w:tcPr>
          <w:p>
            <w:pPr>
              <w:pStyle w:val="19"/>
              <w:jc w:val="left"/>
              <w:rPr>
                <w:b/>
                <w:sz w:val="22"/>
              </w:rPr>
            </w:pPr>
          </w:p>
          <w:p>
            <w:pPr>
              <w:pStyle w:val="19"/>
              <w:spacing w:before="195"/>
              <w:ind w:left="9"/>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7" w:type="dxa"/>
            <w:vMerge w:val="continue"/>
            <w:tcBorders>
              <w:top w:val="nil"/>
            </w:tcBorders>
          </w:tcPr>
          <w:p>
            <w:pPr>
              <w:rPr>
                <w:sz w:val="2"/>
                <w:szCs w:val="2"/>
              </w:rPr>
            </w:pPr>
          </w:p>
        </w:tc>
        <w:tc>
          <w:tcPr>
            <w:tcW w:w="4964" w:type="dxa"/>
          </w:tcPr>
          <w:p>
            <w:pPr>
              <w:pStyle w:val="19"/>
              <w:spacing w:before="33"/>
              <w:ind w:left="107"/>
              <w:jc w:val="left"/>
              <w:rPr>
                <w:sz w:val="21"/>
              </w:rPr>
            </w:pPr>
            <w:r>
              <w:rPr>
                <w:sz w:val="21"/>
              </w:rPr>
              <w:t>无机酸制酸工艺、焦化工艺</w:t>
            </w:r>
          </w:p>
        </w:tc>
        <w:tc>
          <w:tcPr>
            <w:tcW w:w="943" w:type="dxa"/>
          </w:tcPr>
          <w:p>
            <w:pPr>
              <w:pStyle w:val="19"/>
              <w:spacing w:before="33"/>
              <w:ind w:left="86" w:right="78"/>
              <w:rPr>
                <w:sz w:val="21"/>
              </w:rPr>
            </w:pPr>
            <w:r>
              <w:rPr>
                <w:rFonts w:ascii="Times New Roman" w:eastAsia="Times New Roman"/>
                <w:sz w:val="21"/>
              </w:rPr>
              <w:t>5/</w:t>
            </w:r>
            <w:r>
              <w:rPr>
                <w:sz w:val="21"/>
              </w:rPr>
              <w:t>套</w:t>
            </w:r>
          </w:p>
        </w:tc>
        <w:tc>
          <w:tcPr>
            <w:tcW w:w="689" w:type="dxa"/>
          </w:tcPr>
          <w:p>
            <w:pPr>
              <w:pStyle w:val="19"/>
              <w:spacing w:before="47"/>
              <w:ind w:left="9"/>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57" w:type="dxa"/>
            <w:vMerge w:val="continue"/>
            <w:tcBorders>
              <w:top w:val="nil"/>
            </w:tcBorders>
          </w:tcPr>
          <w:p>
            <w:pPr>
              <w:rPr>
                <w:sz w:val="2"/>
                <w:szCs w:val="2"/>
              </w:rPr>
            </w:pPr>
          </w:p>
        </w:tc>
        <w:tc>
          <w:tcPr>
            <w:tcW w:w="4964" w:type="dxa"/>
          </w:tcPr>
          <w:p>
            <w:pPr>
              <w:pStyle w:val="19"/>
              <w:spacing w:line="236" w:lineRule="exact"/>
              <w:ind w:left="107"/>
              <w:jc w:val="left"/>
              <w:rPr>
                <w:sz w:val="21"/>
              </w:rPr>
            </w:pPr>
            <w:r>
              <w:rPr>
                <w:sz w:val="21"/>
              </w:rPr>
              <w:t>其他高温或高压、且涉及危险物质的工艺过程</w:t>
            </w:r>
            <w:r>
              <w:rPr>
                <w:rFonts w:ascii="Times New Roman" w:eastAsia="Times New Roman"/>
                <w:position w:val="7"/>
                <w:sz w:val="13"/>
              </w:rPr>
              <w:t>a</w:t>
            </w:r>
            <w:r>
              <w:rPr>
                <w:sz w:val="21"/>
              </w:rPr>
              <w:t>、危</w:t>
            </w:r>
          </w:p>
          <w:p>
            <w:pPr>
              <w:pStyle w:val="19"/>
              <w:spacing w:line="224" w:lineRule="exact"/>
              <w:ind w:left="107"/>
              <w:jc w:val="left"/>
              <w:rPr>
                <w:sz w:val="21"/>
              </w:rPr>
            </w:pPr>
            <w:r>
              <w:rPr>
                <w:sz w:val="21"/>
              </w:rPr>
              <w:t>险物质储存罐区</w:t>
            </w:r>
          </w:p>
        </w:tc>
        <w:tc>
          <w:tcPr>
            <w:tcW w:w="943" w:type="dxa"/>
          </w:tcPr>
          <w:p>
            <w:pPr>
              <w:pStyle w:val="19"/>
              <w:spacing w:line="236" w:lineRule="exact"/>
              <w:ind w:left="86" w:right="78"/>
              <w:rPr>
                <w:sz w:val="21"/>
              </w:rPr>
            </w:pPr>
            <w:r>
              <w:rPr>
                <w:rFonts w:ascii="Times New Roman" w:eastAsia="Times New Roman"/>
                <w:sz w:val="21"/>
              </w:rPr>
              <w:t>5/</w:t>
            </w:r>
            <w:r>
              <w:rPr>
                <w:spacing w:val="-65"/>
                <w:sz w:val="21"/>
              </w:rPr>
              <w:t>套</w:t>
            </w:r>
            <w:r>
              <w:rPr>
                <w:sz w:val="21"/>
              </w:rPr>
              <w:t>（罐</w:t>
            </w:r>
          </w:p>
          <w:p>
            <w:pPr>
              <w:pStyle w:val="19"/>
              <w:spacing w:line="224" w:lineRule="exact"/>
              <w:ind w:left="84" w:right="78"/>
              <w:rPr>
                <w:sz w:val="21"/>
              </w:rPr>
            </w:pPr>
            <w:r>
              <w:rPr>
                <w:sz w:val="21"/>
              </w:rPr>
              <w:t>区）</w:t>
            </w:r>
          </w:p>
        </w:tc>
        <w:tc>
          <w:tcPr>
            <w:tcW w:w="689" w:type="dxa"/>
          </w:tcPr>
          <w:p>
            <w:pPr>
              <w:pStyle w:val="19"/>
              <w:spacing w:before="117"/>
              <w:ind w:left="9"/>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857" w:type="dxa"/>
          </w:tcPr>
          <w:p>
            <w:pPr>
              <w:pStyle w:val="19"/>
              <w:spacing w:before="33"/>
              <w:ind w:left="37" w:right="30"/>
              <w:rPr>
                <w:sz w:val="21"/>
              </w:rPr>
            </w:pPr>
            <w:r>
              <w:rPr>
                <w:sz w:val="21"/>
              </w:rPr>
              <w:t>管道、港口</w:t>
            </w:r>
            <w:r>
              <w:rPr>
                <w:rFonts w:ascii="Times New Roman" w:eastAsia="Times New Roman"/>
                <w:sz w:val="21"/>
              </w:rPr>
              <w:t>/</w:t>
            </w:r>
            <w:r>
              <w:rPr>
                <w:sz w:val="21"/>
              </w:rPr>
              <w:t>码头等</w:t>
            </w:r>
          </w:p>
        </w:tc>
        <w:tc>
          <w:tcPr>
            <w:tcW w:w="4964" w:type="dxa"/>
          </w:tcPr>
          <w:p>
            <w:pPr>
              <w:pStyle w:val="19"/>
              <w:spacing w:before="33"/>
              <w:ind w:left="107"/>
              <w:jc w:val="left"/>
              <w:rPr>
                <w:sz w:val="21"/>
              </w:rPr>
            </w:pPr>
            <w:r>
              <w:rPr>
                <w:sz w:val="21"/>
              </w:rPr>
              <w:t>涉及危险物质管道运输项目、港口</w:t>
            </w:r>
            <w:r>
              <w:rPr>
                <w:rFonts w:ascii="Times New Roman" w:eastAsia="Times New Roman"/>
                <w:sz w:val="21"/>
              </w:rPr>
              <w:t>/</w:t>
            </w:r>
            <w:r>
              <w:rPr>
                <w:sz w:val="21"/>
              </w:rPr>
              <w:t>码头等</w:t>
            </w:r>
          </w:p>
        </w:tc>
        <w:tc>
          <w:tcPr>
            <w:tcW w:w="943" w:type="dxa"/>
          </w:tcPr>
          <w:p>
            <w:pPr>
              <w:pStyle w:val="19"/>
              <w:spacing w:before="47"/>
              <w:ind w:left="86" w:right="77"/>
              <w:rPr>
                <w:rFonts w:ascii="Times New Roman"/>
                <w:sz w:val="21"/>
              </w:rPr>
            </w:pPr>
            <w:r>
              <w:rPr>
                <w:rFonts w:ascii="Times New Roman"/>
                <w:sz w:val="21"/>
              </w:rPr>
              <w:t>10</w:t>
            </w:r>
          </w:p>
        </w:tc>
        <w:tc>
          <w:tcPr>
            <w:tcW w:w="689" w:type="dxa"/>
          </w:tcPr>
          <w:p>
            <w:pPr>
              <w:pStyle w:val="19"/>
              <w:spacing w:before="47"/>
              <w:ind w:left="9"/>
              <w:rPr>
                <w:rFonts w:ascii="Times New Roman"/>
                <w:sz w:val="21"/>
              </w:rPr>
            </w:pPr>
            <w:r>
              <w:rPr>
                <w:rFonts w:ascii="Times New Roman"/>
                <w:w w:val="99"/>
                <w:sz w:val="21"/>
              </w:rPr>
              <w:t>0</w:t>
            </w:r>
          </w:p>
        </w:tc>
      </w:tr>
    </w:tbl>
    <w:p>
      <w:pPr>
        <w:spacing w:after="0"/>
        <w:rPr>
          <w:rFonts w:ascii="Times New Roman"/>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1"/>
        <w:ind w:left="0"/>
        <w:rPr>
          <w:b/>
          <w:sz w:val="4"/>
        </w:rPr>
      </w:pPr>
    </w:p>
    <w:tbl>
      <w:tblPr>
        <w:tblStyle w:val="15"/>
        <w:tblW w:w="0" w:type="auto"/>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7"/>
        <w:gridCol w:w="4964"/>
        <w:gridCol w:w="943"/>
        <w:gridCol w:w="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857" w:type="dxa"/>
          </w:tcPr>
          <w:p>
            <w:pPr>
              <w:pStyle w:val="19"/>
              <w:spacing w:before="4"/>
              <w:jc w:val="left"/>
              <w:rPr>
                <w:b/>
                <w:sz w:val="17"/>
              </w:rPr>
            </w:pPr>
          </w:p>
          <w:p>
            <w:pPr>
              <w:pStyle w:val="19"/>
              <w:spacing w:before="1"/>
              <w:ind w:left="402"/>
              <w:jc w:val="left"/>
              <w:rPr>
                <w:sz w:val="21"/>
              </w:rPr>
            </w:pPr>
            <w:r>
              <w:rPr>
                <w:sz w:val="21"/>
              </w:rPr>
              <w:t>石油天然气</w:t>
            </w:r>
          </w:p>
        </w:tc>
        <w:tc>
          <w:tcPr>
            <w:tcW w:w="4964" w:type="dxa"/>
          </w:tcPr>
          <w:p>
            <w:pPr>
              <w:pStyle w:val="19"/>
              <w:spacing w:line="240" w:lineRule="exact"/>
              <w:ind w:left="107" w:right="99"/>
              <w:jc w:val="both"/>
              <w:rPr>
                <w:sz w:val="21"/>
              </w:rPr>
            </w:pPr>
            <w:r>
              <w:rPr>
                <w:spacing w:val="-7"/>
                <w:w w:val="95"/>
                <w:sz w:val="21"/>
              </w:rPr>
              <w:t>石油、天然气、页岩气开采</w:t>
            </w:r>
            <w:r>
              <w:rPr>
                <w:w w:val="95"/>
                <w:sz w:val="21"/>
              </w:rPr>
              <w:t>（含净化</w:t>
            </w:r>
            <w:r>
              <w:rPr>
                <w:spacing w:val="-14"/>
                <w:w w:val="95"/>
                <w:sz w:val="21"/>
              </w:rPr>
              <w:t>）</w:t>
            </w:r>
            <w:r>
              <w:rPr>
                <w:spacing w:val="-8"/>
                <w:w w:val="95"/>
                <w:sz w:val="21"/>
              </w:rPr>
              <w:t>，气库</w:t>
            </w:r>
            <w:r>
              <w:rPr>
                <w:w w:val="95"/>
                <w:sz w:val="21"/>
              </w:rPr>
              <w:t>（不含加气站的气库</w:t>
            </w:r>
            <w:r>
              <w:rPr>
                <w:spacing w:val="-16"/>
                <w:w w:val="95"/>
                <w:sz w:val="21"/>
              </w:rPr>
              <w:t>）</w:t>
            </w:r>
            <w:r>
              <w:rPr>
                <w:spacing w:val="-11"/>
                <w:w w:val="95"/>
                <w:sz w:val="21"/>
              </w:rPr>
              <w:t>，油库</w:t>
            </w:r>
            <w:r>
              <w:rPr>
                <w:w w:val="95"/>
                <w:sz w:val="21"/>
              </w:rPr>
              <w:t>（不含加气站的油库</w:t>
            </w:r>
            <w:r>
              <w:rPr>
                <w:spacing w:val="-17"/>
                <w:w w:val="95"/>
                <w:sz w:val="21"/>
              </w:rPr>
              <w:t>）</w:t>
            </w:r>
            <w:r>
              <w:rPr>
                <w:spacing w:val="-6"/>
                <w:w w:val="95"/>
                <w:sz w:val="21"/>
              </w:rPr>
              <w:t>、油气</w:t>
            </w:r>
            <w:r>
              <w:rPr>
                <w:spacing w:val="-21"/>
                <w:sz w:val="21"/>
              </w:rPr>
              <w:t>管线</w:t>
            </w:r>
            <w:r>
              <w:rPr>
                <w:rFonts w:ascii="Times New Roman" w:eastAsia="Times New Roman"/>
                <w:position w:val="7"/>
                <w:sz w:val="13"/>
              </w:rPr>
              <w:t>b</w:t>
            </w:r>
            <w:r>
              <w:rPr>
                <w:sz w:val="21"/>
              </w:rPr>
              <w:t>（不含城镇燃气管线）</w:t>
            </w:r>
          </w:p>
        </w:tc>
        <w:tc>
          <w:tcPr>
            <w:tcW w:w="943" w:type="dxa"/>
          </w:tcPr>
          <w:p>
            <w:pPr>
              <w:pStyle w:val="19"/>
              <w:spacing w:before="8"/>
              <w:jc w:val="left"/>
              <w:rPr>
                <w:b/>
                <w:sz w:val="18"/>
              </w:rPr>
            </w:pPr>
          </w:p>
          <w:p>
            <w:pPr>
              <w:pStyle w:val="19"/>
              <w:ind w:left="86" w:right="77"/>
              <w:rPr>
                <w:rFonts w:ascii="Times New Roman"/>
                <w:sz w:val="21"/>
              </w:rPr>
            </w:pPr>
            <w:r>
              <w:rPr>
                <w:rFonts w:ascii="Times New Roman"/>
                <w:sz w:val="21"/>
              </w:rPr>
              <w:t>10</w:t>
            </w:r>
          </w:p>
        </w:tc>
        <w:tc>
          <w:tcPr>
            <w:tcW w:w="689" w:type="dxa"/>
          </w:tcPr>
          <w:p>
            <w:pPr>
              <w:pStyle w:val="19"/>
              <w:spacing w:before="8"/>
              <w:jc w:val="left"/>
              <w:rPr>
                <w:b/>
                <w:sz w:val="18"/>
              </w:rPr>
            </w:pPr>
          </w:p>
          <w:p>
            <w:pPr>
              <w:pStyle w:val="19"/>
              <w:ind w:left="292"/>
              <w:jc w:val="left"/>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7" w:type="dxa"/>
          </w:tcPr>
          <w:p>
            <w:pPr>
              <w:pStyle w:val="19"/>
              <w:spacing w:before="35"/>
              <w:ind w:left="34" w:right="30"/>
              <w:rPr>
                <w:sz w:val="21"/>
              </w:rPr>
            </w:pPr>
            <w:r>
              <w:rPr>
                <w:sz w:val="21"/>
              </w:rPr>
              <w:t>其他</w:t>
            </w:r>
          </w:p>
        </w:tc>
        <w:tc>
          <w:tcPr>
            <w:tcW w:w="4964" w:type="dxa"/>
          </w:tcPr>
          <w:p>
            <w:pPr>
              <w:pStyle w:val="19"/>
              <w:spacing w:before="35"/>
              <w:ind w:left="107"/>
              <w:jc w:val="left"/>
              <w:rPr>
                <w:sz w:val="21"/>
              </w:rPr>
            </w:pPr>
            <w:r>
              <w:rPr>
                <w:sz w:val="21"/>
              </w:rPr>
              <w:t>涉及危险物质使用、贮存的项目</w:t>
            </w:r>
          </w:p>
        </w:tc>
        <w:tc>
          <w:tcPr>
            <w:tcW w:w="943" w:type="dxa"/>
          </w:tcPr>
          <w:p>
            <w:pPr>
              <w:pStyle w:val="19"/>
              <w:spacing w:before="49"/>
              <w:ind w:left="9"/>
              <w:rPr>
                <w:rFonts w:ascii="Times New Roman"/>
                <w:sz w:val="21"/>
              </w:rPr>
            </w:pPr>
            <w:r>
              <w:rPr>
                <w:rFonts w:ascii="Times New Roman"/>
                <w:w w:val="99"/>
                <w:sz w:val="21"/>
              </w:rPr>
              <w:t>5</w:t>
            </w:r>
          </w:p>
        </w:tc>
        <w:tc>
          <w:tcPr>
            <w:tcW w:w="689" w:type="dxa"/>
          </w:tcPr>
          <w:p>
            <w:pPr>
              <w:pStyle w:val="19"/>
              <w:spacing w:before="49"/>
              <w:ind w:left="292"/>
              <w:jc w:val="left"/>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821" w:type="dxa"/>
            <w:gridSpan w:val="2"/>
          </w:tcPr>
          <w:p>
            <w:pPr>
              <w:pStyle w:val="19"/>
              <w:spacing w:line="237" w:lineRule="exact"/>
              <w:ind w:left="107" w:right="-15"/>
              <w:jc w:val="left"/>
              <w:rPr>
                <w:sz w:val="21"/>
              </w:rPr>
            </w:pPr>
            <w:r>
              <w:rPr>
                <w:rFonts w:ascii="Times New Roman" w:hAnsi="Times New Roman" w:eastAsia="Times New Roman"/>
                <w:w w:val="95"/>
                <w:position w:val="7"/>
                <w:sz w:val="13"/>
              </w:rPr>
              <w:t>a</w:t>
            </w:r>
            <w:r>
              <w:rPr>
                <w:w w:val="95"/>
                <w:sz w:val="21"/>
              </w:rPr>
              <w:t>高温指工艺温度≥</w:t>
            </w:r>
            <w:r>
              <w:rPr>
                <w:rFonts w:ascii="Times New Roman" w:hAnsi="Times New Roman" w:eastAsia="Times New Roman"/>
                <w:w w:val="95"/>
                <w:sz w:val="21"/>
              </w:rPr>
              <w:t>300</w:t>
            </w:r>
            <w:r>
              <w:rPr>
                <w:spacing w:val="-1"/>
                <w:w w:val="95"/>
                <w:sz w:val="21"/>
              </w:rPr>
              <w:t>℃，高压指压力容器的设计压力</w:t>
            </w:r>
            <w:r>
              <w:rPr>
                <w:w w:val="95"/>
                <w:sz w:val="21"/>
              </w:rPr>
              <w:t>（</w:t>
            </w:r>
            <w:r>
              <w:rPr>
                <w:rFonts w:ascii="Times New Roman" w:hAnsi="Times New Roman" w:eastAsia="Times New Roman"/>
                <w:w w:val="95"/>
                <w:sz w:val="21"/>
              </w:rPr>
              <w:t>P</w:t>
            </w:r>
            <w:r>
              <w:rPr>
                <w:w w:val="95"/>
                <w:sz w:val="21"/>
              </w:rPr>
              <w:t>）≥</w:t>
            </w:r>
            <w:r>
              <w:rPr>
                <w:rFonts w:ascii="Times New Roman" w:hAnsi="Times New Roman" w:eastAsia="Times New Roman"/>
                <w:w w:val="95"/>
                <w:sz w:val="21"/>
              </w:rPr>
              <w:t>10.0MPa</w:t>
            </w:r>
            <w:r>
              <w:rPr>
                <w:w w:val="95"/>
                <w:sz w:val="21"/>
              </w:rPr>
              <w:t>；</w:t>
            </w:r>
          </w:p>
          <w:p>
            <w:pPr>
              <w:pStyle w:val="19"/>
              <w:spacing w:line="223" w:lineRule="exact"/>
              <w:ind w:left="107"/>
              <w:jc w:val="left"/>
              <w:rPr>
                <w:sz w:val="21"/>
              </w:rPr>
            </w:pPr>
            <w:r>
              <w:rPr>
                <w:rFonts w:ascii="Times New Roman" w:eastAsia="Times New Roman"/>
                <w:position w:val="7"/>
                <w:sz w:val="13"/>
              </w:rPr>
              <w:t>b</w:t>
            </w:r>
            <w:r>
              <w:rPr>
                <w:sz w:val="21"/>
              </w:rPr>
              <w:t>长输管道运输项目应按站场、管线分段进行评价。</w:t>
            </w:r>
          </w:p>
        </w:tc>
        <w:tc>
          <w:tcPr>
            <w:tcW w:w="943" w:type="dxa"/>
          </w:tcPr>
          <w:p>
            <w:pPr>
              <w:pStyle w:val="19"/>
              <w:spacing w:before="119"/>
              <w:ind w:left="6"/>
              <w:rPr>
                <w:rFonts w:ascii="Times New Roman"/>
                <w:sz w:val="21"/>
              </w:rPr>
            </w:pPr>
            <w:r>
              <w:rPr>
                <w:rFonts w:ascii="Times New Roman"/>
                <w:w w:val="99"/>
                <w:sz w:val="21"/>
              </w:rPr>
              <w:t>/</w:t>
            </w:r>
          </w:p>
        </w:tc>
        <w:tc>
          <w:tcPr>
            <w:tcW w:w="689" w:type="dxa"/>
          </w:tcPr>
          <w:p>
            <w:pPr>
              <w:pStyle w:val="19"/>
              <w:spacing w:before="119"/>
              <w:ind w:left="313"/>
              <w:jc w:val="left"/>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7" w:type="dxa"/>
          </w:tcPr>
          <w:p>
            <w:pPr>
              <w:pStyle w:val="19"/>
              <w:spacing w:before="35"/>
              <w:ind w:left="107"/>
              <w:jc w:val="left"/>
              <w:rPr>
                <w:sz w:val="21"/>
              </w:rPr>
            </w:pPr>
            <w:r>
              <w:rPr>
                <w:sz w:val="21"/>
              </w:rPr>
              <w:t>合计分值确定</w:t>
            </w:r>
          </w:p>
        </w:tc>
        <w:tc>
          <w:tcPr>
            <w:tcW w:w="4964" w:type="dxa"/>
          </w:tcPr>
          <w:p>
            <w:pPr>
              <w:pStyle w:val="19"/>
              <w:jc w:val="left"/>
              <w:rPr>
                <w:rFonts w:ascii="Times New Roman"/>
                <w:sz w:val="22"/>
              </w:rPr>
            </w:pPr>
          </w:p>
        </w:tc>
        <w:tc>
          <w:tcPr>
            <w:tcW w:w="943" w:type="dxa"/>
          </w:tcPr>
          <w:p>
            <w:pPr>
              <w:pStyle w:val="19"/>
              <w:spacing w:before="49"/>
              <w:ind w:left="86" w:right="78"/>
              <w:rPr>
                <w:rFonts w:ascii="Times New Roman"/>
                <w:sz w:val="21"/>
              </w:rPr>
            </w:pPr>
            <w:r>
              <w:rPr>
                <w:rFonts w:ascii="Times New Roman"/>
                <w:sz w:val="21"/>
              </w:rPr>
              <w:t>--</w:t>
            </w:r>
          </w:p>
        </w:tc>
        <w:tc>
          <w:tcPr>
            <w:tcW w:w="689" w:type="dxa"/>
          </w:tcPr>
          <w:p>
            <w:pPr>
              <w:pStyle w:val="19"/>
              <w:spacing w:before="49"/>
              <w:ind w:left="292"/>
              <w:jc w:val="left"/>
              <w:rPr>
                <w:rFonts w:ascii="Times New Roman"/>
                <w:sz w:val="21"/>
              </w:rPr>
            </w:pPr>
            <w:r>
              <w:rPr>
                <w:rFonts w:ascii="Times New Roman"/>
                <w:w w:val="99"/>
                <w:sz w:val="21"/>
              </w:rPr>
              <w:t>0</w:t>
            </w:r>
          </w:p>
        </w:tc>
      </w:tr>
    </w:tbl>
    <w:p>
      <w:pPr>
        <w:pStyle w:val="7"/>
        <w:spacing w:before="9"/>
        <w:ind w:left="0"/>
        <w:rPr>
          <w:b/>
          <w:sz w:val="12"/>
        </w:rPr>
      </w:pPr>
    </w:p>
    <w:p>
      <w:pPr>
        <w:pStyle w:val="7"/>
        <w:spacing w:before="74" w:line="364" w:lineRule="auto"/>
        <w:ind w:right="464" w:firstLine="480"/>
      </w:pPr>
      <w:r>
        <w:rPr>
          <w:spacing w:val="-16"/>
        </w:rPr>
        <w:t>根据表</w:t>
      </w:r>
      <w:r>
        <w:rPr>
          <w:rFonts w:ascii="Times New Roman" w:hAnsi="Times New Roman" w:eastAsia="Times New Roman"/>
        </w:rPr>
        <w:t>5.2-14</w:t>
      </w:r>
      <w:r>
        <w:rPr>
          <w:spacing w:val="-1"/>
        </w:rPr>
        <w:t>判定，本项目为畜禽养殖项目，不属于“石化、化工、医药、</w:t>
      </w:r>
      <w:r>
        <w:t>轻工、化纤、有色冶炼等”、“管道、港口</w:t>
      </w:r>
      <w:r>
        <w:rPr>
          <w:rFonts w:ascii="Times New Roman" w:hAnsi="Times New Roman" w:eastAsia="Times New Roman"/>
        </w:rPr>
        <w:t>/</w:t>
      </w:r>
      <w:r>
        <w:t>码头等”和“石油天然气”行业，</w:t>
      </w:r>
      <w:r>
        <w:rPr>
          <w:spacing w:val="-3"/>
        </w:rPr>
        <w:t>同时，本想不涉及危险物质的使用和储存，综合判定为</w:t>
      </w:r>
      <w:r>
        <w:rPr>
          <w:rFonts w:ascii="Times New Roman" w:hAnsi="Times New Roman" w:eastAsia="Times New Roman"/>
        </w:rPr>
        <w:t>M=0</w:t>
      </w:r>
      <w:r>
        <w:t>。</w:t>
      </w:r>
    </w:p>
    <w:p>
      <w:pPr>
        <w:pStyle w:val="7"/>
        <w:spacing w:before="2"/>
        <w:ind w:left="1020"/>
      </w:pPr>
      <w:r>
        <w:t>③危险物质及工艺系统危险性（</w:t>
      </w:r>
      <w:r>
        <w:rPr>
          <w:rFonts w:ascii="Times New Roman" w:hAnsi="Times New Roman" w:eastAsia="Times New Roman"/>
        </w:rPr>
        <w:t>P</w:t>
      </w:r>
      <w:r>
        <w:t>）分级</w:t>
      </w:r>
    </w:p>
    <w:p>
      <w:pPr>
        <w:pStyle w:val="7"/>
        <w:spacing w:before="160" w:line="364" w:lineRule="auto"/>
        <w:ind w:right="455" w:firstLine="480"/>
      </w:pPr>
      <w:r>
        <w:rPr>
          <w:spacing w:val="-31"/>
        </w:rPr>
        <w:t>表</w:t>
      </w:r>
      <w:r>
        <w:rPr>
          <w:rFonts w:ascii="Times New Roman" w:hAnsi="Times New Roman" w:eastAsia="Times New Roman"/>
        </w:rPr>
        <w:t>5.2-12</w:t>
      </w:r>
      <w:r>
        <w:rPr>
          <w:spacing w:val="-15"/>
        </w:rPr>
        <w:t>适用于</w:t>
      </w:r>
      <w:r>
        <w:rPr>
          <w:rFonts w:ascii="Times New Roman" w:hAnsi="Times New Roman" w:eastAsia="Times New Roman"/>
        </w:rPr>
        <w:t>Q</w:t>
      </w:r>
      <w:r>
        <w:rPr>
          <w:spacing w:val="-10"/>
        </w:rPr>
        <w:t>值至少满足</w:t>
      </w:r>
      <w:r>
        <w:rPr>
          <w:rFonts w:ascii="Times New Roman" w:hAnsi="Times New Roman" w:eastAsia="Times New Roman"/>
        </w:rPr>
        <w:t>1</w:t>
      </w:r>
      <w:r>
        <w:t>≤</w:t>
      </w:r>
      <w:r>
        <w:rPr>
          <w:rFonts w:ascii="Times New Roman" w:hAnsi="Times New Roman" w:eastAsia="Times New Roman"/>
        </w:rPr>
        <w:t>Q</w:t>
      </w:r>
      <w:r>
        <w:t>＜</w:t>
      </w:r>
      <w:r>
        <w:rPr>
          <w:rFonts w:ascii="Times New Roman" w:hAnsi="Times New Roman" w:eastAsia="Times New Roman"/>
        </w:rPr>
        <w:t>10</w:t>
      </w:r>
      <w:r>
        <w:rPr>
          <w:spacing w:val="-22"/>
        </w:rPr>
        <w:t>情况下，结合</w:t>
      </w:r>
      <w:r>
        <w:rPr>
          <w:rFonts w:ascii="Times New Roman" w:hAnsi="Times New Roman" w:eastAsia="Times New Roman"/>
        </w:rPr>
        <w:t>M</w:t>
      </w:r>
      <w:r>
        <w:rPr>
          <w:spacing w:val="-15"/>
        </w:rPr>
        <w:t>值进行</w:t>
      </w:r>
      <w:r>
        <w:rPr>
          <w:rFonts w:ascii="Times New Roman" w:hAnsi="Times New Roman" w:eastAsia="Times New Roman"/>
        </w:rPr>
        <w:t>P</w:t>
      </w:r>
      <w:r>
        <w:rPr>
          <w:spacing w:val="-4"/>
        </w:rPr>
        <w:t>值判定。</w:t>
      </w:r>
      <w:r>
        <w:rPr>
          <w:spacing w:val="-2"/>
        </w:rPr>
        <w:t>本项目不对氨和硫化氢进行储存，</w:t>
      </w:r>
      <w:r>
        <w:rPr>
          <w:rFonts w:ascii="Times New Roman" w:hAnsi="Times New Roman" w:eastAsia="Times New Roman"/>
          <w:spacing w:val="-6"/>
        </w:rPr>
        <w:t>Q</w:t>
      </w:r>
      <w:r>
        <w:rPr>
          <w:spacing w:val="-6"/>
        </w:rPr>
        <w:t>＜</w:t>
      </w:r>
      <w:r>
        <w:rPr>
          <w:rFonts w:ascii="Times New Roman" w:hAnsi="Times New Roman" w:eastAsia="Times New Roman"/>
          <w:spacing w:val="-6"/>
        </w:rPr>
        <w:t>1</w:t>
      </w:r>
      <w:r>
        <w:rPr>
          <w:spacing w:val="-6"/>
        </w:rPr>
        <w:t>；</w:t>
      </w:r>
      <w:r>
        <w:rPr>
          <w:rFonts w:ascii="Times New Roman" w:hAnsi="Times New Roman" w:eastAsia="Times New Roman"/>
          <w:spacing w:val="-6"/>
        </w:rPr>
        <w:t>M=0</w:t>
      </w:r>
      <w:r>
        <w:rPr>
          <w:spacing w:val="-14"/>
        </w:rPr>
        <w:t>，不满足</w:t>
      </w:r>
      <w:r>
        <w:rPr>
          <w:rFonts w:ascii="Times New Roman" w:hAnsi="Times New Roman" w:eastAsia="Times New Roman"/>
        </w:rPr>
        <w:t>1</w:t>
      </w:r>
      <w:r>
        <w:t>≤</w:t>
      </w:r>
      <w:r>
        <w:rPr>
          <w:rFonts w:ascii="Times New Roman" w:hAnsi="Times New Roman" w:eastAsia="Times New Roman"/>
        </w:rPr>
        <w:t>Q</w:t>
      </w:r>
      <w:r>
        <w:t>＜</w:t>
      </w:r>
      <w:r>
        <w:rPr>
          <w:rFonts w:ascii="Times New Roman" w:hAnsi="Times New Roman" w:eastAsia="Times New Roman"/>
        </w:rPr>
        <w:t>10</w:t>
      </w:r>
      <w:r>
        <w:rPr>
          <w:spacing w:val="-4"/>
        </w:rPr>
        <w:t>情况，无法根</w:t>
      </w:r>
      <w:r>
        <w:rPr>
          <w:spacing w:val="-23"/>
        </w:rPr>
        <w:t>据表</w:t>
      </w:r>
      <w:r>
        <w:rPr>
          <w:rFonts w:ascii="Times New Roman" w:hAnsi="Times New Roman" w:eastAsia="Times New Roman"/>
        </w:rPr>
        <w:t>5.2-12</w:t>
      </w:r>
      <w:r>
        <w:rPr>
          <w:spacing w:val="-20"/>
        </w:rPr>
        <w:t>判定</w:t>
      </w:r>
      <w:r>
        <w:rPr>
          <w:rFonts w:ascii="Times New Roman" w:hAnsi="Times New Roman" w:eastAsia="Times New Roman"/>
        </w:rPr>
        <w:t>P</w:t>
      </w:r>
      <w:r>
        <w:t>值。</w:t>
      </w:r>
    </w:p>
    <w:p>
      <w:pPr>
        <w:pStyle w:val="7"/>
        <w:spacing w:before="2" w:line="364" w:lineRule="auto"/>
        <w:ind w:right="457" w:firstLine="480"/>
      </w:pPr>
      <w:r>
        <w:rPr>
          <w:spacing w:val="-30"/>
        </w:rPr>
        <w:t>当</w:t>
      </w:r>
      <w:r>
        <w:rPr>
          <w:rFonts w:ascii="Times New Roman" w:hAnsi="Times New Roman" w:eastAsia="Times New Roman"/>
        </w:rPr>
        <w:t>Q</w:t>
      </w:r>
      <w:r>
        <w:t>＜</w:t>
      </w:r>
      <w:r>
        <w:rPr>
          <w:rFonts w:ascii="Times New Roman" w:hAnsi="Times New Roman" w:eastAsia="Times New Roman"/>
        </w:rPr>
        <w:t>1</w:t>
      </w:r>
      <w:r>
        <w:rPr>
          <w:spacing w:val="-5"/>
        </w:rPr>
        <w:t>时，该项目环境风险潜势为Ⅰ。因此，可直接判定本项目环境风险</w:t>
      </w:r>
      <w:r>
        <w:rPr>
          <w:spacing w:val="-10"/>
        </w:rPr>
        <w:t>潜势为Ⅰ。无需再根据环境风险受体敏感程度</w:t>
      </w:r>
      <w:r>
        <w:rPr>
          <w:spacing w:val="-14"/>
        </w:rPr>
        <w:t>（</w:t>
      </w:r>
      <w:r>
        <w:rPr>
          <w:rFonts w:ascii="Times New Roman" w:hAnsi="Times New Roman" w:eastAsia="Times New Roman"/>
          <w:spacing w:val="-14"/>
        </w:rPr>
        <w:t>E</w:t>
      </w:r>
      <w:r>
        <w:rPr>
          <w:spacing w:val="-14"/>
        </w:rPr>
        <w:t>）</w:t>
      </w:r>
      <w:r>
        <w:rPr>
          <w:spacing w:val="-2"/>
        </w:rPr>
        <w:t>评估结果判定环境风险潜势。</w:t>
      </w:r>
    </w:p>
    <w:p>
      <w:pPr>
        <w:pStyle w:val="18"/>
        <w:numPr>
          <w:ilvl w:val="3"/>
          <w:numId w:val="58"/>
        </w:numPr>
        <w:tabs>
          <w:tab w:val="left" w:pos="1320"/>
        </w:tabs>
        <w:spacing w:before="11" w:after="0" w:line="240" w:lineRule="auto"/>
        <w:ind w:left="1320" w:right="0" w:hanging="780"/>
        <w:jc w:val="left"/>
        <w:rPr>
          <w:sz w:val="24"/>
        </w:rPr>
      </w:pPr>
      <w:bookmarkStart w:id="334" w:name="5.2.7.6 评价等级和评价范围"/>
      <w:bookmarkEnd w:id="334"/>
      <w:bookmarkStart w:id="335" w:name="5.2.7.6 评价等级和评价范围"/>
      <w:bookmarkEnd w:id="335"/>
      <w:r>
        <w:rPr>
          <w:sz w:val="24"/>
        </w:rPr>
        <w:t>评价等级和评价范围</w:t>
      </w:r>
    </w:p>
    <w:p>
      <w:pPr>
        <w:pStyle w:val="18"/>
        <w:numPr>
          <w:ilvl w:val="4"/>
          <w:numId w:val="58"/>
        </w:numPr>
        <w:tabs>
          <w:tab w:val="left" w:pos="1621"/>
        </w:tabs>
        <w:spacing w:before="167" w:after="0" w:line="240" w:lineRule="auto"/>
        <w:ind w:left="1621" w:right="0" w:hanging="601"/>
        <w:jc w:val="left"/>
        <w:rPr>
          <w:sz w:val="24"/>
        </w:rPr>
      </w:pPr>
      <w:r>
        <w:rPr>
          <w:sz w:val="24"/>
        </w:rPr>
        <w:t>环境风险评价等级</w:t>
      </w:r>
    </w:p>
    <w:p>
      <w:pPr>
        <w:pStyle w:val="7"/>
        <w:spacing w:before="161" w:line="364" w:lineRule="auto"/>
        <w:ind w:right="575" w:firstLine="480"/>
        <w:jc w:val="both"/>
      </w:pPr>
      <w:r>
        <w:t>根据《建设项目环境风险评价技术导则》（</w:t>
      </w:r>
      <w:r>
        <w:rPr>
          <w:rFonts w:ascii="Times New Roman" w:eastAsia="Times New Roman"/>
        </w:rPr>
        <w:t>HJ</w:t>
      </w:r>
      <w:r>
        <w:rPr>
          <w:rFonts w:ascii="Times New Roman" w:eastAsia="Times New Roman"/>
          <w:spacing w:val="28"/>
        </w:rPr>
        <w:t xml:space="preserve"> </w:t>
      </w:r>
      <w:r>
        <w:rPr>
          <w:rFonts w:ascii="Times New Roman" w:eastAsia="Times New Roman"/>
        </w:rPr>
        <w:t>169-2018</w:t>
      </w:r>
      <w:r>
        <w:t>），按风险潜势及</w:t>
      </w:r>
      <w:r>
        <w:rPr>
          <w:spacing w:val="-6"/>
        </w:rPr>
        <w:t>环境敏感地区条件进行各物质评价工作等级划分，环境风险评价工作等级划分为</w:t>
      </w:r>
      <w:r>
        <w:rPr>
          <w:spacing w:val="-12"/>
        </w:rPr>
        <w:t>一级、二级、三级。根据建设项目涉及的物质及工艺系统危险性和所在地的环境</w:t>
      </w:r>
      <w:r>
        <w:rPr>
          <w:spacing w:val="-4"/>
        </w:rPr>
        <w:t>敏感性确定环境风险潜势，按照表</w:t>
      </w:r>
      <w:r>
        <w:rPr>
          <w:rFonts w:ascii="Times New Roman" w:eastAsia="Times New Roman"/>
        </w:rPr>
        <w:t>5.2-15</w:t>
      </w:r>
      <w:r>
        <w:t>确定评价工作等级。</w:t>
      </w:r>
    </w:p>
    <w:p>
      <w:pPr>
        <w:pStyle w:val="7"/>
        <w:spacing w:before="2" w:line="364" w:lineRule="auto"/>
        <w:ind w:right="577" w:firstLine="480"/>
      </w:pPr>
      <w:r>
        <w:rPr>
          <w:spacing w:val="-9"/>
        </w:rPr>
        <w:t>风险潜势为Ⅳ及以上，进行一级评价；风险潜势为Ⅲ，进行二级评价；风险</w:t>
      </w:r>
      <w:r>
        <w:t>潜势为Ⅱ，进行三级评价；风险潜势为Ⅰ，可开展简单分析。</w:t>
      </w:r>
    </w:p>
    <w:p>
      <w:pPr>
        <w:pStyle w:val="7"/>
        <w:bidi w:val="0"/>
        <w:jc w:val="center"/>
      </w:pPr>
      <w:r>
        <w:t>表</w:t>
      </w:r>
      <w:r>
        <w:rPr>
          <w:rFonts w:ascii="Times New Roman" w:eastAsia="Times New Roman"/>
        </w:rPr>
        <w:t>5.2-15</w:t>
      </w:r>
      <w:r>
        <w:rPr>
          <w:rFonts w:ascii="Times New Roman" w:eastAsia="Times New Roman"/>
        </w:rPr>
        <w:tab/>
      </w:r>
      <w:r>
        <w:rPr>
          <w:w w:val="95"/>
        </w:rPr>
        <w:t>环境风险评价工作等级划分</w:t>
      </w:r>
    </w:p>
    <w:tbl>
      <w:tblPr>
        <w:tblStyle w:val="15"/>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0"/>
        <w:gridCol w:w="1712"/>
        <w:gridCol w:w="1712"/>
        <w:gridCol w:w="1712"/>
        <w:gridCol w:w="1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0" w:type="dxa"/>
          </w:tcPr>
          <w:p>
            <w:pPr>
              <w:pStyle w:val="19"/>
              <w:spacing w:before="33"/>
              <w:ind w:left="95" w:right="89"/>
              <w:rPr>
                <w:sz w:val="21"/>
              </w:rPr>
            </w:pPr>
            <w:r>
              <w:rPr>
                <w:sz w:val="21"/>
              </w:rPr>
              <w:t>环境风险潜势</w:t>
            </w:r>
          </w:p>
        </w:tc>
        <w:tc>
          <w:tcPr>
            <w:tcW w:w="1712" w:type="dxa"/>
          </w:tcPr>
          <w:p>
            <w:pPr>
              <w:pStyle w:val="19"/>
              <w:spacing w:before="33"/>
              <w:ind w:left="334" w:right="323"/>
              <w:rPr>
                <w:rFonts w:ascii="Times New Roman" w:eastAsia="Times New Roman"/>
                <w:sz w:val="21"/>
              </w:rPr>
            </w:pPr>
            <w:r>
              <w:rPr>
                <w:rFonts w:ascii="Times New Roman" w:eastAsia="Times New Roman"/>
                <w:sz w:val="21"/>
              </w:rPr>
              <w:t>IV</w:t>
            </w:r>
            <w:r>
              <w:rPr>
                <w:sz w:val="21"/>
              </w:rPr>
              <w:t>、</w:t>
            </w:r>
            <w:r>
              <w:rPr>
                <w:rFonts w:ascii="Times New Roman" w:eastAsia="Times New Roman"/>
                <w:sz w:val="21"/>
              </w:rPr>
              <w:t>IV+</w:t>
            </w:r>
          </w:p>
        </w:tc>
        <w:tc>
          <w:tcPr>
            <w:tcW w:w="1712" w:type="dxa"/>
          </w:tcPr>
          <w:p>
            <w:pPr>
              <w:pStyle w:val="19"/>
              <w:spacing w:before="33"/>
              <w:ind w:left="9"/>
              <w:rPr>
                <w:sz w:val="21"/>
              </w:rPr>
            </w:pPr>
            <w:r>
              <w:rPr>
                <w:w w:val="99"/>
                <w:sz w:val="21"/>
              </w:rPr>
              <w:t>Ⅲ</w:t>
            </w:r>
          </w:p>
        </w:tc>
        <w:tc>
          <w:tcPr>
            <w:tcW w:w="1712" w:type="dxa"/>
          </w:tcPr>
          <w:p>
            <w:pPr>
              <w:pStyle w:val="19"/>
              <w:spacing w:before="33"/>
              <w:ind w:left="8"/>
              <w:rPr>
                <w:sz w:val="21"/>
              </w:rPr>
            </w:pPr>
            <w:r>
              <w:rPr>
                <w:w w:val="99"/>
                <w:sz w:val="21"/>
              </w:rPr>
              <w:t>Ⅱ</w:t>
            </w:r>
          </w:p>
        </w:tc>
        <w:tc>
          <w:tcPr>
            <w:tcW w:w="1712" w:type="dxa"/>
          </w:tcPr>
          <w:p>
            <w:pPr>
              <w:pStyle w:val="19"/>
              <w:spacing w:before="33"/>
              <w:ind w:left="6"/>
              <w:rPr>
                <w:sz w:val="21"/>
              </w:rPr>
            </w:pPr>
            <w:r>
              <w:rPr>
                <w:w w:val="99"/>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0" w:type="dxa"/>
          </w:tcPr>
          <w:p>
            <w:pPr>
              <w:pStyle w:val="19"/>
              <w:spacing w:before="34"/>
              <w:ind w:left="95" w:right="89"/>
              <w:rPr>
                <w:sz w:val="21"/>
              </w:rPr>
            </w:pPr>
            <w:r>
              <w:rPr>
                <w:sz w:val="21"/>
              </w:rPr>
              <w:t>评价工作等级</w:t>
            </w:r>
          </w:p>
        </w:tc>
        <w:tc>
          <w:tcPr>
            <w:tcW w:w="1712" w:type="dxa"/>
          </w:tcPr>
          <w:p>
            <w:pPr>
              <w:pStyle w:val="19"/>
              <w:spacing w:before="34"/>
              <w:ind w:left="6"/>
              <w:rPr>
                <w:sz w:val="21"/>
              </w:rPr>
            </w:pPr>
            <w:r>
              <w:rPr>
                <w:w w:val="99"/>
                <w:sz w:val="21"/>
              </w:rPr>
              <w:t>一</w:t>
            </w:r>
          </w:p>
        </w:tc>
        <w:tc>
          <w:tcPr>
            <w:tcW w:w="1712" w:type="dxa"/>
          </w:tcPr>
          <w:p>
            <w:pPr>
              <w:pStyle w:val="19"/>
              <w:spacing w:before="34"/>
              <w:ind w:left="9"/>
              <w:rPr>
                <w:sz w:val="21"/>
              </w:rPr>
            </w:pPr>
            <w:r>
              <w:rPr>
                <w:w w:val="99"/>
                <w:sz w:val="21"/>
              </w:rPr>
              <w:t>二</w:t>
            </w:r>
          </w:p>
        </w:tc>
        <w:tc>
          <w:tcPr>
            <w:tcW w:w="1712" w:type="dxa"/>
          </w:tcPr>
          <w:p>
            <w:pPr>
              <w:pStyle w:val="19"/>
              <w:spacing w:before="34"/>
              <w:ind w:left="8"/>
              <w:rPr>
                <w:sz w:val="21"/>
              </w:rPr>
            </w:pPr>
            <w:r>
              <w:rPr>
                <w:w w:val="99"/>
                <w:sz w:val="21"/>
              </w:rPr>
              <w:t>三</w:t>
            </w:r>
          </w:p>
        </w:tc>
        <w:tc>
          <w:tcPr>
            <w:tcW w:w="1712" w:type="dxa"/>
          </w:tcPr>
          <w:p>
            <w:pPr>
              <w:pStyle w:val="19"/>
              <w:spacing w:before="34"/>
              <w:ind w:left="334" w:right="325"/>
              <w:rPr>
                <w:rFonts w:ascii="Times New Roman" w:eastAsia="Times New Roman"/>
                <w:sz w:val="13"/>
              </w:rPr>
            </w:pPr>
            <w:r>
              <w:rPr>
                <w:sz w:val="21"/>
              </w:rPr>
              <w:t>简单分析</w:t>
            </w:r>
            <w:r>
              <w:rPr>
                <w:rFonts w:ascii="Times New Roman" w:eastAsia="Times New Roman"/>
                <w:position w:val="7"/>
                <w:sz w:val="13"/>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98" w:type="dxa"/>
            <w:gridSpan w:val="5"/>
          </w:tcPr>
          <w:p>
            <w:pPr>
              <w:pStyle w:val="19"/>
              <w:spacing w:line="236" w:lineRule="exact"/>
              <w:ind w:left="107"/>
              <w:jc w:val="left"/>
              <w:rPr>
                <w:sz w:val="21"/>
              </w:rPr>
            </w:pPr>
            <w:r>
              <w:rPr>
                <w:rFonts w:ascii="Times New Roman" w:eastAsia="Times New Roman"/>
                <w:sz w:val="21"/>
              </w:rPr>
              <w:t>a</w:t>
            </w:r>
            <w:r>
              <w:rPr>
                <w:sz w:val="21"/>
              </w:rPr>
              <w:t>是相对于详细评价工作内容而言，在描述危险物质、环境影响途径、环境危险后果、风险</w:t>
            </w:r>
          </w:p>
          <w:p>
            <w:pPr>
              <w:pStyle w:val="19"/>
              <w:spacing w:line="224" w:lineRule="exact"/>
              <w:ind w:left="107"/>
              <w:jc w:val="left"/>
              <w:rPr>
                <w:sz w:val="21"/>
              </w:rPr>
            </w:pPr>
            <w:r>
              <w:rPr>
                <w:sz w:val="21"/>
              </w:rPr>
              <w:t>防范措施等方面给出定性的说明。</w:t>
            </w:r>
          </w:p>
        </w:tc>
      </w:tr>
    </w:tbl>
    <w:p>
      <w:pPr>
        <w:pStyle w:val="7"/>
        <w:spacing w:before="6"/>
        <w:ind w:left="0"/>
        <w:rPr>
          <w:b/>
          <w:sz w:val="18"/>
        </w:rPr>
      </w:pPr>
    </w:p>
    <w:p>
      <w:pPr>
        <w:pStyle w:val="7"/>
        <w:ind w:left="1020"/>
      </w:pPr>
      <w:r>
        <w:t>由上述分析可知，本项目环境风险潜势为Ⅰ，对环境风险做简单分析即可。</w:t>
      </w:r>
    </w:p>
    <w:p>
      <w:pPr>
        <w:pStyle w:val="18"/>
        <w:numPr>
          <w:ilvl w:val="4"/>
          <w:numId w:val="58"/>
        </w:numPr>
        <w:tabs>
          <w:tab w:val="left" w:pos="1621"/>
        </w:tabs>
        <w:spacing w:before="161" w:after="0" w:line="240" w:lineRule="auto"/>
        <w:ind w:left="1621" w:right="0" w:hanging="601"/>
        <w:jc w:val="left"/>
        <w:rPr>
          <w:sz w:val="24"/>
        </w:rPr>
      </w:pPr>
      <w:r>
        <w:rPr>
          <w:sz w:val="24"/>
        </w:rPr>
        <w:t>环境风险评价范围</w:t>
      </w:r>
    </w:p>
    <w:p>
      <w:pPr>
        <w:pStyle w:val="7"/>
        <w:spacing w:before="160" w:line="364" w:lineRule="auto"/>
        <w:ind w:right="577" w:firstLine="480"/>
      </w:pPr>
      <w:r>
        <w:rPr>
          <w:spacing w:val="-10"/>
        </w:rPr>
        <w:t>根据导则要求，大气环境风险评价范围：一级、二级评价距建设项目边界一</w:t>
      </w:r>
      <w:r>
        <w:rPr>
          <w:spacing w:val="-13"/>
        </w:rPr>
        <w:t>般不低于</w:t>
      </w:r>
      <w:r>
        <w:rPr>
          <w:rFonts w:ascii="Times New Roman" w:eastAsia="Times New Roman"/>
        </w:rPr>
        <w:t>5km</w:t>
      </w:r>
      <w:r>
        <w:rPr>
          <w:spacing w:val="-4"/>
        </w:rPr>
        <w:t>；三级评价距建设项目边界一般不低于</w:t>
      </w:r>
      <w:r>
        <w:rPr>
          <w:rFonts w:ascii="Times New Roman" w:eastAsia="Times New Roman"/>
        </w:rPr>
        <w:t>3km</w:t>
      </w:r>
      <w:r>
        <w:t>。</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ind w:left="1020"/>
      </w:pPr>
      <w:r>
        <w:t>因此，本项目环境风险评价范围：</w:t>
      </w:r>
    </w:p>
    <w:p>
      <w:pPr>
        <w:pStyle w:val="7"/>
        <w:spacing w:before="160"/>
        <w:ind w:left="1020"/>
      </w:pPr>
      <w:r>
        <w:t>①大气：距离项目边界</w:t>
      </w:r>
      <w:r>
        <w:rPr>
          <w:rFonts w:ascii="Times New Roman" w:hAnsi="Times New Roman" w:eastAsia="Times New Roman"/>
        </w:rPr>
        <w:t>3km</w:t>
      </w:r>
      <w:r>
        <w:t>的矩形范围。</w:t>
      </w:r>
    </w:p>
    <w:p>
      <w:pPr>
        <w:pStyle w:val="7"/>
        <w:spacing w:before="161"/>
        <w:ind w:left="1020"/>
      </w:pPr>
      <w:r>
        <w:t>②地下水环境：厂址所属范围内的地下水以及下游区域内的地下水。</w:t>
      </w:r>
    </w:p>
    <w:p>
      <w:pPr>
        <w:pStyle w:val="18"/>
        <w:numPr>
          <w:ilvl w:val="3"/>
          <w:numId w:val="58"/>
        </w:numPr>
        <w:tabs>
          <w:tab w:val="left" w:pos="1320"/>
        </w:tabs>
        <w:spacing w:before="170" w:after="0" w:line="240" w:lineRule="auto"/>
        <w:ind w:left="1320" w:right="0" w:hanging="780"/>
        <w:jc w:val="left"/>
        <w:rPr>
          <w:sz w:val="24"/>
        </w:rPr>
      </w:pPr>
      <w:bookmarkStart w:id="336" w:name="5.2.7.7 环境风险识别"/>
      <w:bookmarkEnd w:id="336"/>
      <w:bookmarkStart w:id="337" w:name="5.2.7.7 环境风险识别"/>
      <w:bookmarkEnd w:id="337"/>
      <w:r>
        <w:rPr>
          <w:sz w:val="24"/>
        </w:rPr>
        <w:t>环境风险识别</w:t>
      </w:r>
    </w:p>
    <w:p>
      <w:pPr>
        <w:pStyle w:val="7"/>
        <w:spacing w:before="168" w:line="364" w:lineRule="auto"/>
        <w:ind w:right="457" w:firstLine="480"/>
        <w:jc w:val="both"/>
      </w:pPr>
      <w:r>
        <w:rPr>
          <w:spacing w:val="-6"/>
        </w:rPr>
        <w:t>根据《建设项目环境风险评价技术导则》</w:t>
      </w:r>
      <w:r>
        <w:rPr>
          <w:spacing w:val="-3"/>
        </w:rPr>
        <w:t>（</w:t>
      </w:r>
      <w:r>
        <w:rPr>
          <w:rFonts w:ascii="Times New Roman" w:eastAsia="Times New Roman"/>
          <w:spacing w:val="-3"/>
        </w:rPr>
        <w:t>HJ169-2018</w:t>
      </w:r>
      <w:r>
        <w:rPr>
          <w:spacing w:val="-3"/>
        </w:rPr>
        <w:t>），</w:t>
      </w:r>
      <w:r>
        <w:t>确定项目环境风</w:t>
      </w:r>
      <w:r>
        <w:rPr>
          <w:spacing w:val="-8"/>
        </w:rPr>
        <w:t>险识别的原则为：可能发生的突发性事件或事故</w:t>
      </w:r>
      <w:r>
        <w:t>（一般不包括人为破坏及自然灾害</w:t>
      </w:r>
      <w:r>
        <w:rPr>
          <w:spacing w:val="-44"/>
        </w:rPr>
        <w:t>），</w:t>
      </w:r>
      <w:r>
        <w:rPr>
          <w:spacing w:val="-12"/>
        </w:rPr>
        <w:t>引起有毒有害、易燃易爆等物质泄漏对环境造成的影响；选择生产、加工、</w:t>
      </w:r>
      <w:r>
        <w:rPr>
          <w:spacing w:val="-3"/>
        </w:rPr>
        <w:t>运输、使用或贮存中涉及到的主要危险物质，按附录</w:t>
      </w:r>
      <w:r>
        <w:rPr>
          <w:rFonts w:ascii="Times New Roman" w:eastAsia="Times New Roman"/>
        </w:rPr>
        <w:t>B</w:t>
      </w:r>
      <w:r>
        <w:t>，进行物质危险性判断。</w:t>
      </w:r>
    </w:p>
    <w:p>
      <w:pPr>
        <w:pStyle w:val="18"/>
        <w:numPr>
          <w:ilvl w:val="0"/>
          <w:numId w:val="59"/>
        </w:numPr>
        <w:tabs>
          <w:tab w:val="left" w:pos="1621"/>
        </w:tabs>
        <w:spacing w:before="2" w:after="0" w:line="240" w:lineRule="auto"/>
        <w:ind w:left="1621" w:right="0" w:hanging="601"/>
        <w:jc w:val="left"/>
        <w:rPr>
          <w:sz w:val="24"/>
        </w:rPr>
      </w:pPr>
      <w:r>
        <w:rPr>
          <w:sz w:val="24"/>
        </w:rPr>
        <w:t>物质风险识别</w:t>
      </w:r>
    </w:p>
    <w:p>
      <w:pPr>
        <w:pStyle w:val="7"/>
        <w:spacing w:before="160" w:line="364" w:lineRule="auto"/>
        <w:ind w:right="452" w:firstLine="480"/>
        <w:jc w:val="both"/>
      </w:pPr>
      <w:r>
        <w:rPr>
          <w:spacing w:val="-12"/>
        </w:rPr>
        <w:t>根据《建设项目环境风险评价技术导则》</w:t>
      </w:r>
      <w:r>
        <w:rPr>
          <w:spacing w:val="-7"/>
        </w:rPr>
        <w:t>（</w:t>
      </w:r>
      <w:r>
        <w:rPr>
          <w:rFonts w:ascii="Times New Roman" w:eastAsia="Times New Roman"/>
          <w:spacing w:val="-7"/>
        </w:rPr>
        <w:t>HJ169-2018</w:t>
      </w:r>
      <w:r>
        <w:rPr>
          <w:spacing w:val="-7"/>
        </w:rPr>
        <w:t>），</w:t>
      </w:r>
      <w:r>
        <w:rPr>
          <w:spacing w:val="-2"/>
        </w:rPr>
        <w:t>物质危险性识别，</w:t>
      </w:r>
      <w:r>
        <w:rPr>
          <w:spacing w:val="-8"/>
        </w:rPr>
        <w:t>包括主要原辅材料、燃料、中间产品、副产品、最终产品、污染物、火灾和爆炸伴生</w:t>
      </w:r>
      <w:r>
        <w:rPr>
          <w:rFonts w:ascii="Times New Roman" w:eastAsia="Times New Roman"/>
          <w:spacing w:val="-8"/>
        </w:rPr>
        <w:t>/</w:t>
      </w:r>
      <w:r>
        <w:rPr>
          <w:spacing w:val="-10"/>
        </w:rPr>
        <w:t>次生物等。经分析，本项目生产过程中涉及的危险物质主要为氨和硫化氢，</w:t>
      </w:r>
      <w:r>
        <w:rPr>
          <w:spacing w:val="-5"/>
        </w:rPr>
        <w:t>其物化性质和危险特性见表</w:t>
      </w:r>
      <w:r>
        <w:rPr>
          <w:rFonts w:ascii="Times New Roman" w:eastAsia="Times New Roman"/>
        </w:rPr>
        <w:t>5.2-16</w:t>
      </w:r>
      <w:r>
        <w:rPr>
          <w:spacing w:val="-8"/>
        </w:rPr>
        <w:t>。项目生产过程中涉及的危险化学品危险性识</w:t>
      </w:r>
      <w:r>
        <w:rPr>
          <w:spacing w:val="-17"/>
        </w:rPr>
        <w:t>别结果见表</w:t>
      </w:r>
      <w:r>
        <w:rPr>
          <w:rFonts w:ascii="Times New Roman" w:eastAsia="Times New Roman"/>
        </w:rPr>
        <w:t>5.2-17</w:t>
      </w:r>
      <w:r>
        <w:t>。</w:t>
      </w:r>
    </w:p>
    <w:p>
      <w:pPr>
        <w:pStyle w:val="7"/>
        <w:bidi w:val="0"/>
        <w:jc w:val="center"/>
      </w:pPr>
      <w:r>
        <w:t>表</w:t>
      </w:r>
      <w:r>
        <w:rPr>
          <w:rFonts w:ascii="Times New Roman" w:eastAsia="Times New Roman"/>
        </w:rPr>
        <w:t>5.2-16</w:t>
      </w:r>
      <w:r>
        <w:rPr>
          <w:rFonts w:ascii="Times New Roman" w:eastAsia="Times New Roman"/>
        </w:rPr>
        <w:tab/>
      </w:r>
      <w:r>
        <w:rPr>
          <w:w w:val="95"/>
        </w:rPr>
        <w:t>物化性质和危害特性一览表</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2218"/>
        <w:gridCol w:w="5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014" w:type="dxa"/>
          </w:tcPr>
          <w:p>
            <w:pPr>
              <w:pStyle w:val="19"/>
              <w:spacing w:before="16" w:line="304" w:lineRule="exact"/>
              <w:ind w:left="171" w:right="163"/>
              <w:rPr>
                <w:b/>
                <w:sz w:val="24"/>
              </w:rPr>
            </w:pPr>
            <w:r>
              <w:rPr>
                <w:b/>
                <w:sz w:val="24"/>
              </w:rPr>
              <w:t>名称</w:t>
            </w:r>
          </w:p>
        </w:tc>
        <w:tc>
          <w:tcPr>
            <w:tcW w:w="2218" w:type="dxa"/>
          </w:tcPr>
          <w:p>
            <w:pPr>
              <w:pStyle w:val="19"/>
              <w:spacing w:before="16" w:line="304" w:lineRule="exact"/>
              <w:ind w:left="629"/>
              <w:jc w:val="left"/>
              <w:rPr>
                <w:b/>
                <w:sz w:val="24"/>
              </w:rPr>
            </w:pPr>
            <w:r>
              <w:rPr>
                <w:b/>
                <w:sz w:val="24"/>
              </w:rPr>
              <w:t>物化性质</w:t>
            </w:r>
          </w:p>
        </w:tc>
        <w:tc>
          <w:tcPr>
            <w:tcW w:w="5290" w:type="dxa"/>
          </w:tcPr>
          <w:p>
            <w:pPr>
              <w:pStyle w:val="19"/>
              <w:spacing w:before="16" w:line="304" w:lineRule="exact"/>
              <w:ind w:left="2144" w:right="2131"/>
              <w:rPr>
                <w:b/>
                <w:sz w:val="24"/>
              </w:rPr>
            </w:pPr>
            <w:r>
              <w:rPr>
                <w:b/>
                <w:sz w:val="24"/>
              </w:rPr>
              <w:t>危险特性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1014" w:type="dxa"/>
          </w:tcPr>
          <w:p>
            <w:pPr>
              <w:pStyle w:val="19"/>
              <w:jc w:val="left"/>
              <w:rPr>
                <w:b/>
                <w:sz w:val="20"/>
              </w:rPr>
            </w:pPr>
          </w:p>
          <w:p>
            <w:pPr>
              <w:pStyle w:val="19"/>
              <w:spacing w:before="5"/>
              <w:jc w:val="left"/>
              <w:rPr>
                <w:b/>
                <w:sz w:val="25"/>
              </w:rPr>
            </w:pPr>
          </w:p>
          <w:p>
            <w:pPr>
              <w:pStyle w:val="19"/>
              <w:ind w:left="6"/>
              <w:rPr>
                <w:sz w:val="21"/>
              </w:rPr>
            </w:pPr>
            <w:r>
              <w:rPr>
                <w:w w:val="99"/>
                <w:sz w:val="21"/>
              </w:rPr>
              <w:t>氨</w:t>
            </w:r>
          </w:p>
        </w:tc>
        <w:tc>
          <w:tcPr>
            <w:tcW w:w="2218" w:type="dxa"/>
          </w:tcPr>
          <w:p>
            <w:pPr>
              <w:pStyle w:val="19"/>
              <w:spacing w:before="124" w:line="213" w:lineRule="auto"/>
              <w:ind w:left="106" w:right="-15"/>
              <w:jc w:val="left"/>
              <w:rPr>
                <w:sz w:val="21"/>
              </w:rPr>
            </w:pPr>
            <w:r>
              <w:rPr>
                <w:sz w:val="21"/>
              </w:rPr>
              <w:t>无色有刺激性恶臭的气体；熔点</w:t>
            </w:r>
            <w:r>
              <w:rPr>
                <w:rFonts w:ascii="Times New Roman" w:hAnsi="Times New Roman" w:eastAsia="Times New Roman"/>
                <w:sz w:val="21"/>
              </w:rPr>
              <w:t>-77.7</w:t>
            </w:r>
            <w:r>
              <w:rPr>
                <w:sz w:val="21"/>
              </w:rPr>
              <w:t>℃，沸点</w:t>
            </w:r>
            <w:r>
              <w:rPr>
                <w:rFonts w:ascii="Times New Roman" w:hAnsi="Times New Roman" w:eastAsia="Times New Roman"/>
                <w:sz w:val="21"/>
              </w:rPr>
              <w:t>-33.5</w:t>
            </w:r>
            <w:r>
              <w:rPr>
                <w:spacing w:val="-3"/>
                <w:sz w:val="21"/>
              </w:rPr>
              <w:t>℃。溶解性：</w:t>
            </w:r>
            <w:r>
              <w:rPr>
                <w:spacing w:val="-12"/>
                <w:sz w:val="21"/>
              </w:rPr>
              <w:t>易溶于水，溶乙醇、乙醚。</w:t>
            </w:r>
          </w:p>
        </w:tc>
        <w:tc>
          <w:tcPr>
            <w:tcW w:w="5290" w:type="dxa"/>
          </w:tcPr>
          <w:p>
            <w:pPr>
              <w:pStyle w:val="19"/>
              <w:spacing w:before="4" w:line="213" w:lineRule="auto"/>
              <w:ind w:left="108" w:right="98"/>
              <w:jc w:val="left"/>
              <w:rPr>
                <w:sz w:val="21"/>
              </w:rPr>
            </w:pPr>
            <w:r>
              <w:rPr>
                <w:sz w:val="21"/>
              </w:rPr>
              <w:t>健康危害：低浓度氨对粘膜有刺激作用，高浓度可造成组织溶解坏死。危险特性：与空气混合</w:t>
            </w:r>
            <w:r>
              <w:rPr>
                <w:rFonts w:ascii="Times New Roman" w:eastAsia="Times New Roman"/>
                <w:sz w:val="21"/>
              </w:rPr>
              <w:t>,</w:t>
            </w:r>
            <w:r>
              <w:rPr>
                <w:sz w:val="21"/>
              </w:rPr>
              <w:t>含氨量为</w:t>
            </w:r>
            <w:r>
              <w:rPr>
                <w:rFonts w:ascii="Times New Roman" w:eastAsia="Times New Roman"/>
                <w:w w:val="95"/>
                <w:sz w:val="21"/>
              </w:rPr>
              <w:t>15.7%-27.4%</w:t>
            </w:r>
            <w:r>
              <w:rPr>
                <w:spacing w:val="-9"/>
                <w:w w:val="95"/>
                <w:sz w:val="21"/>
              </w:rPr>
              <w:t>时，遇到电焊、气割、气焊、电器线路短路</w:t>
            </w:r>
            <w:r>
              <w:rPr>
                <w:spacing w:val="-9"/>
                <w:sz w:val="21"/>
              </w:rPr>
              <w:t>等产生的明火，高热能，在密闭空间内有爆炸、开裂的危险。与氟、氯等接触会发生剧烈化学反应。遇高热，</w:t>
            </w:r>
          </w:p>
          <w:p>
            <w:pPr>
              <w:pStyle w:val="19"/>
              <w:spacing w:line="218" w:lineRule="exact"/>
              <w:ind w:left="108"/>
              <w:jc w:val="left"/>
              <w:rPr>
                <w:sz w:val="21"/>
              </w:rPr>
            </w:pPr>
            <w:r>
              <w:rPr>
                <w:sz w:val="21"/>
              </w:rPr>
              <w:t>容器内压增大，有开裂和爆炸的危险。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014" w:type="dxa"/>
          </w:tcPr>
          <w:p>
            <w:pPr>
              <w:pStyle w:val="19"/>
              <w:jc w:val="left"/>
              <w:rPr>
                <w:b/>
                <w:sz w:val="20"/>
              </w:rPr>
            </w:pPr>
          </w:p>
          <w:p>
            <w:pPr>
              <w:pStyle w:val="19"/>
              <w:spacing w:before="12"/>
              <w:jc w:val="left"/>
              <w:rPr>
                <w:b/>
                <w:sz w:val="15"/>
              </w:rPr>
            </w:pPr>
          </w:p>
          <w:p>
            <w:pPr>
              <w:pStyle w:val="19"/>
              <w:ind w:left="171" w:right="163"/>
              <w:rPr>
                <w:sz w:val="21"/>
              </w:rPr>
            </w:pPr>
            <w:r>
              <w:rPr>
                <w:sz w:val="21"/>
              </w:rPr>
              <w:t>硫化氢</w:t>
            </w:r>
          </w:p>
        </w:tc>
        <w:tc>
          <w:tcPr>
            <w:tcW w:w="2218" w:type="dxa"/>
          </w:tcPr>
          <w:p>
            <w:pPr>
              <w:pStyle w:val="19"/>
              <w:spacing w:before="124" w:line="213" w:lineRule="auto"/>
              <w:ind w:left="106" w:right="1"/>
              <w:jc w:val="left"/>
              <w:rPr>
                <w:sz w:val="21"/>
              </w:rPr>
            </w:pPr>
            <w:r>
              <w:rPr>
                <w:sz w:val="21"/>
              </w:rPr>
              <w:t>无色、有恶臭的气体。沸点</w:t>
            </w:r>
            <w:r>
              <w:rPr>
                <w:rFonts w:ascii="Times New Roman" w:hAnsi="Times New Roman" w:eastAsia="Times New Roman"/>
                <w:sz w:val="21"/>
              </w:rPr>
              <w:t>-60.4</w:t>
            </w:r>
            <w:r>
              <w:rPr>
                <w:sz w:val="21"/>
              </w:rPr>
              <w:t>℃，熔点</w:t>
            </w:r>
          </w:p>
          <w:p>
            <w:pPr>
              <w:pStyle w:val="19"/>
              <w:spacing w:before="1" w:line="213" w:lineRule="auto"/>
              <w:ind w:left="106" w:right="193"/>
              <w:jc w:val="left"/>
              <w:rPr>
                <w:sz w:val="21"/>
              </w:rPr>
            </w:pPr>
            <w:r>
              <w:rPr>
                <w:rFonts w:ascii="Times New Roman" w:hAnsi="Times New Roman" w:eastAsia="Times New Roman"/>
                <w:sz w:val="21"/>
              </w:rPr>
              <w:t>-85.5</w:t>
            </w:r>
            <w:r>
              <w:rPr>
                <w:sz w:val="21"/>
              </w:rPr>
              <w:t>℃。溶解性：溶于水、乙醇。</w:t>
            </w:r>
          </w:p>
        </w:tc>
        <w:tc>
          <w:tcPr>
            <w:tcW w:w="5290" w:type="dxa"/>
          </w:tcPr>
          <w:p>
            <w:pPr>
              <w:pStyle w:val="19"/>
              <w:spacing w:before="4" w:line="213" w:lineRule="auto"/>
              <w:ind w:left="108" w:right="-15"/>
              <w:jc w:val="left"/>
              <w:rPr>
                <w:sz w:val="21"/>
              </w:rPr>
            </w:pPr>
            <w:r>
              <w:rPr>
                <w:spacing w:val="-8"/>
                <w:sz w:val="21"/>
              </w:rPr>
              <w:t>健康危害：是强烈的神经毒物，对粘膜有强烈刺激作用。</w:t>
            </w:r>
            <w:r>
              <w:rPr>
                <w:spacing w:val="-11"/>
                <w:sz w:val="21"/>
              </w:rPr>
              <w:t>急性中毒：短期内吸入高浓度硫化氢后出现流泪、眼痛、眼内异物感、畏光、视物模糊、流涕、咽喉部灼烧感、咳嗽、胸闷、头疼、头晕、乏力、意识模糊等。部分患</w:t>
            </w:r>
          </w:p>
          <w:p>
            <w:pPr>
              <w:pStyle w:val="19"/>
              <w:spacing w:line="218" w:lineRule="exact"/>
              <w:ind w:left="108"/>
              <w:jc w:val="left"/>
              <w:rPr>
                <w:sz w:val="21"/>
              </w:rPr>
            </w:pPr>
            <w:r>
              <w:rPr>
                <w:sz w:val="21"/>
              </w:rPr>
              <w:t>者可有心肌损害。重者可出现脑水肿、肺水肿。</w:t>
            </w:r>
          </w:p>
        </w:tc>
      </w:tr>
    </w:tbl>
    <w:p>
      <w:pPr>
        <w:tabs>
          <w:tab w:val="left" w:pos="4072"/>
        </w:tabs>
        <w:spacing w:before="157" w:after="4"/>
        <w:ind w:left="2433" w:right="0" w:firstLine="0"/>
        <w:jc w:val="left"/>
        <w:rPr>
          <w:b/>
          <w:sz w:val="24"/>
        </w:rPr>
      </w:pPr>
      <w:r>
        <w:rPr>
          <w:b/>
          <w:sz w:val="24"/>
        </w:rPr>
        <w:t>表</w:t>
      </w:r>
      <w:r>
        <w:rPr>
          <w:rFonts w:ascii="Times New Roman" w:eastAsia="Times New Roman"/>
          <w:b/>
          <w:sz w:val="24"/>
        </w:rPr>
        <w:t>5.2-17</w:t>
      </w:r>
      <w:r>
        <w:rPr>
          <w:rFonts w:ascii="Times New Roman" w:eastAsia="Times New Roman"/>
          <w:b/>
          <w:sz w:val="24"/>
        </w:rPr>
        <w:tab/>
      </w:r>
      <w:r>
        <w:rPr>
          <w:b/>
          <w:w w:val="95"/>
          <w:sz w:val="24"/>
        </w:rPr>
        <w:t>物质危险性识别结果一览表</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8"/>
        <w:gridCol w:w="1086"/>
        <w:gridCol w:w="1339"/>
        <w:gridCol w:w="1168"/>
        <w:gridCol w:w="2325"/>
        <w:gridCol w:w="1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68" w:type="dxa"/>
          </w:tcPr>
          <w:p>
            <w:pPr>
              <w:pStyle w:val="19"/>
              <w:spacing w:before="21"/>
              <w:ind w:left="103" w:right="92"/>
              <w:rPr>
                <w:b/>
                <w:sz w:val="21"/>
              </w:rPr>
            </w:pPr>
            <w:r>
              <w:rPr>
                <w:b/>
                <w:sz w:val="21"/>
              </w:rPr>
              <w:t>序号</w:t>
            </w:r>
          </w:p>
        </w:tc>
        <w:tc>
          <w:tcPr>
            <w:tcW w:w="1086" w:type="dxa"/>
          </w:tcPr>
          <w:p>
            <w:pPr>
              <w:pStyle w:val="19"/>
              <w:spacing w:before="21"/>
              <w:ind w:left="103" w:right="89"/>
              <w:rPr>
                <w:b/>
                <w:sz w:val="21"/>
              </w:rPr>
            </w:pPr>
            <w:r>
              <w:rPr>
                <w:b/>
                <w:sz w:val="21"/>
              </w:rPr>
              <w:t>物质名称</w:t>
            </w:r>
          </w:p>
        </w:tc>
        <w:tc>
          <w:tcPr>
            <w:tcW w:w="1339" w:type="dxa"/>
          </w:tcPr>
          <w:p>
            <w:pPr>
              <w:pStyle w:val="19"/>
              <w:spacing w:before="21"/>
              <w:ind w:left="249"/>
              <w:jc w:val="left"/>
              <w:rPr>
                <w:b/>
                <w:sz w:val="21"/>
              </w:rPr>
            </w:pPr>
            <w:r>
              <w:rPr>
                <w:b/>
                <w:sz w:val="21"/>
              </w:rPr>
              <w:t>危险类别</w:t>
            </w:r>
          </w:p>
        </w:tc>
        <w:tc>
          <w:tcPr>
            <w:tcW w:w="1168" w:type="dxa"/>
          </w:tcPr>
          <w:p>
            <w:pPr>
              <w:pStyle w:val="19"/>
              <w:spacing w:before="21"/>
              <w:ind w:left="142" w:right="131"/>
              <w:rPr>
                <w:b/>
                <w:sz w:val="21"/>
              </w:rPr>
            </w:pPr>
            <w:r>
              <w:rPr>
                <w:b/>
                <w:sz w:val="21"/>
              </w:rPr>
              <w:t>危险特性</w:t>
            </w:r>
          </w:p>
        </w:tc>
        <w:tc>
          <w:tcPr>
            <w:tcW w:w="2325" w:type="dxa"/>
          </w:tcPr>
          <w:p>
            <w:pPr>
              <w:pStyle w:val="19"/>
              <w:spacing w:before="21"/>
              <w:ind w:left="742"/>
              <w:jc w:val="left"/>
              <w:rPr>
                <w:b/>
                <w:sz w:val="21"/>
              </w:rPr>
            </w:pPr>
            <w:r>
              <w:rPr>
                <w:b/>
                <w:sz w:val="21"/>
              </w:rPr>
              <w:t>毒性数据</w:t>
            </w:r>
          </w:p>
        </w:tc>
        <w:tc>
          <w:tcPr>
            <w:tcW w:w="1928" w:type="dxa"/>
          </w:tcPr>
          <w:p>
            <w:pPr>
              <w:pStyle w:val="19"/>
              <w:spacing w:before="21"/>
              <w:ind w:left="229"/>
              <w:jc w:val="left"/>
              <w:rPr>
                <w:b/>
                <w:sz w:val="21"/>
              </w:rPr>
            </w:pPr>
            <w:r>
              <w:rPr>
                <w:b/>
                <w:sz w:val="21"/>
              </w:rPr>
              <w:t>危险性辨识结果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668" w:type="dxa"/>
          </w:tcPr>
          <w:p>
            <w:pPr>
              <w:pStyle w:val="19"/>
              <w:spacing w:before="12"/>
              <w:jc w:val="left"/>
              <w:rPr>
                <w:b/>
                <w:sz w:val="27"/>
              </w:rPr>
            </w:pPr>
          </w:p>
          <w:p>
            <w:pPr>
              <w:pStyle w:val="19"/>
              <w:spacing w:before="1"/>
              <w:ind w:left="7"/>
              <w:rPr>
                <w:rFonts w:ascii="Times New Roman"/>
                <w:sz w:val="21"/>
              </w:rPr>
            </w:pPr>
            <w:r>
              <w:rPr>
                <w:rFonts w:ascii="Times New Roman"/>
                <w:w w:val="99"/>
                <w:sz w:val="21"/>
              </w:rPr>
              <w:t>1</w:t>
            </w:r>
          </w:p>
        </w:tc>
        <w:tc>
          <w:tcPr>
            <w:tcW w:w="1086" w:type="dxa"/>
          </w:tcPr>
          <w:p>
            <w:pPr>
              <w:pStyle w:val="19"/>
              <w:spacing w:before="11"/>
              <w:jc w:val="left"/>
              <w:rPr>
                <w:b/>
                <w:sz w:val="26"/>
              </w:rPr>
            </w:pPr>
          </w:p>
          <w:p>
            <w:pPr>
              <w:pStyle w:val="19"/>
              <w:ind w:left="9"/>
              <w:rPr>
                <w:sz w:val="21"/>
              </w:rPr>
            </w:pPr>
            <w:r>
              <w:rPr>
                <w:w w:val="99"/>
                <w:sz w:val="21"/>
              </w:rPr>
              <w:t>氨</w:t>
            </w:r>
          </w:p>
        </w:tc>
        <w:tc>
          <w:tcPr>
            <w:tcW w:w="1339" w:type="dxa"/>
          </w:tcPr>
          <w:p>
            <w:pPr>
              <w:pStyle w:val="19"/>
              <w:spacing w:before="12"/>
              <w:jc w:val="left"/>
              <w:rPr>
                <w:b/>
                <w:sz w:val="18"/>
              </w:rPr>
            </w:pPr>
          </w:p>
          <w:p>
            <w:pPr>
              <w:pStyle w:val="19"/>
              <w:spacing w:line="213" w:lineRule="auto"/>
              <w:ind w:left="352" w:right="96" w:hanging="183"/>
              <w:jc w:val="left"/>
              <w:rPr>
                <w:sz w:val="21"/>
              </w:rPr>
            </w:pPr>
            <w:r>
              <w:rPr>
                <w:sz w:val="21"/>
              </w:rPr>
              <w:t>第</w:t>
            </w:r>
            <w:r>
              <w:rPr>
                <w:rFonts w:ascii="Times New Roman" w:eastAsia="Times New Roman"/>
                <w:sz w:val="21"/>
              </w:rPr>
              <w:t>2.3</w:t>
            </w:r>
            <w:r>
              <w:rPr>
                <w:sz w:val="21"/>
              </w:rPr>
              <w:t>类有毒气体</w:t>
            </w:r>
          </w:p>
        </w:tc>
        <w:tc>
          <w:tcPr>
            <w:tcW w:w="1168" w:type="dxa"/>
          </w:tcPr>
          <w:p>
            <w:pPr>
              <w:pStyle w:val="19"/>
              <w:spacing w:before="12"/>
              <w:jc w:val="left"/>
              <w:rPr>
                <w:b/>
                <w:sz w:val="18"/>
              </w:rPr>
            </w:pPr>
          </w:p>
          <w:p>
            <w:pPr>
              <w:pStyle w:val="19"/>
              <w:spacing w:line="213" w:lineRule="auto"/>
              <w:ind w:left="374" w:right="99" w:hanging="267"/>
              <w:jc w:val="left"/>
              <w:rPr>
                <w:sz w:val="21"/>
              </w:rPr>
            </w:pPr>
            <w:r>
              <w:rPr>
                <w:spacing w:val="-24"/>
                <w:sz w:val="21"/>
              </w:rPr>
              <w:t>有毒，具窒</w:t>
            </w:r>
            <w:r>
              <w:rPr>
                <w:sz w:val="21"/>
              </w:rPr>
              <w:t>息性</w:t>
            </w:r>
          </w:p>
        </w:tc>
        <w:tc>
          <w:tcPr>
            <w:tcW w:w="2325" w:type="dxa"/>
          </w:tcPr>
          <w:p>
            <w:pPr>
              <w:pStyle w:val="19"/>
              <w:spacing w:before="6" w:line="211" w:lineRule="auto"/>
              <w:ind w:left="106" w:right="35"/>
              <w:jc w:val="left"/>
              <w:rPr>
                <w:sz w:val="21"/>
              </w:rPr>
            </w:pPr>
            <w:r>
              <w:rPr>
                <w:rFonts w:ascii="Times New Roman" w:eastAsia="Times New Roman"/>
                <w:position w:val="2"/>
                <w:sz w:val="21"/>
              </w:rPr>
              <w:t>LC</w:t>
            </w:r>
            <w:r>
              <w:rPr>
                <w:rFonts w:ascii="Times New Roman" w:eastAsia="Times New Roman"/>
                <w:position w:val="2"/>
                <w:sz w:val="21"/>
                <w:vertAlign w:val="subscript"/>
              </w:rPr>
              <w:t>50</w:t>
            </w:r>
            <w:r>
              <w:rPr>
                <w:spacing w:val="-39"/>
                <w:position w:val="2"/>
                <w:sz w:val="21"/>
                <w:vertAlign w:val="baseline"/>
              </w:rPr>
              <w:t>：</w:t>
            </w:r>
            <w:r>
              <w:rPr>
                <w:rFonts w:ascii="Times New Roman" w:eastAsia="Times New Roman"/>
                <w:position w:val="2"/>
                <w:sz w:val="21"/>
                <w:vertAlign w:val="baseline"/>
              </w:rPr>
              <w:t>1390mg/m</w:t>
            </w:r>
            <w:r>
              <w:rPr>
                <w:rFonts w:ascii="Times New Roman" w:eastAsia="Times New Roman"/>
                <w:position w:val="2"/>
                <w:sz w:val="21"/>
                <w:vertAlign w:val="superscript"/>
              </w:rPr>
              <w:t>3</w:t>
            </w:r>
            <w:r>
              <w:rPr>
                <w:position w:val="2"/>
                <w:sz w:val="21"/>
                <w:vertAlign w:val="baseline"/>
              </w:rPr>
              <w:t>（</w:t>
            </w:r>
            <w:r>
              <w:rPr>
                <w:spacing w:val="-49"/>
                <w:position w:val="2"/>
                <w:sz w:val="21"/>
                <w:vertAlign w:val="baseline"/>
              </w:rPr>
              <w:t>大</w:t>
            </w:r>
            <w:r>
              <w:rPr>
                <w:sz w:val="21"/>
                <w:vertAlign w:val="baseline"/>
              </w:rPr>
              <w:t>鼠吸入，</w:t>
            </w:r>
            <w:r>
              <w:rPr>
                <w:rFonts w:ascii="Times New Roman" w:eastAsia="Times New Roman"/>
                <w:sz w:val="21"/>
                <w:vertAlign w:val="baseline"/>
              </w:rPr>
              <w:t>4</w:t>
            </w:r>
            <w:r>
              <w:rPr>
                <w:sz w:val="21"/>
                <w:vertAlign w:val="baseline"/>
              </w:rPr>
              <w:t>小时）；</w:t>
            </w:r>
            <w:r>
              <w:rPr>
                <w:rFonts w:ascii="Times New Roman" w:eastAsia="Times New Roman"/>
                <w:spacing w:val="-1"/>
                <w:position w:val="2"/>
                <w:sz w:val="21"/>
                <w:vertAlign w:val="baseline"/>
              </w:rPr>
              <w:t>LD</w:t>
            </w:r>
            <w:r>
              <w:rPr>
                <w:rFonts w:ascii="Times New Roman" w:eastAsia="Times New Roman"/>
                <w:spacing w:val="-1"/>
                <w:position w:val="2"/>
                <w:sz w:val="21"/>
                <w:vertAlign w:val="subscript"/>
              </w:rPr>
              <w:t>50</w:t>
            </w:r>
            <w:r>
              <w:rPr>
                <w:spacing w:val="-1"/>
                <w:position w:val="2"/>
                <w:sz w:val="21"/>
                <w:vertAlign w:val="baseline"/>
              </w:rPr>
              <w:t>：</w:t>
            </w:r>
            <w:r>
              <w:rPr>
                <w:rFonts w:ascii="Times New Roman" w:eastAsia="Times New Roman"/>
                <w:spacing w:val="-1"/>
                <w:position w:val="2"/>
                <w:sz w:val="21"/>
                <w:vertAlign w:val="baseline"/>
              </w:rPr>
              <w:t>350mg/m</w:t>
            </w:r>
            <w:r>
              <w:rPr>
                <w:rFonts w:ascii="Times New Roman" w:eastAsia="Times New Roman"/>
                <w:spacing w:val="-1"/>
                <w:position w:val="2"/>
                <w:sz w:val="21"/>
                <w:vertAlign w:val="superscript"/>
              </w:rPr>
              <w:t>3</w:t>
            </w:r>
            <w:r>
              <w:rPr>
                <w:spacing w:val="-1"/>
                <w:position w:val="2"/>
                <w:sz w:val="21"/>
                <w:vertAlign w:val="baseline"/>
              </w:rPr>
              <w:t>（</w:t>
            </w:r>
            <w:r>
              <w:rPr>
                <w:spacing w:val="-11"/>
                <w:position w:val="2"/>
                <w:sz w:val="21"/>
                <w:vertAlign w:val="baseline"/>
              </w:rPr>
              <w:t>大鼠</w:t>
            </w:r>
          </w:p>
          <w:p>
            <w:pPr>
              <w:pStyle w:val="19"/>
              <w:spacing w:line="211" w:lineRule="exact"/>
              <w:ind w:left="106"/>
              <w:jc w:val="left"/>
              <w:rPr>
                <w:sz w:val="21"/>
              </w:rPr>
            </w:pPr>
            <w:r>
              <w:rPr>
                <w:sz w:val="21"/>
              </w:rPr>
              <w:t>经口）；</w:t>
            </w:r>
          </w:p>
        </w:tc>
        <w:tc>
          <w:tcPr>
            <w:tcW w:w="1928" w:type="dxa"/>
          </w:tcPr>
          <w:p>
            <w:pPr>
              <w:pStyle w:val="19"/>
              <w:spacing w:before="123" w:line="213" w:lineRule="auto"/>
              <w:ind w:left="107" w:right="97"/>
              <w:jc w:val="left"/>
              <w:rPr>
                <w:sz w:val="21"/>
              </w:rPr>
            </w:pPr>
            <w:r>
              <w:rPr>
                <w:spacing w:val="1"/>
                <w:sz w:val="21"/>
              </w:rPr>
              <w:t>预热易爆炸性物质</w:t>
            </w:r>
            <w:r>
              <w:rPr>
                <w:sz w:val="21"/>
              </w:rPr>
              <w:t>毒性物质</w:t>
            </w:r>
          </w:p>
          <w:p>
            <w:pPr>
              <w:pStyle w:val="19"/>
              <w:spacing w:line="247" w:lineRule="exact"/>
              <w:ind w:left="107"/>
              <w:jc w:val="left"/>
              <w:rPr>
                <w:sz w:val="21"/>
              </w:rPr>
            </w:pPr>
            <w:r>
              <w:rPr>
                <w:w w:val="95"/>
                <w:sz w:val="21"/>
              </w:rPr>
              <w:t>有腐蚀性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68" w:type="dxa"/>
          </w:tcPr>
          <w:p>
            <w:pPr>
              <w:pStyle w:val="19"/>
              <w:spacing w:before="118"/>
              <w:ind w:left="7"/>
              <w:rPr>
                <w:rFonts w:ascii="Times New Roman"/>
                <w:sz w:val="21"/>
              </w:rPr>
            </w:pPr>
            <w:r>
              <w:rPr>
                <w:rFonts w:ascii="Times New Roman"/>
                <w:w w:val="99"/>
                <w:sz w:val="21"/>
              </w:rPr>
              <w:t>2</w:t>
            </w:r>
          </w:p>
        </w:tc>
        <w:tc>
          <w:tcPr>
            <w:tcW w:w="1086" w:type="dxa"/>
          </w:tcPr>
          <w:p>
            <w:pPr>
              <w:pStyle w:val="19"/>
              <w:spacing w:before="104"/>
              <w:ind w:left="95" w:right="89"/>
              <w:rPr>
                <w:sz w:val="21"/>
              </w:rPr>
            </w:pPr>
            <w:r>
              <w:rPr>
                <w:sz w:val="21"/>
              </w:rPr>
              <w:t>硫化氢</w:t>
            </w:r>
          </w:p>
        </w:tc>
        <w:tc>
          <w:tcPr>
            <w:tcW w:w="1339" w:type="dxa"/>
          </w:tcPr>
          <w:p>
            <w:pPr>
              <w:pStyle w:val="19"/>
              <w:spacing w:line="240" w:lineRule="exact"/>
              <w:ind w:left="352" w:right="96" w:hanging="183"/>
              <w:jc w:val="left"/>
              <w:rPr>
                <w:sz w:val="21"/>
              </w:rPr>
            </w:pPr>
            <w:r>
              <w:rPr>
                <w:sz w:val="21"/>
              </w:rPr>
              <w:t>第</w:t>
            </w:r>
            <w:r>
              <w:rPr>
                <w:rFonts w:ascii="Times New Roman" w:eastAsia="Times New Roman"/>
                <w:sz w:val="21"/>
              </w:rPr>
              <w:t>2.1</w:t>
            </w:r>
            <w:r>
              <w:rPr>
                <w:sz w:val="21"/>
              </w:rPr>
              <w:t>类易燃气体</w:t>
            </w:r>
          </w:p>
        </w:tc>
        <w:tc>
          <w:tcPr>
            <w:tcW w:w="1168" w:type="dxa"/>
          </w:tcPr>
          <w:p>
            <w:pPr>
              <w:pStyle w:val="19"/>
              <w:spacing w:before="102"/>
              <w:ind w:left="140" w:right="131"/>
              <w:rPr>
                <w:sz w:val="21"/>
              </w:rPr>
            </w:pPr>
            <w:r>
              <w:rPr>
                <w:sz w:val="21"/>
              </w:rPr>
              <w:t>易燃</w:t>
            </w:r>
          </w:p>
        </w:tc>
        <w:tc>
          <w:tcPr>
            <w:tcW w:w="2325" w:type="dxa"/>
          </w:tcPr>
          <w:p>
            <w:pPr>
              <w:pStyle w:val="19"/>
              <w:spacing w:before="99"/>
              <w:ind w:left="106"/>
              <w:jc w:val="left"/>
              <w:rPr>
                <w:sz w:val="21"/>
              </w:rPr>
            </w:pPr>
            <w:r>
              <w:rPr>
                <w:rFonts w:ascii="Times New Roman" w:eastAsia="Times New Roman"/>
                <w:position w:val="2"/>
                <w:sz w:val="21"/>
              </w:rPr>
              <w:t>6180mg/m</w:t>
            </w:r>
            <w:r>
              <w:rPr>
                <w:rFonts w:ascii="Times New Roman" w:eastAsia="Times New Roman"/>
                <w:position w:val="2"/>
                <w:sz w:val="21"/>
                <w:vertAlign w:val="superscript"/>
              </w:rPr>
              <w:t>3</w:t>
            </w:r>
            <w:r>
              <w:rPr>
                <w:rFonts w:ascii="Times New Roman" w:eastAsia="Times New Roman"/>
                <w:position w:val="2"/>
                <w:sz w:val="21"/>
                <w:vertAlign w:val="baseline"/>
              </w:rPr>
              <w:t xml:space="preserve"> LC</w:t>
            </w:r>
            <w:r>
              <w:rPr>
                <w:rFonts w:ascii="Times New Roman" w:eastAsia="Times New Roman"/>
                <w:position w:val="2"/>
                <w:sz w:val="21"/>
                <w:vertAlign w:val="subscript"/>
              </w:rPr>
              <w:t>50</w:t>
            </w:r>
            <w:r>
              <w:rPr>
                <w:position w:val="2"/>
                <w:sz w:val="21"/>
                <w:vertAlign w:val="baseline"/>
              </w:rPr>
              <w:t>：</w:t>
            </w:r>
          </w:p>
        </w:tc>
        <w:tc>
          <w:tcPr>
            <w:tcW w:w="1928" w:type="dxa"/>
          </w:tcPr>
          <w:p>
            <w:pPr>
              <w:pStyle w:val="19"/>
              <w:spacing w:line="240" w:lineRule="exact"/>
              <w:ind w:left="107" w:right="970"/>
              <w:jc w:val="left"/>
              <w:rPr>
                <w:sz w:val="21"/>
              </w:rPr>
            </w:pPr>
            <w:r>
              <w:rPr>
                <w:sz w:val="21"/>
              </w:rPr>
              <w:t>易燃物质毒性物质</w:t>
            </w:r>
          </w:p>
        </w:tc>
      </w:tr>
    </w:tbl>
    <w:p>
      <w:pPr>
        <w:pStyle w:val="7"/>
        <w:spacing w:before="6"/>
        <w:ind w:left="0"/>
        <w:rPr>
          <w:b/>
          <w:sz w:val="18"/>
        </w:rPr>
      </w:pPr>
    </w:p>
    <w:p>
      <w:pPr>
        <w:pStyle w:val="18"/>
        <w:numPr>
          <w:ilvl w:val="0"/>
          <w:numId w:val="59"/>
        </w:numPr>
        <w:tabs>
          <w:tab w:val="left" w:pos="1621"/>
        </w:tabs>
        <w:spacing w:before="0" w:after="0" w:line="240" w:lineRule="auto"/>
        <w:ind w:left="1621" w:right="0" w:hanging="601"/>
        <w:jc w:val="left"/>
        <w:rPr>
          <w:sz w:val="24"/>
        </w:rPr>
      </w:pPr>
      <w:r>
        <w:rPr>
          <w:sz w:val="24"/>
        </w:rPr>
        <w:t>生产系统风险识别</w:t>
      </w:r>
    </w:p>
    <w:p>
      <w:pPr>
        <w:pStyle w:val="7"/>
        <w:spacing w:before="161" w:line="364" w:lineRule="auto"/>
        <w:ind w:right="577" w:firstLine="480"/>
      </w:pPr>
      <w:r>
        <w:rPr>
          <w:spacing w:val="-9"/>
        </w:rPr>
        <w:t>生产系统危险性识别，包括主要生产装置、储运设施、公用工程和辅助生产</w:t>
      </w:r>
      <w:r>
        <w:t>设施，以及环境保护设施等。</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sz w:val="9"/>
        </w:rPr>
      </w:pPr>
    </w:p>
    <w:p>
      <w:pPr>
        <w:pStyle w:val="7"/>
        <w:spacing w:before="66" w:line="360" w:lineRule="auto"/>
        <w:ind w:right="577" w:firstLine="480"/>
        <w:jc w:val="both"/>
      </w:pPr>
      <w:r>
        <w:rPr>
          <w:spacing w:val="-6"/>
        </w:rPr>
        <w:t>项目生产过程中的主要环境风险是养殖场疫病风险，废气事故排放风险和废</w:t>
      </w:r>
      <w:r>
        <w:t>水泄露风险。</w:t>
      </w:r>
    </w:p>
    <w:p>
      <w:pPr>
        <w:pStyle w:val="7"/>
        <w:spacing w:line="357" w:lineRule="auto"/>
        <w:ind w:right="577" w:firstLine="480"/>
        <w:jc w:val="both"/>
      </w:pPr>
      <w:r>
        <w:rPr>
          <w:spacing w:val="-1"/>
        </w:rPr>
        <w:t>①养殖场疫病风险：养殖场如管理不善，会诱发疾病，肉羊场常见疾病有</w:t>
      </w:r>
      <w:r>
        <w:rPr>
          <w:spacing w:val="-10"/>
        </w:rPr>
        <w:t>数十种，如禽大肠杆菌病、禽沙门氏菌等等，有的还属人禽共患病，不但导致羊</w:t>
      </w:r>
      <w:r>
        <w:t>大规模患病、甚至死亡，而且会感染到人群。</w:t>
      </w:r>
    </w:p>
    <w:p>
      <w:pPr>
        <w:pStyle w:val="7"/>
        <w:spacing w:before="5" w:line="357" w:lineRule="auto"/>
        <w:ind w:right="581" w:firstLine="480"/>
        <w:jc w:val="both"/>
      </w:pPr>
      <w:r>
        <w:t>②废气事故排放风险：病死尸体无害化处理车间配套的光解除臭装置发生故障，导致废气超标排放，影响周围环境空气质量。</w:t>
      </w:r>
    </w:p>
    <w:p>
      <w:pPr>
        <w:pStyle w:val="7"/>
        <w:spacing w:before="3" w:line="360" w:lineRule="auto"/>
        <w:ind w:right="457" w:firstLine="480"/>
        <w:jc w:val="both"/>
      </w:pPr>
      <w:r>
        <w:t>③废水泄露风险：病死尸体无害化处理车间产生废水直接流入土壤，部分</w:t>
      </w:r>
      <w:r>
        <w:rPr>
          <w:spacing w:val="-16"/>
        </w:rPr>
        <w:t>氮、磷不仅随地表水或水体流失流入江河污染地表水，且会渗入地下污染地下水。</w:t>
      </w:r>
      <w:r>
        <w:rPr>
          <w:spacing w:val="-9"/>
        </w:rPr>
        <w:t>废水的有毒、有害成分进入地下水中，会使地下水溶解氧含量减少，水质中有毒</w:t>
      </w:r>
      <w:r>
        <w:rPr>
          <w:spacing w:val="-12"/>
        </w:rPr>
        <w:t>成分增多，严重时使水体发黑、变臭、失去使用价值。一旦污染了地下水，将极难治理恢复，造成较持久性的污染。</w:t>
      </w:r>
    </w:p>
    <w:p>
      <w:pPr>
        <w:pStyle w:val="18"/>
        <w:numPr>
          <w:ilvl w:val="3"/>
          <w:numId w:val="58"/>
        </w:numPr>
        <w:tabs>
          <w:tab w:val="left" w:pos="1320"/>
        </w:tabs>
        <w:spacing w:before="0" w:after="0" w:line="300" w:lineRule="exact"/>
        <w:ind w:left="1320" w:right="0" w:hanging="780"/>
        <w:jc w:val="left"/>
        <w:rPr>
          <w:sz w:val="24"/>
        </w:rPr>
      </w:pPr>
      <w:bookmarkStart w:id="338" w:name="5.2.7.8 环境风险防范措施及应急要求"/>
      <w:bookmarkEnd w:id="338"/>
      <w:bookmarkStart w:id="339" w:name="5.2.7.8 环境风险防范措施及应急要求"/>
      <w:bookmarkEnd w:id="339"/>
      <w:r>
        <w:rPr>
          <w:sz w:val="24"/>
        </w:rPr>
        <w:t>环境风险防范措施及应急要求</w:t>
      </w:r>
    </w:p>
    <w:p>
      <w:pPr>
        <w:pStyle w:val="18"/>
        <w:numPr>
          <w:ilvl w:val="0"/>
          <w:numId w:val="60"/>
        </w:numPr>
        <w:tabs>
          <w:tab w:val="left" w:pos="1621"/>
        </w:tabs>
        <w:spacing w:before="153" w:after="0" w:line="240" w:lineRule="auto"/>
        <w:ind w:left="1621" w:right="0" w:hanging="601"/>
        <w:jc w:val="both"/>
        <w:rPr>
          <w:sz w:val="24"/>
        </w:rPr>
      </w:pPr>
      <w:r>
        <w:rPr>
          <w:sz w:val="24"/>
        </w:rPr>
        <w:t>水环境风险防范措施</w:t>
      </w:r>
    </w:p>
    <w:p>
      <w:pPr>
        <w:pStyle w:val="7"/>
        <w:spacing w:before="153" w:line="360" w:lineRule="auto"/>
        <w:ind w:right="457" w:firstLine="480"/>
        <w:jc w:val="both"/>
      </w:pPr>
      <w:r>
        <w:rPr>
          <w:spacing w:val="-8"/>
        </w:rPr>
        <w:t>对装置区管道经常巡查，杜绝“跑、冒、滴、漏”等事故的发生，尤其是在</w:t>
      </w:r>
      <w:r>
        <w:rPr>
          <w:spacing w:val="-13"/>
        </w:rPr>
        <w:t>堆肥厂和病死尸体无害化处理车间周边，进行严格的防渗处理，从源头上防止污</w:t>
      </w:r>
      <w:r>
        <w:rPr>
          <w:spacing w:val="-20"/>
        </w:rPr>
        <w:t>水进入地下水含水层之间。项目场地分为重点防渗区、一般防渗区和简单防渗区。</w:t>
      </w:r>
      <w:r>
        <w:rPr>
          <w:spacing w:val="-5"/>
        </w:rPr>
        <w:t>一般工业固废临时贮存场所防渗效果应满足《一般工业固体废物贮存、处置场污</w:t>
      </w:r>
      <w:r>
        <w:t>染控制标准》（</w:t>
      </w:r>
      <w:r>
        <w:rPr>
          <w:rFonts w:ascii="Times New Roman" w:hAnsi="Times New Roman" w:eastAsia="Times New Roman"/>
        </w:rPr>
        <w:t>GB18599-2001</w:t>
      </w:r>
      <w:r>
        <w:t>）中的相关要求。危险废物储存场所防渗效果应</w:t>
      </w:r>
      <w:r>
        <w:rPr>
          <w:spacing w:val="-14"/>
        </w:rPr>
        <w:t>满足《危险废物贮存污染控制标准》</w:t>
      </w:r>
      <w:r>
        <w:rPr>
          <w:spacing w:val="-4"/>
        </w:rPr>
        <w:t>（</w:t>
      </w:r>
      <w:r>
        <w:rPr>
          <w:rFonts w:ascii="Times New Roman" w:hAnsi="Times New Roman" w:eastAsia="Times New Roman"/>
          <w:spacing w:val="-4"/>
        </w:rPr>
        <w:t>GB18597</w:t>
      </w:r>
      <w:r>
        <w:rPr>
          <w:spacing w:val="-4"/>
        </w:rPr>
        <w:t>－</w:t>
      </w:r>
      <w:r>
        <w:rPr>
          <w:rFonts w:ascii="Times New Roman" w:hAnsi="Times New Roman" w:eastAsia="Times New Roman"/>
          <w:spacing w:val="-4"/>
        </w:rPr>
        <w:t>2001</w:t>
      </w:r>
      <w:r>
        <w:rPr>
          <w:spacing w:val="-4"/>
        </w:rPr>
        <w:t>）</w:t>
      </w:r>
      <w:r>
        <w:rPr>
          <w:spacing w:val="-2"/>
        </w:rPr>
        <w:t>及修改单中的有关要求。</w:t>
      </w:r>
      <w:r>
        <w:rPr>
          <w:spacing w:val="-5"/>
        </w:rPr>
        <w:t>物料及污水等输送管道尽可能架空，减少埋地铺设。场区需埋地铺设的管道、阀门需设置专用防渗管沟，设活动观察顶盖，以便出现渗漏问题及时观察、解决；输水管线及化粪池下方铺设高密度聚乙烯（</w:t>
      </w:r>
      <w:r>
        <w:rPr>
          <w:rFonts w:ascii="Times New Roman" w:hAnsi="Times New Roman" w:eastAsia="Times New Roman"/>
          <w:spacing w:val="-5"/>
        </w:rPr>
        <w:t>HDPE</w:t>
      </w:r>
      <w:r>
        <w:rPr>
          <w:spacing w:val="-5"/>
        </w:rPr>
        <w:t>）土工膜，减轻污水管线发生“跑、冒、滴、漏”事故时对地下水的影响。</w:t>
      </w:r>
    </w:p>
    <w:p>
      <w:pPr>
        <w:pStyle w:val="18"/>
        <w:numPr>
          <w:ilvl w:val="0"/>
          <w:numId w:val="60"/>
        </w:numPr>
        <w:tabs>
          <w:tab w:val="left" w:pos="1621"/>
        </w:tabs>
        <w:spacing w:before="0" w:after="0" w:line="293" w:lineRule="exact"/>
        <w:ind w:left="1621" w:right="0" w:hanging="601"/>
        <w:jc w:val="left"/>
        <w:rPr>
          <w:sz w:val="24"/>
        </w:rPr>
      </w:pPr>
      <w:r>
        <w:rPr>
          <w:sz w:val="24"/>
        </w:rPr>
        <w:t>防火措施</w:t>
      </w:r>
    </w:p>
    <w:p>
      <w:pPr>
        <w:pStyle w:val="7"/>
        <w:spacing w:before="154" w:line="357" w:lineRule="auto"/>
        <w:ind w:right="457" w:firstLine="480"/>
        <w:jc w:val="both"/>
      </w:pPr>
      <w:r>
        <w:rPr>
          <w:spacing w:val="-1"/>
        </w:rPr>
        <w:t>①根据《建筑设计防火规范》</w:t>
      </w:r>
      <w:r>
        <w:t>（</w:t>
      </w:r>
      <w:r>
        <w:rPr>
          <w:rFonts w:ascii="Times New Roman" w:hAnsi="Times New Roman" w:eastAsia="Times New Roman"/>
        </w:rPr>
        <w:t>GBJ16-87</w:t>
      </w:r>
      <w:r>
        <w:t>）要求：建筑物之间按规范要求</w:t>
      </w:r>
      <w:r>
        <w:rPr>
          <w:spacing w:val="-16"/>
        </w:rPr>
        <w:t>设置防火间距，并充分考虑防火技术措施，按规范要求布置安全疏散通道等设施，</w:t>
      </w:r>
      <w:r>
        <w:t>并设置室外消防系统，消防供水设备为全自动恒压、变量供水设备。</w:t>
      </w:r>
    </w:p>
    <w:p>
      <w:pPr>
        <w:pStyle w:val="7"/>
        <w:spacing w:before="5" w:line="360" w:lineRule="auto"/>
        <w:ind w:right="530" w:firstLine="480"/>
        <w:jc w:val="both"/>
      </w:pPr>
      <w:r>
        <w:t>②室外消防给水管网沿车间环状布置，直接与场区消防给水干管连接，并按要求设置室外消火栓，采用</w:t>
      </w:r>
      <w:r>
        <w:rPr>
          <w:rFonts w:ascii="Times New Roman" w:hAnsi="Times New Roman" w:eastAsia="Times New Roman"/>
        </w:rPr>
        <w:t>SS100-16</w:t>
      </w:r>
      <w:r>
        <w:t>室外地上式消火栓，采用的消火栓与场</w:t>
      </w:r>
    </w:p>
    <w:p>
      <w:pPr>
        <w:spacing w:after="0" w:line="360" w:lineRule="auto"/>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
        <w:ind w:left="0"/>
        <w:jc w:val="both"/>
        <w:rPr>
          <w:sz w:val="9"/>
        </w:rPr>
      </w:pPr>
    </w:p>
    <w:p>
      <w:pPr>
        <w:pStyle w:val="7"/>
        <w:spacing w:before="74" w:line="360" w:lineRule="auto"/>
        <w:ind w:right="575"/>
        <w:jc w:val="both"/>
      </w:pPr>
      <w:r>
        <w:rPr>
          <w:spacing w:val="-5"/>
        </w:rPr>
        <w:t>区消火栓一致，间距不超过</w:t>
      </w:r>
      <w:r>
        <w:rPr>
          <w:rFonts w:ascii="Times New Roman" w:eastAsia="Times New Roman"/>
        </w:rPr>
        <w:t>120m</w:t>
      </w:r>
      <w:r>
        <w:rPr>
          <w:spacing w:val="-7"/>
        </w:rPr>
        <w:t>，保护半径不大于</w:t>
      </w:r>
      <w:r>
        <w:rPr>
          <w:rFonts w:ascii="Times New Roman" w:eastAsia="Times New Roman"/>
        </w:rPr>
        <w:t>150m</w:t>
      </w:r>
      <w:r>
        <w:rPr>
          <w:spacing w:val="-8"/>
        </w:rPr>
        <w:t>，距路边不大于</w:t>
      </w:r>
      <w:r>
        <w:rPr>
          <w:rFonts w:ascii="Times New Roman" w:eastAsia="Times New Roman"/>
          <w:spacing w:val="-6"/>
        </w:rPr>
        <w:t>2m</w:t>
      </w:r>
      <w:r>
        <w:rPr>
          <w:spacing w:val="-6"/>
        </w:rPr>
        <w:t>，</w:t>
      </w:r>
      <w:r>
        <w:rPr>
          <w:spacing w:val="-7"/>
        </w:rPr>
        <w:t>距车间外墙不小于</w:t>
      </w:r>
      <w:r>
        <w:rPr>
          <w:rFonts w:ascii="Times New Roman" w:eastAsia="Times New Roman"/>
        </w:rPr>
        <w:t>5m</w:t>
      </w:r>
      <w:r>
        <w:t>。</w:t>
      </w:r>
    </w:p>
    <w:p>
      <w:pPr>
        <w:pStyle w:val="7"/>
        <w:spacing w:line="357" w:lineRule="auto"/>
        <w:ind w:right="575" w:firstLine="480"/>
        <w:jc w:val="both"/>
      </w:pPr>
      <w:r>
        <w:t>③室内消防管道为环状布置，且有两条管道与室外管网连接，保证消防用</w:t>
      </w:r>
      <w:r>
        <w:rPr>
          <w:spacing w:val="-10"/>
        </w:rPr>
        <w:t>水量不少于</w:t>
      </w:r>
      <w:r>
        <w:rPr>
          <w:rFonts w:ascii="Times New Roman" w:hAnsi="Times New Roman" w:eastAsia="Times New Roman"/>
          <w:spacing w:val="-7"/>
        </w:rPr>
        <w:t>5L/s</w:t>
      </w:r>
      <w:r>
        <w:rPr>
          <w:spacing w:val="-8"/>
        </w:rPr>
        <w:t>，室内任何部位均有两支水枪得充实水柱可同时达到。同时，在</w:t>
      </w:r>
      <w:r>
        <w:t>室内设置干粉灭火器和消防桶等急救消防器具。</w:t>
      </w:r>
    </w:p>
    <w:p>
      <w:pPr>
        <w:pStyle w:val="18"/>
        <w:numPr>
          <w:ilvl w:val="0"/>
          <w:numId w:val="60"/>
        </w:numPr>
        <w:tabs>
          <w:tab w:val="left" w:pos="1621"/>
        </w:tabs>
        <w:spacing w:before="5" w:after="0" w:line="240" w:lineRule="auto"/>
        <w:ind w:left="1621" w:right="0" w:hanging="601"/>
        <w:jc w:val="left"/>
        <w:rPr>
          <w:sz w:val="24"/>
        </w:rPr>
      </w:pPr>
      <w:r>
        <w:rPr>
          <w:sz w:val="24"/>
        </w:rPr>
        <w:t>安全防范措施</w:t>
      </w:r>
    </w:p>
    <w:p>
      <w:pPr>
        <w:pStyle w:val="7"/>
        <w:spacing w:before="151"/>
        <w:ind w:left="1020"/>
        <w:jc w:val="both"/>
      </w:pPr>
      <w:r>
        <w:t>①总图布置及工艺装置设备布置必须严格符合《工业企业总平面设计规范》</w:t>
      </w:r>
    </w:p>
    <w:p>
      <w:pPr>
        <w:pStyle w:val="7"/>
        <w:spacing w:before="153" w:line="360" w:lineRule="auto"/>
        <w:ind w:right="577"/>
        <w:jc w:val="both"/>
      </w:pPr>
      <w:r>
        <w:t>（</w:t>
      </w:r>
      <w:r>
        <w:rPr>
          <w:rFonts w:ascii="Times New Roman" w:eastAsia="Times New Roman"/>
        </w:rPr>
        <w:t>GB50187-93</w:t>
      </w:r>
      <w:r>
        <w:t>）。总图布置上各建、构筑物间的防火间距均按要求设置，主要</w:t>
      </w:r>
      <w:r>
        <w:rPr>
          <w:spacing w:val="-7"/>
        </w:rPr>
        <w:t>建筑周围的道路呈环形布置。各主要通道宽度满足消防、安全卫生、地下管线及</w:t>
      </w:r>
      <w:r>
        <w:rPr>
          <w:spacing w:val="-10"/>
        </w:rPr>
        <w:t>管架布置、绿化工程等方面的要求。生产区不应种植含油脂较多的树木，工艺装</w:t>
      </w:r>
      <w:r>
        <w:rPr>
          <w:spacing w:val="-5"/>
        </w:rPr>
        <w:t>置与周围消防车道之间不宜种植绿蓠或茂密的灌木丛，场区的绿化不应防碍消防</w:t>
      </w:r>
      <w:r>
        <w:rPr>
          <w:spacing w:val="-10"/>
        </w:rPr>
        <w:t>操作。厂内运输和装卸应根据工艺流程、货运量、货物性质和消防需要，合理组</w:t>
      </w:r>
      <w:r>
        <w:rPr>
          <w:spacing w:val="-11"/>
        </w:rPr>
        <w:t>织车流、人流、物流。汽车装车站等机动车辆出入频繁的场所，应布置在场区边</w:t>
      </w:r>
      <w:r>
        <w:t>缘。</w:t>
      </w:r>
    </w:p>
    <w:p>
      <w:pPr>
        <w:pStyle w:val="7"/>
        <w:spacing w:line="300" w:lineRule="exact"/>
        <w:ind w:left="1020"/>
        <w:jc w:val="both"/>
      </w:pPr>
      <w:r>
        <w:t>②羊舍、堆肥厂和病死尸体无害化处理车间等地面采取相应的防渗措施。</w:t>
      </w:r>
    </w:p>
    <w:p>
      <w:pPr>
        <w:pStyle w:val="7"/>
        <w:spacing w:before="151" w:line="360" w:lineRule="auto"/>
        <w:ind w:right="577" w:firstLine="480"/>
        <w:jc w:val="both"/>
      </w:pPr>
      <w:r>
        <w:t>③建筑上遵守国家现行的技术规范和规定，结合场区生产特点，建、构筑</w:t>
      </w:r>
      <w:r>
        <w:rPr>
          <w:spacing w:val="-10"/>
        </w:rPr>
        <w:t>物的平面布置、空间处理、结构选型、构造措施及材料选用等方面满足防火、防</w:t>
      </w:r>
      <w:r>
        <w:t>爆防噪音、防水、防潮、防震、隔热、洁净等要求。</w:t>
      </w:r>
    </w:p>
    <w:p>
      <w:pPr>
        <w:pStyle w:val="18"/>
        <w:numPr>
          <w:ilvl w:val="0"/>
          <w:numId w:val="60"/>
        </w:numPr>
        <w:tabs>
          <w:tab w:val="left" w:pos="1621"/>
        </w:tabs>
        <w:spacing w:before="0" w:after="0" w:line="304" w:lineRule="exact"/>
        <w:ind w:left="1621" w:right="0" w:hanging="601"/>
        <w:jc w:val="left"/>
        <w:rPr>
          <w:sz w:val="24"/>
        </w:rPr>
      </w:pPr>
      <w:r>
        <w:rPr>
          <w:sz w:val="24"/>
        </w:rPr>
        <w:t>工艺技术装备安全防范措施</w:t>
      </w:r>
    </w:p>
    <w:p>
      <w:pPr>
        <w:pStyle w:val="7"/>
        <w:spacing w:before="153" w:line="360" w:lineRule="auto"/>
        <w:ind w:right="457" w:firstLine="480"/>
        <w:jc w:val="both"/>
      </w:pPr>
      <w:r>
        <w:rPr>
          <w:spacing w:val="-8"/>
        </w:rPr>
        <w:t>①严格执行进厂设备、备件、材料的质量检查验收制度，防止不合格设备、</w:t>
      </w:r>
      <w:r>
        <w:t>备件、材料进入生产过程使用，消除设备本身的不安全因素。</w:t>
      </w:r>
    </w:p>
    <w:p>
      <w:pPr>
        <w:pStyle w:val="7"/>
        <w:spacing w:line="360" w:lineRule="auto"/>
        <w:ind w:right="577" w:firstLine="480"/>
        <w:jc w:val="both"/>
      </w:pPr>
      <w:r>
        <w:t>②管线的设计、制造、安装及试压等技术条件，应符合国家现行标准和规</w:t>
      </w:r>
      <w:r>
        <w:rPr>
          <w:spacing w:val="-12"/>
        </w:rPr>
        <w:t>范。设计中所选用的管线、管件及阀门的材料，应保证有足够的机械强度及使用</w:t>
      </w:r>
      <w:r>
        <w:t>期限。</w:t>
      </w:r>
    </w:p>
    <w:p>
      <w:pPr>
        <w:pStyle w:val="7"/>
        <w:spacing w:line="360" w:lineRule="auto"/>
        <w:ind w:right="577" w:firstLine="480"/>
        <w:jc w:val="both"/>
      </w:pPr>
      <w:r>
        <w:rPr>
          <w:spacing w:val="-3"/>
        </w:rPr>
        <w:t>③人行通道一定要有到工作点的通道、灭火器、灭火毯、启动</w:t>
      </w:r>
      <w:r>
        <w:rPr>
          <w:rFonts w:ascii="Times New Roman" w:hAnsi="Times New Roman" w:eastAsia="Times New Roman"/>
        </w:rPr>
        <w:t>/</w:t>
      </w:r>
      <w:r>
        <w:rPr>
          <w:spacing w:val="-4"/>
        </w:rPr>
        <w:t>停止按钮以</w:t>
      </w:r>
      <w:r>
        <w:t>及水喷淋器等，一定要保证安全，没有任何障碍物，并且要标识清楚。</w:t>
      </w:r>
    </w:p>
    <w:p>
      <w:pPr>
        <w:pStyle w:val="7"/>
        <w:spacing w:line="307" w:lineRule="exact"/>
        <w:ind w:left="1020"/>
        <w:jc w:val="both"/>
      </w:pPr>
      <w:r>
        <w:t>④产品、原材料要正确存放。</w:t>
      </w:r>
    </w:p>
    <w:p>
      <w:pPr>
        <w:pStyle w:val="7"/>
        <w:spacing w:before="144"/>
        <w:ind w:left="1020"/>
      </w:pPr>
      <w:r>
        <w:t>⑤地面要保持清洁，没有障碍物和其他不必要的东西。</w:t>
      </w:r>
    </w:p>
    <w:p>
      <w:pPr>
        <w:pStyle w:val="18"/>
        <w:numPr>
          <w:ilvl w:val="0"/>
          <w:numId w:val="60"/>
        </w:numPr>
        <w:tabs>
          <w:tab w:val="left" w:pos="1621"/>
        </w:tabs>
        <w:spacing w:before="154" w:after="0" w:line="240" w:lineRule="auto"/>
        <w:ind w:left="1621" w:right="0" w:hanging="601"/>
        <w:jc w:val="left"/>
        <w:rPr>
          <w:sz w:val="24"/>
        </w:rPr>
      </w:pPr>
      <w:r>
        <w:rPr>
          <w:sz w:val="24"/>
        </w:rPr>
        <w:t>电气设计安全措施</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sz w:val="9"/>
        </w:rPr>
      </w:pPr>
    </w:p>
    <w:p>
      <w:pPr>
        <w:pStyle w:val="7"/>
        <w:spacing w:before="66" w:line="360" w:lineRule="auto"/>
        <w:ind w:right="605" w:firstLine="480"/>
        <w:jc w:val="both"/>
      </w:pPr>
      <w:r>
        <w:t>①设备和管道应根据其内部物料的火灾危险性和操作条件，设置相应的仪表、报警讯号措施。</w:t>
      </w:r>
    </w:p>
    <w:p>
      <w:pPr>
        <w:pStyle w:val="7"/>
        <w:spacing w:line="360" w:lineRule="auto"/>
        <w:ind w:right="577" w:firstLine="480"/>
        <w:jc w:val="both"/>
      </w:pPr>
      <w:r>
        <w:t>②敷设电气线路时应避开可能受到机械损伤、振动、腐蚀以及可能受热的</w:t>
      </w:r>
      <w:r>
        <w:rPr>
          <w:spacing w:val="-11"/>
        </w:rPr>
        <w:t>地方，不能避开时要采取预防措施。另外，电线线路应在爆炸危险性较小的环境</w:t>
      </w:r>
      <w:r>
        <w:rPr>
          <w:spacing w:val="-7"/>
        </w:rPr>
        <w:t>或远离释放源的地方敷设，敷设电气线路的沟道、钢管所穿过的不同区域之间的</w:t>
      </w:r>
      <w:r>
        <w:t>墙或楼板处的孔洞，都应采用非燃烧材料严密堵塞。</w:t>
      </w:r>
    </w:p>
    <w:p>
      <w:pPr>
        <w:pStyle w:val="7"/>
        <w:spacing w:line="360" w:lineRule="auto"/>
        <w:ind w:right="605" w:firstLine="480"/>
        <w:jc w:val="both"/>
      </w:pPr>
      <w:r>
        <w:t>③配电室内有危险电位的裸带电体应加遮护或置于人的伸臂范围之外，遮护物或外罩的防护等级不低于</w:t>
      </w:r>
      <w:r>
        <w:rPr>
          <w:rFonts w:ascii="Times New Roman" w:hAnsi="Times New Roman" w:eastAsia="Times New Roman"/>
        </w:rPr>
        <w:t>IP2X</w:t>
      </w:r>
      <w:r>
        <w:t>级。配电线路应设有短路、过负荷保护。</w:t>
      </w:r>
    </w:p>
    <w:p>
      <w:pPr>
        <w:pStyle w:val="7"/>
        <w:spacing w:line="357" w:lineRule="auto"/>
        <w:ind w:right="473" w:firstLine="480"/>
        <w:jc w:val="both"/>
      </w:pPr>
      <w:r>
        <w:rPr>
          <w:spacing w:val="-2"/>
        </w:rPr>
        <w:t>④工艺装置内露天布置的装置、容器等，当顶板厚度等于或大于</w:t>
      </w:r>
      <w:r>
        <w:rPr>
          <w:rFonts w:ascii="Times New Roman" w:hAnsi="Times New Roman" w:eastAsia="Times New Roman"/>
        </w:rPr>
        <w:t>4mm</w:t>
      </w:r>
      <w:r>
        <w:rPr>
          <w:spacing w:val="-10"/>
        </w:rPr>
        <w:t>时，</w:t>
      </w:r>
      <w:r>
        <w:t>可不设避雷针保护，但必须设防雷接地。</w:t>
      </w:r>
    </w:p>
    <w:p>
      <w:pPr>
        <w:pStyle w:val="18"/>
        <w:numPr>
          <w:ilvl w:val="0"/>
          <w:numId w:val="60"/>
        </w:numPr>
        <w:tabs>
          <w:tab w:val="left" w:pos="1621"/>
        </w:tabs>
        <w:spacing w:before="0" w:after="0" w:line="240" w:lineRule="auto"/>
        <w:ind w:left="1621" w:right="0" w:hanging="601"/>
        <w:jc w:val="left"/>
        <w:rPr>
          <w:sz w:val="24"/>
        </w:rPr>
      </w:pPr>
      <w:r>
        <w:rPr>
          <w:sz w:val="24"/>
        </w:rPr>
        <w:t>病死羊防范措施</w:t>
      </w:r>
    </w:p>
    <w:p>
      <w:pPr>
        <w:pStyle w:val="7"/>
        <w:spacing w:before="148" w:line="360" w:lineRule="auto"/>
        <w:ind w:right="449" w:firstLine="480"/>
        <w:jc w:val="both"/>
      </w:pPr>
      <w:r>
        <w:rPr>
          <w:spacing w:val="-11"/>
        </w:rPr>
        <w:t>根据《畜禽卫生防疫条例》和国家防疫部门制定的处理方法对尸体进行处理</w:t>
      </w:r>
      <w:r>
        <w:rPr>
          <w:spacing w:val="-16"/>
        </w:rPr>
        <w:t>并及时通知当地动物防疫部门。病死羊的处理必须符合《畜禽养殖业污染防治技</w:t>
      </w:r>
      <w:r>
        <w:rPr>
          <w:spacing w:val="-51"/>
        </w:rPr>
        <w:t>术政策》</w:t>
      </w:r>
      <w:r>
        <w:rPr>
          <w:spacing w:val="-3"/>
        </w:rPr>
        <w:t>（</w:t>
      </w:r>
      <w:r>
        <w:rPr>
          <w:spacing w:val="-38"/>
        </w:rPr>
        <w:t>环发</w:t>
      </w:r>
      <w:r>
        <w:rPr>
          <w:spacing w:val="-10"/>
        </w:rPr>
        <w:t>［</w:t>
      </w:r>
      <w:r>
        <w:rPr>
          <w:rFonts w:ascii="Times New Roman" w:eastAsia="Times New Roman"/>
          <w:spacing w:val="-10"/>
        </w:rPr>
        <w:t>2010</w:t>
      </w:r>
      <w:r>
        <w:rPr>
          <w:spacing w:val="-10"/>
        </w:rPr>
        <w:t>］</w:t>
      </w:r>
      <w:r>
        <w:rPr>
          <w:rFonts w:ascii="Times New Roman" w:eastAsia="Times New Roman"/>
          <w:spacing w:val="-10"/>
        </w:rPr>
        <w:t>151</w:t>
      </w:r>
      <w:r>
        <w:t>号</w:t>
      </w:r>
      <w:r>
        <w:rPr>
          <w:spacing w:val="-80"/>
        </w:rPr>
        <w:t>）</w:t>
      </w:r>
      <w:r>
        <w:rPr>
          <w:spacing w:val="-14"/>
        </w:rPr>
        <w:t>、《畜禽养殖业污染防治技术规范</w:t>
      </w:r>
      <w:r>
        <w:rPr>
          <w:spacing w:val="-156"/>
        </w:rPr>
        <w:t>》</w:t>
      </w:r>
      <w:r>
        <w:t>（</w:t>
      </w:r>
      <w:r>
        <w:rPr>
          <w:rFonts w:ascii="Times New Roman" w:eastAsia="Times New Roman"/>
        </w:rPr>
        <w:t>HJ/T81-2001</w:t>
      </w:r>
      <w:r>
        <w:t>）和《病死动物无害化处理技术规范》（农医发〔</w:t>
      </w:r>
      <w:r>
        <w:rPr>
          <w:rFonts w:ascii="Times New Roman" w:eastAsia="Times New Roman"/>
        </w:rPr>
        <w:t>2013</w:t>
      </w:r>
      <w:r>
        <w:t>〕</w:t>
      </w:r>
      <w:r>
        <w:rPr>
          <w:rFonts w:ascii="Times New Roman" w:eastAsia="Times New Roman"/>
        </w:rPr>
        <w:t>34</w:t>
      </w:r>
      <w:r>
        <w:t>号）的要求，同时，</w:t>
      </w:r>
      <w:r>
        <w:rPr>
          <w:spacing w:val="-10"/>
        </w:rPr>
        <w:t>畜禽粪便、受污染的物品，也必须在兽医人员监督指导下进行无害化处理。处理人员处理完毕后应到消毒室进行消毒后才能离开。要做好病死羊的无害化处理，必须要注意以下几个方面：</w:t>
      </w:r>
    </w:p>
    <w:p>
      <w:pPr>
        <w:pStyle w:val="7"/>
        <w:spacing w:line="360" w:lineRule="auto"/>
        <w:ind w:right="455" w:firstLine="480"/>
        <w:jc w:val="both"/>
      </w:pPr>
      <w:r>
        <w:rPr>
          <w:spacing w:val="-8"/>
        </w:rPr>
        <w:t>①处置人员的保护：在处理病死羊之前，处置人员必须要穿戴手套、口罩、</w:t>
      </w:r>
      <w:r>
        <w:rPr>
          <w:spacing w:val="-11"/>
        </w:rPr>
        <w:t>防护衣、胶筒靴；处理完后，全身要用消毒药喷雾消毒，再把用过的防护用品统</w:t>
      </w:r>
      <w:r>
        <w:rPr>
          <w:spacing w:val="-18"/>
        </w:rPr>
        <w:t>一深埋，胶筒靴要浸泡消毒半天后再使用，如果在处理的时候身体有暴露的部位，</w:t>
      </w:r>
      <w:r>
        <w:t>就要用酒精或碘酒消毒；如果皮肤有破损者不能参与处置。</w:t>
      </w:r>
    </w:p>
    <w:p>
      <w:pPr>
        <w:pStyle w:val="7"/>
        <w:spacing w:line="357" w:lineRule="auto"/>
        <w:ind w:right="577" w:firstLine="480"/>
        <w:jc w:val="both"/>
      </w:pPr>
      <w:r>
        <w:rPr>
          <w:spacing w:val="-1"/>
        </w:rPr>
        <w:t>②移尸前的准备：先用消毒药喷洒污染圈舍、周围环境、病死羊体表；再</w:t>
      </w:r>
      <w:r>
        <w:rPr>
          <w:spacing w:val="-8"/>
        </w:rPr>
        <w:t>将病死羊装入塑料袋，套编织袋或不漏水的容器盛装；快要临死的羊，则要用绳</w:t>
      </w:r>
      <w:r>
        <w:t>索捆绑四肢，防止乱蹬，移尸时避免病死羊解除身体暴露部位。</w:t>
      </w:r>
    </w:p>
    <w:p>
      <w:pPr>
        <w:pStyle w:val="7"/>
        <w:spacing w:line="360" w:lineRule="auto"/>
        <w:ind w:right="577" w:firstLine="480"/>
        <w:jc w:val="both"/>
      </w:pPr>
      <w:r>
        <w:t>③病死羊必须送到兽医室由驻场兽医</w:t>
      </w:r>
      <w:r>
        <w:rPr>
          <w:rFonts w:ascii="Times New Roman" w:hAnsi="Times New Roman" w:eastAsia="Times New Roman"/>
        </w:rPr>
        <w:t>/</w:t>
      </w:r>
      <w:r>
        <w:rPr>
          <w:spacing w:val="-6"/>
        </w:rPr>
        <w:t>防疫员负责检查工作。发现可疑烈性</w:t>
      </w:r>
      <w:r>
        <w:t>传染病例必须及时汇报给场长</w:t>
      </w:r>
      <w:r>
        <w:rPr>
          <w:rFonts w:ascii="Times New Roman" w:hAnsi="Times New Roman" w:eastAsia="Times New Roman"/>
        </w:rPr>
        <w:t>/</w:t>
      </w:r>
      <w:r>
        <w:t>经理，并报呈当地兽医检验部门进行确诊。对于</w:t>
      </w:r>
      <w:r>
        <w:rPr>
          <w:spacing w:val="-7"/>
        </w:rPr>
        <w:t>感染传染病致死的死羊尸，应交有资质的单位封装、消毒并在最短的时间内运至</w:t>
      </w:r>
      <w:r>
        <w:t>相关部门部门指定地点深埋或专门焚烧设备无害化处理。</w:t>
      </w:r>
    </w:p>
    <w:p>
      <w:pPr>
        <w:pStyle w:val="7"/>
        <w:spacing w:line="303" w:lineRule="exact"/>
        <w:ind w:left="1020"/>
        <w:jc w:val="both"/>
      </w:pPr>
      <w:r>
        <w:t>④病死羊必须登记备案。</w:t>
      </w:r>
    </w:p>
    <w:p>
      <w:pPr>
        <w:spacing w:after="0" w:line="303" w:lineRule="exact"/>
        <w:jc w:val="both"/>
        <w:sectPr>
          <w:footerReference r:id="rId24"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
        <w:ind w:left="0"/>
        <w:rPr>
          <w:sz w:val="9"/>
        </w:rPr>
      </w:pPr>
    </w:p>
    <w:p>
      <w:pPr>
        <w:pStyle w:val="18"/>
        <w:numPr>
          <w:ilvl w:val="0"/>
          <w:numId w:val="60"/>
        </w:numPr>
        <w:tabs>
          <w:tab w:val="left" w:pos="1621"/>
        </w:tabs>
        <w:spacing w:before="74" w:after="0" w:line="240" w:lineRule="auto"/>
        <w:ind w:left="1621" w:right="0" w:hanging="601"/>
        <w:jc w:val="left"/>
        <w:rPr>
          <w:sz w:val="24"/>
        </w:rPr>
      </w:pPr>
      <w:r>
        <w:rPr>
          <w:sz w:val="24"/>
        </w:rPr>
        <w:t>疫情风险防范措施</w:t>
      </w:r>
    </w:p>
    <w:p>
      <w:pPr>
        <w:pStyle w:val="7"/>
        <w:spacing w:before="154"/>
        <w:ind w:left="1020"/>
      </w:pPr>
      <w:r>
        <w:t>在日常管理中，对于羊疫病的防治措施应注意以下几点：</w:t>
      </w:r>
    </w:p>
    <w:p>
      <w:pPr>
        <w:pStyle w:val="7"/>
        <w:spacing w:before="153"/>
        <w:ind w:left="1020"/>
      </w:pPr>
      <w:r>
        <w:t>①提高员工专业素质，增强防病观念</w:t>
      </w:r>
    </w:p>
    <w:p>
      <w:pPr>
        <w:pStyle w:val="7"/>
        <w:spacing w:before="151" w:line="360" w:lineRule="auto"/>
        <w:ind w:right="457" w:firstLine="480"/>
      </w:pPr>
      <w:r>
        <w:rPr>
          <w:spacing w:val="-15"/>
        </w:rPr>
        <w:t>在预防传染的措施上，首先应从人员的管理着手做起，提高员工的专业素质，</w:t>
      </w:r>
      <w:r>
        <w:rPr>
          <w:spacing w:val="-4"/>
        </w:rPr>
        <w:t>经常进行思想教育和技术培训等工作，逐步提高他们对传染病“预防为主，防治结合”的观念，并自觉遵守防疫制度，羊场设专人负责防疫工作。</w:t>
      </w:r>
    </w:p>
    <w:p>
      <w:pPr>
        <w:pStyle w:val="7"/>
        <w:spacing w:line="304" w:lineRule="exact"/>
        <w:ind w:left="1020"/>
      </w:pPr>
      <w:r>
        <w:t>②卫生管理和环境消毒</w:t>
      </w:r>
    </w:p>
    <w:p>
      <w:pPr>
        <w:pStyle w:val="7"/>
        <w:spacing w:before="153" w:line="360" w:lineRule="auto"/>
        <w:ind w:right="577" w:firstLine="480"/>
        <w:jc w:val="both"/>
      </w:pPr>
      <w:r>
        <w:rPr>
          <w:rFonts w:ascii="Times New Roman" w:eastAsia="Times New Roman"/>
        </w:rPr>
        <w:t>a</w:t>
      </w:r>
      <w:r>
        <w:rPr>
          <w:spacing w:val="-1"/>
        </w:rPr>
        <w:t>、净化环境，搞好全场卫生清洁工作：传染病源一般抵抗力较强，受污染</w:t>
      </w:r>
      <w:r>
        <w:rPr>
          <w:spacing w:val="-7"/>
        </w:rPr>
        <w:t>的场地难以彻底将其消灭。因此，坚持做好日常的环境清洁和消毒工作，定期进</w:t>
      </w:r>
      <w:r>
        <w:rPr>
          <w:spacing w:val="-9"/>
        </w:rPr>
        <w:t>行全场彻底大消毒，减少或消灭环境中的病毒和其他有关因素，是预防传染病最</w:t>
      </w:r>
      <w:r>
        <w:t>有效的手段。</w:t>
      </w:r>
    </w:p>
    <w:p>
      <w:pPr>
        <w:pStyle w:val="7"/>
        <w:spacing w:line="357" w:lineRule="auto"/>
        <w:ind w:right="577" w:firstLine="480"/>
        <w:jc w:val="both"/>
      </w:pPr>
      <w:r>
        <w:rPr>
          <w:rFonts w:ascii="Times New Roman" w:eastAsia="Times New Roman"/>
        </w:rPr>
        <w:t>b</w:t>
      </w:r>
      <w:r>
        <w:rPr>
          <w:spacing w:val="-1"/>
        </w:rPr>
        <w:t>、把好门口消毒关：项目场门口及职工宿舍西侧设置有人员雾化消毒室和</w:t>
      </w:r>
      <w:r>
        <w:rPr>
          <w:spacing w:val="-11"/>
        </w:rPr>
        <w:t>车辆消毒池，专人执行消毒工作。所有进入生产区的人员在进入生产区之前要进</w:t>
      </w:r>
      <w:r>
        <w:rPr>
          <w:spacing w:val="-8"/>
        </w:rPr>
        <w:t>行洗浴和紫外线消毒。进入羊舍要更换工作服，换下的工作服用臭氧消毒。同舍羊群为同一日龄饲养，同一批入舍或出舍，避免交叉感染。在育雏区和成羊区的</w:t>
      </w:r>
      <w:r>
        <w:t>各羊舍进出口分设净道、污道，平行布置，互不干扰，以利防疫。</w:t>
      </w:r>
    </w:p>
    <w:p>
      <w:pPr>
        <w:pStyle w:val="7"/>
        <w:spacing w:before="4" w:line="360" w:lineRule="auto"/>
        <w:ind w:right="577" w:firstLine="480"/>
      </w:pPr>
      <w:r>
        <w:rPr>
          <w:rFonts w:ascii="Times New Roman" w:eastAsia="Times New Roman"/>
        </w:rPr>
        <w:t>c</w:t>
      </w:r>
      <w:r>
        <w:rPr>
          <w:spacing w:val="-1"/>
        </w:rPr>
        <w:t>、加强卫生整理：严格搞好饲料及饮水的卫生管理，每天坚持做好房舍的</w:t>
      </w:r>
      <w:r>
        <w:t>清洁工作，并清洗各类工具、饲槽、水具等。</w:t>
      </w:r>
    </w:p>
    <w:p>
      <w:pPr>
        <w:pStyle w:val="7"/>
        <w:spacing w:line="360" w:lineRule="auto"/>
        <w:ind w:right="577" w:firstLine="480"/>
      </w:pPr>
      <w:r>
        <w:rPr>
          <w:rFonts w:ascii="Times New Roman" w:eastAsia="Times New Roman"/>
        </w:rPr>
        <w:t>d</w:t>
      </w:r>
      <w:r>
        <w:rPr>
          <w:spacing w:val="-2"/>
        </w:rPr>
        <w:t>、坚持灭鼠、灭虫，减少疾病传播：每月进行</w:t>
      </w:r>
      <w:r>
        <w:rPr>
          <w:rFonts w:ascii="Times New Roman" w:eastAsia="Times New Roman"/>
        </w:rPr>
        <w:t>1-2</w:t>
      </w:r>
      <w:r>
        <w:t>次全场性投药，并长期坚持，尽量减少中间媒介体，减少传播机会。</w:t>
      </w:r>
    </w:p>
    <w:p>
      <w:pPr>
        <w:pStyle w:val="7"/>
        <w:spacing w:line="307" w:lineRule="exact"/>
        <w:ind w:left="1020"/>
      </w:pPr>
      <w:r>
        <w:rPr>
          <w:rFonts w:ascii="Times New Roman" w:eastAsia="Times New Roman"/>
        </w:rPr>
        <w:t>e</w:t>
      </w:r>
      <w:r>
        <w:t>、加强防疫：留心观察羊群、有病羊或疑似病羊均应立即隔离或安全处置。</w:t>
      </w:r>
    </w:p>
    <w:p>
      <w:pPr>
        <w:pStyle w:val="7"/>
        <w:spacing w:before="148"/>
        <w:ind w:left="1020"/>
      </w:pPr>
      <w:r>
        <w:t>③药物预防</w:t>
      </w:r>
    </w:p>
    <w:p>
      <w:pPr>
        <w:pStyle w:val="7"/>
        <w:spacing w:before="153" w:line="357" w:lineRule="auto"/>
        <w:ind w:right="485" w:firstLine="480"/>
      </w:pPr>
      <w:r>
        <w:rPr>
          <w:spacing w:val="-1"/>
        </w:rPr>
        <w:t>合理的使用药物，即可预防羊的感染发病，又可消灭传染病原，净化环境。</w:t>
      </w:r>
      <w:r>
        <w:rPr>
          <w:spacing w:val="-10"/>
        </w:rPr>
        <w:t>因此，在生产实践中预防传染病，都采用早期投药，投药时应注意以下几方面的问题：</w:t>
      </w:r>
    </w:p>
    <w:p>
      <w:pPr>
        <w:pStyle w:val="7"/>
        <w:spacing w:before="6" w:line="360" w:lineRule="auto"/>
        <w:ind w:right="457" w:firstLine="480"/>
      </w:pPr>
      <w:r>
        <w:rPr>
          <w:rFonts w:ascii="Times New Roman" w:eastAsia="Times New Roman"/>
        </w:rPr>
        <w:t>a</w:t>
      </w:r>
      <w:r>
        <w:rPr>
          <w:spacing w:val="-10"/>
        </w:rPr>
        <w:t>、阶段性：某些疾病是在特定的易感期龄、发病季节或环境条件下存在的。</w:t>
      </w:r>
      <w:r>
        <w:t>根据这些规律，有针对性的用药，将会收到理想的效果。</w:t>
      </w:r>
    </w:p>
    <w:p>
      <w:pPr>
        <w:pStyle w:val="7"/>
        <w:spacing w:line="360" w:lineRule="auto"/>
        <w:ind w:right="457" w:firstLine="480"/>
      </w:pPr>
      <w:r>
        <w:rPr>
          <w:rFonts w:ascii="Times New Roman" w:eastAsia="Times New Roman"/>
        </w:rPr>
        <w:t>b</w:t>
      </w:r>
      <w:r>
        <w:rPr>
          <w:spacing w:val="-12"/>
        </w:rPr>
        <w:t>、时效性：用药时机至关重要，疾病在萌发状态或感染初期用药效果较好，</w:t>
      </w:r>
      <w:r>
        <w:t>若出现明显的临床症状或形成流行后，再用药则往往效果欠佳。</w:t>
      </w:r>
    </w:p>
    <w:p>
      <w:pPr>
        <w:pStyle w:val="7"/>
        <w:spacing w:line="307" w:lineRule="exact"/>
        <w:ind w:left="1020"/>
      </w:pPr>
      <w:r>
        <w:rPr>
          <w:rFonts w:ascii="Times New Roman" w:eastAsia="Times New Roman"/>
        </w:rPr>
        <w:t>c</w:t>
      </w:r>
      <w:r>
        <w:t>、准确性：目前药品种类繁多，同种疾病可选药物往往有多种。做好药敏</w:t>
      </w:r>
    </w:p>
    <w:p>
      <w:pPr>
        <w:spacing w:after="0" w:line="307" w:lineRule="exact"/>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sz w:val="9"/>
        </w:rPr>
      </w:pPr>
    </w:p>
    <w:p>
      <w:pPr>
        <w:pStyle w:val="7"/>
        <w:spacing w:before="66"/>
      </w:pPr>
      <w:r>
        <w:t>试验再行用药是解决用药准确性的切实可行方法。</w:t>
      </w:r>
    </w:p>
    <w:p>
      <w:pPr>
        <w:pStyle w:val="7"/>
        <w:spacing w:before="154" w:line="360" w:lineRule="auto"/>
        <w:ind w:right="580" w:firstLine="480"/>
      </w:pPr>
      <w:r>
        <w:rPr>
          <w:rFonts w:ascii="Times New Roman" w:eastAsia="Times New Roman"/>
        </w:rPr>
        <w:t>d</w:t>
      </w:r>
      <w:r>
        <w:t>、合理性：使用药品必须严格按照说明书要求，根据家畜自身状况确定用法、用量、疗程等。</w:t>
      </w:r>
    </w:p>
    <w:p>
      <w:pPr>
        <w:pStyle w:val="7"/>
        <w:spacing w:line="304" w:lineRule="exact"/>
        <w:ind w:left="1020"/>
      </w:pPr>
      <w:r>
        <w:rPr>
          <w:rFonts w:ascii="Times New Roman" w:eastAsia="Times New Roman"/>
        </w:rPr>
        <w:t>e</w:t>
      </w:r>
      <w:r>
        <w:t>、安全性：应慎用毒性过大、副作用强的药物。</w:t>
      </w:r>
    </w:p>
    <w:p>
      <w:pPr>
        <w:pStyle w:val="7"/>
        <w:spacing w:before="153"/>
        <w:ind w:left="1020"/>
      </w:pPr>
      <w:r>
        <w:t>④羊的免疫接种</w:t>
      </w:r>
    </w:p>
    <w:p>
      <w:pPr>
        <w:pStyle w:val="7"/>
        <w:spacing w:before="153" w:line="357" w:lineRule="auto"/>
        <w:ind w:right="485" w:firstLine="480"/>
        <w:jc w:val="both"/>
      </w:pPr>
      <w:r>
        <w:rPr>
          <w:spacing w:val="-5"/>
        </w:rPr>
        <w:t>对肉羊要结合当地疫情进行定期检疫或临时检疫。必要时请技术人员对肉羊</w:t>
      </w:r>
      <w:r>
        <w:rPr>
          <w:spacing w:val="-6"/>
        </w:rPr>
        <w:t>进行化验检查，对查出的羊具有传染性的病例应当隔离，分别进行治疗、育肥、</w:t>
      </w:r>
      <w:r>
        <w:rPr>
          <w:spacing w:val="-10"/>
        </w:rPr>
        <w:t>宰杀或淘汰，以保证肉羊健康。对新引进的肉羊，要查对产地兽医部门的预防注</w:t>
      </w:r>
      <w:r>
        <w:rPr>
          <w:spacing w:val="-14"/>
        </w:rPr>
        <w:t>射证明和检疫证明，隔离观察一段时间，经过免疫注射，确认健康后方准进入饲养区。</w:t>
      </w:r>
    </w:p>
    <w:p>
      <w:pPr>
        <w:pStyle w:val="7"/>
        <w:spacing w:before="9" w:line="360" w:lineRule="auto"/>
        <w:ind w:right="577" w:firstLine="480"/>
        <w:jc w:val="both"/>
      </w:pPr>
      <w:r>
        <w:rPr>
          <w:spacing w:val="-8"/>
        </w:rPr>
        <w:t>同时要建立预防接种制度。预防接种，就是对健康羊在适当的时机注射一定</w:t>
      </w:r>
      <w:r>
        <w:rPr>
          <w:spacing w:val="-9"/>
        </w:rPr>
        <w:t>数量的疫苗和菌苗，使羊产生抵抗这种传染病的免疫力。预防接种分为平时定期</w:t>
      </w:r>
      <w:r>
        <w:rPr>
          <w:spacing w:val="-6"/>
        </w:rPr>
        <w:t>预防接种和发生病情时的紧急预防接种两种。平时的定期预防接种，例如很多农</w:t>
      </w:r>
      <w:r>
        <w:rPr>
          <w:spacing w:val="-7"/>
        </w:rPr>
        <w:t>村在春季或秋季对羊进行的防疫注射，是对健康羊进行的以预防为目的的接种注</w:t>
      </w:r>
      <w:r>
        <w:rPr>
          <w:spacing w:val="-11"/>
        </w:rPr>
        <w:t>射，这种接种方式，注射的数量多，密度大，在控制和消灭羊传染病方面起着重</w:t>
      </w:r>
      <w:r>
        <w:rPr>
          <w:spacing w:val="-10"/>
        </w:rPr>
        <w:t>要的作用。紧急预防接种，是在发生了疫病的地区，对还没发病的羊，或疫区周</w:t>
      </w:r>
      <w:r>
        <w:rPr>
          <w:spacing w:val="-11"/>
        </w:rPr>
        <w:t>围的羊，进行的接种注射。这样会保护健康羊不发生疫情，而且由这些接肉羊建</w:t>
      </w:r>
      <w:r>
        <w:rPr>
          <w:spacing w:val="-10"/>
        </w:rPr>
        <w:t>立起隔离带，使疫区的疫情不再向外发生蔓延。这种接种方式，有的地区的农牧</w:t>
      </w:r>
      <w:r>
        <w:t>民称之为“顶风上的预防接种”，在控制和扑灭传染病方面起较大的作用。</w:t>
      </w:r>
    </w:p>
    <w:p>
      <w:pPr>
        <w:pStyle w:val="7"/>
        <w:spacing w:line="296" w:lineRule="exact"/>
        <w:ind w:left="1020"/>
        <w:jc w:val="both"/>
      </w:pPr>
      <w:r>
        <w:t>⑤建立疫病报告制度</w:t>
      </w:r>
    </w:p>
    <w:p>
      <w:pPr>
        <w:pStyle w:val="7"/>
        <w:spacing w:before="153" w:line="357" w:lineRule="auto"/>
        <w:ind w:right="457" w:firstLine="480"/>
        <w:jc w:val="both"/>
      </w:pPr>
      <w:r>
        <w:rPr>
          <w:spacing w:val="-14"/>
        </w:rPr>
        <w:t>养羊场要实行规范化管理，每栋羊舍内羊的数量、精神状况、发病死亡情况、</w:t>
      </w:r>
      <w:r>
        <w:rPr>
          <w:spacing w:val="-8"/>
        </w:rPr>
        <w:t>饲料消耗、粪便性状每天都应加以记载，发现有病羊、死羊，要及时向当地兽医部门报告，以便及早确诊，采取适当措施，减少损失。</w:t>
      </w:r>
    </w:p>
    <w:p>
      <w:pPr>
        <w:pStyle w:val="18"/>
        <w:numPr>
          <w:ilvl w:val="0"/>
          <w:numId w:val="60"/>
        </w:numPr>
        <w:tabs>
          <w:tab w:val="left" w:pos="1621"/>
        </w:tabs>
        <w:spacing w:before="5" w:after="0" w:line="240" w:lineRule="auto"/>
        <w:ind w:left="1621" w:right="0" w:hanging="601"/>
        <w:jc w:val="left"/>
        <w:rPr>
          <w:sz w:val="24"/>
        </w:rPr>
      </w:pPr>
      <w:r>
        <w:rPr>
          <w:sz w:val="24"/>
        </w:rPr>
        <w:t>发生疫情时的紧急防治措施</w:t>
      </w:r>
    </w:p>
    <w:p>
      <w:pPr>
        <w:pStyle w:val="7"/>
        <w:spacing w:before="151"/>
        <w:ind w:left="1020"/>
        <w:jc w:val="both"/>
      </w:pPr>
      <w:r>
        <w:rPr>
          <w:spacing w:val="-5"/>
        </w:rPr>
        <w:t>发现可疑动物疫情时，必须立即向当地县</w:t>
      </w:r>
      <w:r>
        <w:t>（市</w:t>
      </w:r>
      <w:r>
        <w:rPr>
          <w:spacing w:val="-24"/>
        </w:rPr>
        <w:t>）</w:t>
      </w:r>
      <w:r>
        <w:rPr>
          <w:spacing w:val="-2"/>
        </w:rPr>
        <w:t>动物防疫监督机构报告。县</w:t>
      </w:r>
    </w:p>
    <w:p>
      <w:pPr>
        <w:pStyle w:val="7"/>
        <w:spacing w:before="154" w:line="360" w:lineRule="auto"/>
        <w:ind w:right="577"/>
        <w:jc w:val="both"/>
      </w:pPr>
      <w:r>
        <w:t>（市</w:t>
      </w:r>
      <w:r>
        <w:rPr>
          <w:spacing w:val="-32"/>
        </w:rPr>
        <w:t>）</w:t>
      </w:r>
      <w:r>
        <w:rPr>
          <w:spacing w:val="-6"/>
        </w:rPr>
        <w:t>动物防疫监督机构接到报告后，应当立即赶赴现场诊断，必要时可请省动</w:t>
      </w:r>
      <w:r>
        <w:rPr>
          <w:spacing w:val="-7"/>
        </w:rPr>
        <w:t>物防疫监督机构派人协助进行诊断，认定为疑似重大动物疫情的，应当在</w:t>
      </w:r>
      <w:r>
        <w:rPr>
          <w:rFonts w:ascii="Times New Roman" w:eastAsia="Times New Roman"/>
        </w:rPr>
        <w:t>2</w:t>
      </w:r>
      <w:r>
        <w:rPr>
          <w:spacing w:val="-8"/>
        </w:rPr>
        <w:t>小时</w:t>
      </w:r>
      <w:r>
        <w:rPr>
          <w:spacing w:val="-6"/>
        </w:rPr>
        <w:t>内将疫情逐级报至省级动物防疫监督机构，并同时报所在地人民政府兽医行政管</w:t>
      </w:r>
      <w:r>
        <w:rPr>
          <w:spacing w:val="-10"/>
        </w:rPr>
        <w:t>理部门。省级动物防疫监督机构应当在接到报告后</w:t>
      </w:r>
      <w:r>
        <w:rPr>
          <w:rFonts w:ascii="Times New Roman" w:eastAsia="Times New Roman"/>
        </w:rPr>
        <w:t>1</w:t>
      </w:r>
      <w:r>
        <w:rPr>
          <w:spacing w:val="-8"/>
        </w:rPr>
        <w:t>小时内，向省级兽医行政管</w:t>
      </w:r>
      <w:r>
        <w:rPr>
          <w:spacing w:val="-12"/>
        </w:rPr>
        <w:t>理部门和农业部报告。省级兽医行政管理部门应当在接到报告后的</w:t>
      </w:r>
      <w:r>
        <w:rPr>
          <w:rFonts w:ascii="Times New Roman" w:eastAsia="Times New Roman"/>
        </w:rPr>
        <w:t>1</w:t>
      </w:r>
      <w:r>
        <w:t>小时内报省</w:t>
      </w:r>
      <w:r>
        <w:rPr>
          <w:spacing w:val="-7"/>
        </w:rPr>
        <w:t>级人民政府。特别重大、重大动物疫情发生后，省级人民政府、农业部应当在</w:t>
      </w:r>
      <w:r>
        <w:rPr>
          <w:rFonts w:ascii="Times New Roman" w:eastAsia="Times New Roman"/>
          <w:spacing w:val="-14"/>
        </w:rPr>
        <w:t>4</w:t>
      </w:r>
      <w:r>
        <w:rPr>
          <w:spacing w:val="-11"/>
        </w:rPr>
        <w:t>小时内向国务院报告。认定为疑似重大动物疫情的应立即按要求采集病料样品送</w:t>
      </w:r>
      <w:r>
        <w:rPr>
          <w:spacing w:val="-6"/>
        </w:rPr>
        <w:t>省级动物防疫监督机构实验室确诊，省级动物防疫监督机构不能确诊的，送国家</w:t>
      </w:r>
      <w:r>
        <w:t>参考实验室确诊。确诊结果应立即报农业部，并抄送省级兽医行政管理部门。</w:t>
      </w:r>
    </w:p>
    <w:p>
      <w:pPr>
        <w:pStyle w:val="7"/>
        <w:spacing w:line="360" w:lineRule="auto"/>
        <w:ind w:right="580" w:firstLine="480"/>
        <w:jc w:val="both"/>
      </w:pPr>
      <w:r>
        <w:t>①应立即组成防疫小组，尽快做出确切诊断，迅速向有关上级部门报告疫情；</w:t>
      </w:r>
    </w:p>
    <w:p>
      <w:pPr>
        <w:pStyle w:val="7"/>
        <w:spacing w:line="360" w:lineRule="auto"/>
        <w:ind w:right="577" w:firstLine="480"/>
        <w:jc w:val="both"/>
      </w:pPr>
      <w:r>
        <w:rPr>
          <w:spacing w:val="-1"/>
        </w:rPr>
        <w:t>②迅速隔离病羊，对危害较重的传染病应及时划区封锁，建立封锁带，出</w:t>
      </w:r>
      <w:r>
        <w:rPr>
          <w:spacing w:val="-7"/>
        </w:rPr>
        <w:t>入人员和车辆要严格消毒，同时严格消毒污染环境。解除封锁的条件是在病羊痊</w:t>
      </w:r>
      <w:r>
        <w:rPr>
          <w:spacing w:val="-6"/>
        </w:rPr>
        <w:t>愈后两个潜伏期内再无新病例出现，经过全面大消毒，报上级主管部门批准，方</w:t>
      </w:r>
      <w:r>
        <w:t>可解除封锁；</w:t>
      </w:r>
    </w:p>
    <w:p>
      <w:pPr>
        <w:pStyle w:val="7"/>
        <w:spacing w:line="357" w:lineRule="auto"/>
        <w:ind w:right="457" w:firstLine="480"/>
      </w:pPr>
      <w:r>
        <w:rPr>
          <w:spacing w:val="-6"/>
        </w:rPr>
        <w:t>③对病羊及封锁区内的羊实行合理的综合防制措施，包括疫苗的紧急接种、</w:t>
      </w:r>
      <w:r>
        <w:rPr>
          <w:spacing w:val="-10"/>
        </w:rPr>
        <w:t>抗生素疗法、高免血清的特异性疗法、化学疗法、增强体质和生理机能的辅助疗法等；</w:t>
      </w:r>
    </w:p>
    <w:p>
      <w:pPr>
        <w:pStyle w:val="7"/>
        <w:ind w:left="1020"/>
      </w:pPr>
      <w:r>
        <w:t>④病死羊尸体要严格按照防疫条例进行处置；</w:t>
      </w:r>
    </w:p>
    <w:p>
      <w:pPr>
        <w:pStyle w:val="7"/>
        <w:spacing w:before="148" w:line="357" w:lineRule="auto"/>
        <w:ind w:right="580" w:firstLine="480"/>
      </w:pPr>
      <w:r>
        <w:t>⑤出现重大疫情时必须严格执行《重大动物疫情应急条例》以及《高致病性禽流感疫情处置技术规范》中相关规定。</w:t>
      </w:r>
    </w:p>
    <w:p>
      <w:pPr>
        <w:pStyle w:val="18"/>
        <w:numPr>
          <w:ilvl w:val="3"/>
          <w:numId w:val="58"/>
        </w:numPr>
        <w:tabs>
          <w:tab w:val="left" w:pos="1320"/>
        </w:tabs>
        <w:spacing w:before="2" w:after="0" w:line="240" w:lineRule="auto"/>
        <w:ind w:left="1320" w:right="0" w:hanging="780"/>
        <w:jc w:val="left"/>
        <w:rPr>
          <w:sz w:val="24"/>
        </w:rPr>
      </w:pPr>
      <w:bookmarkStart w:id="340" w:name="5.2.7.9 环境风险应急预案"/>
      <w:bookmarkEnd w:id="340"/>
      <w:bookmarkStart w:id="341" w:name="5.2.7.9 环境风险应急预案"/>
      <w:bookmarkEnd w:id="341"/>
      <w:r>
        <w:rPr>
          <w:sz w:val="24"/>
        </w:rPr>
        <w:t>环境风险应急预案</w:t>
      </w:r>
    </w:p>
    <w:p>
      <w:pPr>
        <w:pStyle w:val="7"/>
        <w:spacing w:before="154" w:line="357" w:lineRule="auto"/>
        <w:ind w:right="577" w:firstLine="480"/>
        <w:jc w:val="both"/>
      </w:pPr>
      <w:r>
        <w:rPr>
          <w:spacing w:val="-8"/>
        </w:rPr>
        <w:t>建设单位应根据《国家突发公共事件总体应急预案》、《国家事故应急预案</w:t>
      </w:r>
      <w:r>
        <w:rPr>
          <w:spacing w:val="-11"/>
        </w:rPr>
        <w:t>框架指南》、《危险化学品事故应急救援预案编制导则》等相关规定的要求，制</w:t>
      </w:r>
      <w:r>
        <w:t>订和完善本项目风险事故应急预案。</w:t>
      </w:r>
    </w:p>
    <w:p>
      <w:pPr>
        <w:pStyle w:val="18"/>
        <w:numPr>
          <w:ilvl w:val="0"/>
          <w:numId w:val="61"/>
        </w:numPr>
        <w:tabs>
          <w:tab w:val="left" w:pos="1621"/>
        </w:tabs>
        <w:spacing w:before="5" w:after="0" w:line="240" w:lineRule="auto"/>
        <w:ind w:left="1621" w:right="0" w:hanging="601"/>
        <w:jc w:val="left"/>
        <w:rPr>
          <w:sz w:val="24"/>
        </w:rPr>
      </w:pPr>
      <w:r>
        <w:rPr>
          <w:sz w:val="24"/>
        </w:rPr>
        <w:t>企业内部应急预案</w:t>
      </w:r>
    </w:p>
    <w:p>
      <w:pPr>
        <w:pStyle w:val="7"/>
        <w:spacing w:before="151" w:line="360" w:lineRule="auto"/>
        <w:ind w:right="577" w:firstLine="480"/>
        <w:jc w:val="both"/>
      </w:pPr>
      <w:r>
        <w:rPr>
          <w:spacing w:val="-9"/>
        </w:rPr>
        <w:t>建设单位应按照国家《事故应急预案框架指南》，开展经常性的安全预案演</w:t>
      </w:r>
      <w:r>
        <w:rPr>
          <w:spacing w:val="-10"/>
        </w:rPr>
        <w:t>练，加强应急救援专业队伍建设，配备相应的安全防护和救援器材，提高快速反应救援能力，及时有效处置可能发生的应急事故。项目应建立应急预案，应急预</w:t>
      </w:r>
      <w:r>
        <w:t>案应包括以下的内容和要求：</w:t>
      </w:r>
    </w:p>
    <w:p>
      <w:pPr>
        <w:pStyle w:val="7"/>
        <w:spacing w:line="360" w:lineRule="auto"/>
        <w:ind w:right="580" w:firstLine="480"/>
        <w:jc w:val="both"/>
      </w:pPr>
      <w:r>
        <w:t>①建立企业—乡镇人民政府—市人民政府的联防应急组织机构，并配备相应的人员。</w:t>
      </w:r>
    </w:p>
    <w:p>
      <w:pPr>
        <w:pStyle w:val="7"/>
        <w:spacing w:line="304" w:lineRule="exact"/>
        <w:ind w:left="1020"/>
        <w:jc w:val="both"/>
      </w:pPr>
      <w:r>
        <w:t>②规定预案的级别及分级响应程序，并设置应急设施，设备与器材等。</w:t>
      </w:r>
    </w:p>
    <w:p>
      <w:pPr>
        <w:pStyle w:val="7"/>
        <w:spacing w:before="149"/>
        <w:ind w:left="1020"/>
        <w:jc w:val="both"/>
      </w:pPr>
      <w:r>
        <w:t>③规定应急状态下的报警通讯方式、通知方式和交通保障、管制。</w:t>
      </w:r>
    </w:p>
    <w:p>
      <w:pPr>
        <w:spacing w:after="0"/>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sz w:val="9"/>
        </w:rPr>
      </w:pPr>
    </w:p>
    <w:p>
      <w:pPr>
        <w:pStyle w:val="7"/>
        <w:spacing w:before="66" w:line="360" w:lineRule="auto"/>
        <w:ind w:right="577" w:firstLine="480"/>
        <w:jc w:val="both"/>
      </w:pPr>
      <w:r>
        <w:rPr>
          <w:spacing w:val="-1"/>
        </w:rPr>
        <w:t>④由专业队伍负责对事故现场进行侦察监测，对事故性质、参数与后果进</w:t>
      </w:r>
      <w:r>
        <w:rPr>
          <w:spacing w:val="-10"/>
        </w:rPr>
        <w:t>行评估，为指挥部门提供决策依据。组织人员成立抢险队，及时拦截危险品泄漏</w:t>
      </w:r>
      <w:r>
        <w:rPr>
          <w:spacing w:val="-7"/>
        </w:rPr>
        <w:t>至水体或打捞落入水体中的物件，同时采取相应的处置措施，最大限度地减轻影</w:t>
      </w:r>
      <w:r>
        <w:t>响范围和程度。</w:t>
      </w:r>
    </w:p>
    <w:p>
      <w:pPr>
        <w:pStyle w:val="7"/>
        <w:spacing w:line="303" w:lineRule="exact"/>
        <w:ind w:left="1020"/>
        <w:jc w:val="both"/>
      </w:pPr>
      <w:r>
        <w:t>⑤应急检测、防护措施、清除泄漏措施和器材。</w:t>
      </w:r>
    </w:p>
    <w:p>
      <w:pPr>
        <w:pStyle w:val="7"/>
        <w:spacing w:before="154" w:line="357" w:lineRule="auto"/>
        <w:ind w:right="580" w:firstLine="480"/>
        <w:jc w:val="both"/>
      </w:pPr>
      <w:r>
        <w:t>⑥事故现场、受事故影响的区域人员及公众对毒物应急剂量控制规定，撤离组织计划及救护，医疗救护与公众健康。</w:t>
      </w:r>
    </w:p>
    <w:p>
      <w:pPr>
        <w:pStyle w:val="7"/>
        <w:spacing w:before="3" w:line="360" w:lineRule="auto"/>
        <w:ind w:right="580" w:firstLine="480"/>
        <w:jc w:val="both"/>
      </w:pPr>
      <w:r>
        <w:t>⑦规定应急状态终止程序，事故现场善后处理，恢复措施，邻近区域解除事故警戒及善后恢复措施。</w:t>
      </w:r>
    </w:p>
    <w:p>
      <w:pPr>
        <w:pStyle w:val="7"/>
        <w:spacing w:line="304" w:lineRule="exact"/>
        <w:ind w:left="1020"/>
        <w:jc w:val="both"/>
      </w:pPr>
      <w:r>
        <w:t>⑧应急计划制定后，平时安排人员培训与演练。</w:t>
      </w:r>
    </w:p>
    <w:p>
      <w:pPr>
        <w:pStyle w:val="7"/>
        <w:spacing w:before="153" w:line="360" w:lineRule="auto"/>
        <w:ind w:left="1020" w:right="2765"/>
        <w:jc w:val="both"/>
      </w:pPr>
      <w:r>
        <w:drawing>
          <wp:anchor distT="0" distB="0" distL="0" distR="0" simplePos="0" relativeHeight="232338432" behindDoc="1" locked="0" layoutInCell="1" allowOverlap="1">
            <wp:simplePos x="0" y="0"/>
            <wp:positionH relativeFrom="page">
              <wp:posOffset>1143000</wp:posOffset>
            </wp:positionH>
            <wp:positionV relativeFrom="paragraph">
              <wp:posOffset>649605</wp:posOffset>
            </wp:positionV>
            <wp:extent cx="5259705" cy="3789045"/>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a:blip r:embed="rId54" cstate="print"/>
                    <a:stretch>
                      <a:fillRect/>
                    </a:stretch>
                  </pic:blipFill>
                  <pic:spPr>
                    <a:xfrm>
                      <a:off x="0" y="0"/>
                      <a:ext cx="5259853" cy="3789243"/>
                    </a:xfrm>
                    <a:prstGeom prst="rect">
                      <a:avLst/>
                    </a:prstGeom>
                  </pic:spPr>
                </pic:pic>
              </a:graphicData>
            </a:graphic>
          </wp:anchor>
        </w:drawing>
      </w:r>
      <w:r>
        <w:t>⑨对邻近地区开展公众教育、培训和发布有关信息。事故应急处置程序如图</w:t>
      </w:r>
      <w:r>
        <w:rPr>
          <w:rFonts w:ascii="Times New Roman" w:hAnsi="Times New Roman" w:eastAsia="Times New Roman"/>
        </w:rPr>
        <w:t>5.2-2</w:t>
      </w:r>
      <w:r>
        <w:t>所示。</w:t>
      </w: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ind w:left="0"/>
        <w:rPr>
          <w:sz w:val="26"/>
        </w:rPr>
      </w:pPr>
    </w:p>
    <w:p>
      <w:pPr>
        <w:pStyle w:val="7"/>
        <w:bidi w:val="0"/>
        <w:jc w:val="center"/>
      </w:pPr>
      <w:r>
        <w:t>图</w:t>
      </w:r>
      <w:r>
        <w:rPr>
          <w:rFonts w:ascii="Times New Roman" w:eastAsia="Times New Roman"/>
        </w:rPr>
        <w:t>5.2-2</w:t>
      </w:r>
      <w:r>
        <w:rPr>
          <w:rFonts w:ascii="Times New Roman" w:eastAsia="Times New Roman"/>
        </w:rPr>
        <w:tab/>
      </w:r>
      <w:r>
        <w:t>事故应急处置程序</w:t>
      </w:r>
    </w:p>
    <w:p>
      <w:pPr>
        <w:pStyle w:val="18"/>
        <w:numPr>
          <w:ilvl w:val="0"/>
          <w:numId w:val="61"/>
        </w:numPr>
        <w:tabs>
          <w:tab w:val="left" w:pos="1621"/>
        </w:tabs>
        <w:spacing w:before="209" w:after="0" w:line="240" w:lineRule="auto"/>
        <w:ind w:left="1621" w:right="0" w:hanging="601"/>
        <w:jc w:val="left"/>
        <w:rPr>
          <w:sz w:val="24"/>
        </w:rPr>
      </w:pPr>
      <w:r>
        <w:rPr>
          <w:sz w:val="24"/>
        </w:rPr>
        <w:t>事故上报流程</w:t>
      </w:r>
    </w:p>
    <w:p>
      <w:pPr>
        <w:pStyle w:val="7"/>
        <w:spacing w:before="153"/>
        <w:ind w:left="1020"/>
      </w:pPr>
      <w:r>
        <w:t>一旦发生事故，建设单位应及时向上级主管部门逐级进行汇报。</w:t>
      </w:r>
    </w:p>
    <w:p>
      <w:pPr>
        <w:pStyle w:val="18"/>
        <w:numPr>
          <w:ilvl w:val="0"/>
          <w:numId w:val="61"/>
        </w:numPr>
        <w:tabs>
          <w:tab w:val="left" w:pos="1621"/>
        </w:tabs>
        <w:spacing w:before="153" w:after="0" w:line="240" w:lineRule="auto"/>
        <w:ind w:left="1621" w:right="0" w:hanging="601"/>
        <w:jc w:val="left"/>
        <w:rPr>
          <w:sz w:val="24"/>
        </w:rPr>
      </w:pPr>
      <w:r>
        <w:rPr>
          <w:sz w:val="24"/>
        </w:rPr>
        <w:t>紧急安全疏散</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9"/>
        <w:ind w:left="0"/>
        <w:rPr>
          <w:sz w:val="9"/>
        </w:rPr>
      </w:pPr>
    </w:p>
    <w:p>
      <w:pPr>
        <w:pStyle w:val="7"/>
        <w:spacing w:before="66" w:line="360" w:lineRule="auto"/>
        <w:ind w:right="577" w:firstLine="480"/>
        <w:jc w:val="both"/>
      </w:pPr>
      <w:r>
        <w:rPr>
          <w:spacing w:val="-8"/>
        </w:rPr>
        <w:t>在发生重大危险事故，可能对场区内外人群安全构成威胁时，必须在指挥部</w:t>
      </w:r>
      <w:r>
        <w:rPr>
          <w:spacing w:val="-10"/>
        </w:rPr>
        <w:t>统一指挥下，对与事故应急救援无关的人员进行紧急疏散。对可能威胁到场区风</w:t>
      </w:r>
      <w:r>
        <w:rPr>
          <w:spacing w:val="-4"/>
        </w:rPr>
        <w:t>险评价范围内居民</w:t>
      </w:r>
      <w:r>
        <w:t>（包括友邻单位人员</w:t>
      </w:r>
      <w:r>
        <w:rPr>
          <w:spacing w:val="-32"/>
        </w:rPr>
        <w:t>）</w:t>
      </w:r>
      <w:r>
        <w:rPr>
          <w:spacing w:val="-7"/>
        </w:rPr>
        <w:t>安全时，指挥部应立即和地方有关部门</w:t>
      </w:r>
      <w:r>
        <w:t>联系，引导居民迅速撤离到安全地点。</w:t>
      </w:r>
    </w:p>
    <w:p>
      <w:pPr>
        <w:pStyle w:val="18"/>
        <w:numPr>
          <w:ilvl w:val="3"/>
          <w:numId w:val="58"/>
        </w:numPr>
        <w:tabs>
          <w:tab w:val="left" w:pos="1440"/>
        </w:tabs>
        <w:spacing w:before="0" w:after="0" w:line="263" w:lineRule="exact"/>
        <w:ind w:left="1440" w:right="0" w:hanging="900"/>
        <w:jc w:val="left"/>
        <w:rPr>
          <w:sz w:val="24"/>
        </w:rPr>
      </w:pPr>
      <w:bookmarkStart w:id="342" w:name="5.2.7.10 环境风险分析结论"/>
      <w:bookmarkEnd w:id="342"/>
      <w:bookmarkStart w:id="343" w:name="5.2.7.10 环境风险分析结论"/>
      <w:bookmarkEnd w:id="343"/>
      <w:r>
        <w:rPr>
          <w:sz w:val="24"/>
        </w:rPr>
        <w:t>环境风险分析结论</w:t>
      </w:r>
    </w:p>
    <w:p>
      <w:pPr>
        <w:pStyle w:val="7"/>
        <w:spacing w:before="216" w:line="360" w:lineRule="auto"/>
        <w:ind w:right="457" w:firstLine="480"/>
      </w:pPr>
      <w:r>
        <w:rPr>
          <w:spacing w:val="-4"/>
        </w:rPr>
        <w:t>拟建项目在设计中充分考虑了各种危险因素和可能造成的危害，并采取了相</w:t>
      </w:r>
      <w:r>
        <w:rPr>
          <w:spacing w:val="-17"/>
        </w:rPr>
        <w:t>应的预防措施，避免事故状态废水直接外排，避免火灾事故对项目造成较大危害。</w:t>
      </w:r>
      <w:r>
        <w:rPr>
          <w:spacing w:val="-5"/>
        </w:rPr>
        <w:t>因此只要各工作岗位严格遵守岗位操作规程，避免误操作，加强设备的维护和管理，本项目环境风险水平可接受，风险防范措施有效可行。</w:t>
      </w:r>
    </w:p>
    <w:p>
      <w:pPr>
        <w:pStyle w:val="7"/>
        <w:bidi w:val="0"/>
        <w:jc w:val="center"/>
      </w:pPr>
      <w:r>
        <w:t>表</w:t>
      </w:r>
      <w:r>
        <w:rPr>
          <w:rFonts w:ascii="Times New Roman" w:eastAsia="Times New Roman"/>
        </w:rPr>
        <w:t>5.2-18</w:t>
      </w:r>
      <w:r>
        <w:rPr>
          <w:rFonts w:ascii="Times New Roman" w:eastAsia="Times New Roman"/>
        </w:rPr>
        <w:tab/>
      </w:r>
      <w:r>
        <w:t>建设项目环境风险简单分析表</w:t>
      </w:r>
    </w:p>
    <w:tbl>
      <w:tblPr>
        <w:tblStyle w:val="15"/>
        <w:tblW w:w="0" w:type="auto"/>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5"/>
        <w:gridCol w:w="1175"/>
        <w:gridCol w:w="238"/>
        <w:gridCol w:w="1231"/>
        <w:gridCol w:w="369"/>
        <w:gridCol w:w="862"/>
        <w:gridCol w:w="325"/>
        <w:gridCol w:w="906"/>
        <w:gridCol w:w="1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75" w:type="dxa"/>
          </w:tcPr>
          <w:p>
            <w:pPr>
              <w:pStyle w:val="19"/>
              <w:spacing w:before="34"/>
              <w:ind w:left="125" w:right="113"/>
              <w:rPr>
                <w:b/>
                <w:color w:val="0000FF"/>
                <w:sz w:val="21"/>
              </w:rPr>
            </w:pPr>
            <w:r>
              <w:rPr>
                <w:b/>
                <w:color w:val="0000FF"/>
                <w:sz w:val="21"/>
              </w:rPr>
              <w:t>建设项目名称</w:t>
            </w:r>
          </w:p>
        </w:tc>
        <w:tc>
          <w:tcPr>
            <w:tcW w:w="6338" w:type="dxa"/>
            <w:gridSpan w:val="8"/>
          </w:tcPr>
          <w:p>
            <w:pPr>
              <w:pStyle w:val="19"/>
              <w:spacing w:before="34"/>
              <w:jc w:val="center"/>
              <w:rPr>
                <w:color w:val="0000FF"/>
                <w:sz w:val="21"/>
              </w:rPr>
            </w:pPr>
            <w:r>
              <w:rPr>
                <w:rFonts w:ascii="宋?" w:hAnsi="宋?" w:cs="宋?"/>
                <w:color w:val="0000FF"/>
                <w:kern w:val="0"/>
                <w:sz w:val="24"/>
                <w:szCs w:val="24"/>
              </w:rPr>
              <w:t>莎车县孜热甫夏提良种繁育中心建设项目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975" w:type="dxa"/>
          </w:tcPr>
          <w:p>
            <w:pPr>
              <w:pStyle w:val="19"/>
              <w:spacing w:before="104"/>
              <w:ind w:left="123" w:right="113"/>
              <w:rPr>
                <w:b/>
                <w:color w:val="0000FF"/>
                <w:sz w:val="21"/>
              </w:rPr>
            </w:pPr>
            <w:r>
              <w:rPr>
                <w:b/>
                <w:color w:val="0000FF"/>
                <w:sz w:val="21"/>
              </w:rPr>
              <w:t>建设地点</w:t>
            </w:r>
          </w:p>
        </w:tc>
        <w:tc>
          <w:tcPr>
            <w:tcW w:w="1413" w:type="dxa"/>
            <w:gridSpan w:val="2"/>
          </w:tcPr>
          <w:p>
            <w:pPr>
              <w:pStyle w:val="19"/>
              <w:spacing w:line="236" w:lineRule="exact"/>
              <w:ind w:left="180"/>
              <w:jc w:val="left"/>
              <w:rPr>
                <w:color w:val="0000FF"/>
                <w:sz w:val="21"/>
              </w:rPr>
            </w:pPr>
            <w:r>
              <w:rPr>
                <w:color w:val="0000FF"/>
                <w:sz w:val="21"/>
              </w:rPr>
              <w:t>（新疆维吾</w:t>
            </w:r>
          </w:p>
          <w:p>
            <w:pPr>
              <w:pStyle w:val="19"/>
              <w:spacing w:line="224" w:lineRule="exact"/>
              <w:ind w:left="108"/>
              <w:jc w:val="left"/>
              <w:rPr>
                <w:color w:val="0000FF"/>
                <w:sz w:val="21"/>
              </w:rPr>
            </w:pPr>
            <w:r>
              <w:rPr>
                <w:color w:val="0000FF"/>
                <w:sz w:val="21"/>
              </w:rPr>
              <w:t>尔自治区</w:t>
            </w:r>
            <w:r>
              <w:rPr>
                <w:color w:val="0000FF"/>
                <w:spacing w:val="-63"/>
                <w:sz w:val="21"/>
              </w:rPr>
              <w:t>）</w:t>
            </w:r>
            <w:r>
              <w:rPr>
                <w:color w:val="0000FF"/>
                <w:sz w:val="21"/>
              </w:rPr>
              <w:t>省</w:t>
            </w:r>
          </w:p>
        </w:tc>
        <w:tc>
          <w:tcPr>
            <w:tcW w:w="1231" w:type="dxa"/>
          </w:tcPr>
          <w:p>
            <w:pPr>
              <w:pStyle w:val="19"/>
              <w:spacing w:line="236" w:lineRule="exact"/>
              <w:ind w:left="174" w:right="167"/>
              <w:rPr>
                <w:color w:val="0000FF"/>
                <w:sz w:val="21"/>
              </w:rPr>
            </w:pPr>
            <w:r>
              <w:rPr>
                <w:color w:val="0000FF"/>
                <w:sz w:val="21"/>
              </w:rPr>
              <w:t>（</w:t>
            </w:r>
            <w:r>
              <w:rPr>
                <w:rFonts w:hint="eastAsia"/>
                <w:color w:val="0000FF"/>
                <w:sz w:val="21"/>
                <w:lang w:val="en-US" w:eastAsia="zh-CN"/>
              </w:rPr>
              <w:t>喀什地区</w:t>
            </w:r>
            <w:r>
              <w:rPr>
                <w:color w:val="0000FF"/>
                <w:sz w:val="21"/>
              </w:rPr>
              <w:t>）市</w:t>
            </w:r>
          </w:p>
        </w:tc>
        <w:tc>
          <w:tcPr>
            <w:tcW w:w="1231" w:type="dxa"/>
            <w:gridSpan w:val="2"/>
          </w:tcPr>
          <w:p>
            <w:pPr>
              <w:pStyle w:val="19"/>
              <w:spacing w:before="101"/>
              <w:ind w:left="269"/>
              <w:jc w:val="left"/>
              <w:rPr>
                <w:color w:val="0000FF"/>
                <w:sz w:val="21"/>
              </w:rPr>
            </w:pPr>
            <w:r>
              <w:rPr>
                <w:color w:val="0000FF"/>
                <w:sz w:val="21"/>
              </w:rPr>
              <w:t>（</w:t>
            </w:r>
            <w:r>
              <w:rPr>
                <w:rFonts w:ascii="Times New Roman" w:eastAsia="Times New Roman"/>
                <w:color w:val="0000FF"/>
                <w:sz w:val="21"/>
              </w:rPr>
              <w:t>/</w:t>
            </w:r>
            <w:r>
              <w:rPr>
                <w:color w:val="0000FF"/>
                <w:sz w:val="21"/>
              </w:rPr>
              <w:t>）区</w:t>
            </w:r>
          </w:p>
        </w:tc>
        <w:tc>
          <w:tcPr>
            <w:tcW w:w="1231" w:type="dxa"/>
            <w:gridSpan w:val="2"/>
          </w:tcPr>
          <w:p>
            <w:pPr>
              <w:pStyle w:val="19"/>
              <w:spacing w:before="104"/>
              <w:ind w:left="106"/>
              <w:jc w:val="left"/>
              <w:rPr>
                <w:color w:val="0000FF"/>
                <w:sz w:val="21"/>
              </w:rPr>
            </w:pPr>
            <w:r>
              <w:rPr>
                <w:color w:val="0000FF"/>
                <w:sz w:val="21"/>
              </w:rPr>
              <w:t>（</w:t>
            </w:r>
            <w:r>
              <w:rPr>
                <w:rFonts w:hint="eastAsia"/>
                <w:color w:val="0000FF"/>
                <w:sz w:val="21"/>
                <w:lang w:val="en-US" w:eastAsia="zh-CN"/>
              </w:rPr>
              <w:t>莎车</w:t>
            </w:r>
            <w:r>
              <w:rPr>
                <w:color w:val="0000FF"/>
                <w:sz w:val="21"/>
              </w:rPr>
              <w:t>）县</w:t>
            </w:r>
          </w:p>
        </w:tc>
        <w:tc>
          <w:tcPr>
            <w:tcW w:w="1232" w:type="dxa"/>
          </w:tcPr>
          <w:p>
            <w:pPr>
              <w:pStyle w:val="19"/>
              <w:spacing w:before="104"/>
              <w:ind w:left="166"/>
              <w:jc w:val="left"/>
              <w:rPr>
                <w:color w:val="0000FF"/>
                <w:sz w:val="21"/>
              </w:rPr>
            </w:pPr>
            <w:r>
              <w:rPr>
                <w:color w:val="0000FF"/>
                <w:sz w:val="21"/>
              </w:rPr>
              <w:t>（</w:t>
            </w:r>
            <w:r>
              <w:rPr>
                <w:rFonts w:ascii="Times New Roman" w:eastAsia="Times New Roman"/>
                <w:color w:val="0000FF"/>
                <w:sz w:val="21"/>
              </w:rPr>
              <w:t>/</w:t>
            </w:r>
            <w:r>
              <w:rPr>
                <w:color w:val="0000FF"/>
                <w:sz w:val="21"/>
              </w:rPr>
              <w:t>）园区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75" w:type="dxa"/>
          </w:tcPr>
          <w:p>
            <w:pPr>
              <w:pStyle w:val="19"/>
              <w:spacing w:before="34"/>
              <w:ind w:left="123" w:right="113"/>
              <w:rPr>
                <w:b/>
                <w:color w:val="0000FF"/>
                <w:sz w:val="21"/>
              </w:rPr>
            </w:pPr>
            <w:r>
              <w:rPr>
                <w:b/>
                <w:color w:val="0000FF"/>
                <w:sz w:val="21"/>
              </w:rPr>
              <w:t>地理坐标</w:t>
            </w:r>
          </w:p>
        </w:tc>
        <w:tc>
          <w:tcPr>
            <w:tcW w:w="1175" w:type="dxa"/>
          </w:tcPr>
          <w:p>
            <w:pPr>
              <w:pStyle w:val="19"/>
              <w:spacing w:before="34"/>
              <w:ind w:left="376"/>
              <w:jc w:val="left"/>
              <w:rPr>
                <w:color w:val="0000FF"/>
                <w:sz w:val="21"/>
              </w:rPr>
            </w:pPr>
            <w:r>
              <w:rPr>
                <w:color w:val="0000FF"/>
                <w:sz w:val="21"/>
              </w:rPr>
              <w:t>经度</w:t>
            </w:r>
          </w:p>
        </w:tc>
        <w:tc>
          <w:tcPr>
            <w:tcW w:w="1838" w:type="dxa"/>
            <w:gridSpan w:val="3"/>
          </w:tcPr>
          <w:p>
            <w:pPr>
              <w:pStyle w:val="19"/>
              <w:spacing w:before="34"/>
              <w:ind w:left="305"/>
              <w:jc w:val="left"/>
              <w:rPr>
                <w:rFonts w:ascii="Times New Roman" w:hAnsi="Times New Roman"/>
                <w:color w:val="0000FF"/>
                <w:sz w:val="21"/>
              </w:rPr>
            </w:pPr>
            <w:r>
              <w:rPr>
                <w:rFonts w:hint="eastAsia"/>
                <w:color w:val="0000FF"/>
                <w:sz w:val="21"/>
                <w:lang w:val="en-US" w:eastAsia="zh-CN"/>
              </w:rPr>
              <w:t>77</w:t>
            </w:r>
            <w:r>
              <w:rPr>
                <w:color w:val="0000FF"/>
                <w:sz w:val="21"/>
              </w:rPr>
              <w:t>°</w:t>
            </w:r>
            <w:r>
              <w:rPr>
                <w:rFonts w:hint="eastAsia"/>
                <w:color w:val="0000FF"/>
                <w:sz w:val="21"/>
                <w:lang w:val="en-US" w:eastAsia="zh-CN"/>
              </w:rPr>
              <w:t>2</w:t>
            </w:r>
            <w:r>
              <w:rPr>
                <w:rFonts w:ascii="Times New Roman" w:hAnsi="Times New Roman"/>
                <w:color w:val="0000FF"/>
                <w:sz w:val="21"/>
              </w:rPr>
              <w:t>'</w:t>
            </w:r>
            <w:r>
              <w:rPr>
                <w:rFonts w:hint="eastAsia" w:ascii="Times New Roman" w:hAnsi="Times New Roman"/>
                <w:color w:val="0000FF"/>
                <w:sz w:val="21"/>
                <w:lang w:val="en-US" w:eastAsia="zh-CN"/>
              </w:rPr>
              <w:t>59</w:t>
            </w:r>
            <w:r>
              <w:rPr>
                <w:rFonts w:ascii="Times New Roman" w:hAnsi="Times New Roman"/>
                <w:color w:val="0000FF"/>
                <w:sz w:val="21"/>
              </w:rPr>
              <w:t>.</w:t>
            </w:r>
            <w:r>
              <w:rPr>
                <w:rFonts w:hint="eastAsia" w:ascii="Times New Roman" w:hAnsi="Times New Roman"/>
                <w:color w:val="0000FF"/>
                <w:sz w:val="21"/>
                <w:lang w:val="en-US" w:eastAsia="zh-CN"/>
              </w:rPr>
              <w:t>32</w:t>
            </w:r>
            <w:r>
              <w:rPr>
                <w:rFonts w:ascii="Times New Roman" w:hAnsi="Times New Roman"/>
                <w:color w:val="0000FF"/>
                <w:sz w:val="21"/>
              </w:rPr>
              <w:t>"</w:t>
            </w:r>
          </w:p>
        </w:tc>
        <w:tc>
          <w:tcPr>
            <w:tcW w:w="1187" w:type="dxa"/>
            <w:gridSpan w:val="2"/>
          </w:tcPr>
          <w:p>
            <w:pPr>
              <w:pStyle w:val="19"/>
              <w:spacing w:before="34"/>
              <w:ind w:left="383"/>
              <w:jc w:val="left"/>
              <w:rPr>
                <w:color w:val="0000FF"/>
                <w:sz w:val="21"/>
              </w:rPr>
            </w:pPr>
            <w:r>
              <w:rPr>
                <w:color w:val="0000FF"/>
                <w:sz w:val="21"/>
              </w:rPr>
              <w:t>纬度</w:t>
            </w:r>
          </w:p>
        </w:tc>
        <w:tc>
          <w:tcPr>
            <w:tcW w:w="2138" w:type="dxa"/>
            <w:gridSpan w:val="2"/>
          </w:tcPr>
          <w:p>
            <w:pPr>
              <w:pStyle w:val="19"/>
              <w:spacing w:before="34"/>
              <w:ind w:left="456"/>
              <w:jc w:val="left"/>
              <w:rPr>
                <w:rFonts w:ascii="Times New Roman" w:hAnsi="Times New Roman"/>
                <w:color w:val="0000FF"/>
                <w:sz w:val="21"/>
              </w:rPr>
            </w:pPr>
            <w:r>
              <w:rPr>
                <w:rFonts w:ascii="Times New Roman" w:hAnsi="Times New Roman"/>
                <w:color w:val="0000FF"/>
                <w:sz w:val="21"/>
              </w:rPr>
              <w:t>3</w:t>
            </w:r>
            <w:r>
              <w:rPr>
                <w:rFonts w:hint="eastAsia" w:ascii="Times New Roman" w:hAnsi="Times New Roman"/>
                <w:color w:val="0000FF"/>
                <w:sz w:val="21"/>
                <w:lang w:val="en-US" w:eastAsia="zh-CN"/>
              </w:rPr>
              <w:t>8</w:t>
            </w:r>
            <w:r>
              <w:rPr>
                <w:color w:val="0000FF"/>
                <w:sz w:val="21"/>
              </w:rPr>
              <w:t>°</w:t>
            </w:r>
            <w:r>
              <w:rPr>
                <w:rFonts w:hint="eastAsia"/>
                <w:color w:val="0000FF"/>
                <w:sz w:val="21"/>
                <w:lang w:val="en-US" w:eastAsia="zh-CN"/>
              </w:rPr>
              <w:t>12</w:t>
            </w:r>
            <w:r>
              <w:rPr>
                <w:rFonts w:ascii="Times New Roman" w:hAnsi="Times New Roman"/>
                <w:color w:val="0000FF"/>
                <w:sz w:val="21"/>
              </w:rPr>
              <w:t>'5</w:t>
            </w:r>
            <w:r>
              <w:rPr>
                <w:rFonts w:hint="eastAsia" w:ascii="Times New Roman" w:hAnsi="Times New Roman"/>
                <w:color w:val="0000FF"/>
                <w:sz w:val="21"/>
                <w:lang w:val="en-US" w:eastAsia="zh-CN"/>
              </w:rPr>
              <w:t>5</w:t>
            </w:r>
            <w:r>
              <w:rPr>
                <w:rFonts w:ascii="Times New Roman" w:hAnsi="Times New Roman"/>
                <w:color w:val="0000FF"/>
                <w:sz w:val="21"/>
              </w:rPr>
              <w:t>.</w:t>
            </w:r>
            <w:r>
              <w:rPr>
                <w:rFonts w:hint="eastAsia" w:ascii="Times New Roman" w:hAnsi="Times New Roman"/>
                <w:color w:val="0000FF"/>
                <w:sz w:val="21"/>
                <w:lang w:val="en-US" w:eastAsia="zh-CN"/>
              </w:rPr>
              <w:t>5</w:t>
            </w:r>
            <w:r>
              <w:rPr>
                <w:rFonts w:ascii="Times New Roman" w:hAnsi="Times New Roman"/>
                <w:color w:val="0000FF"/>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975" w:type="dxa"/>
          </w:tcPr>
          <w:p>
            <w:pPr>
              <w:pStyle w:val="19"/>
              <w:spacing w:before="124" w:line="213" w:lineRule="auto"/>
              <w:ind w:left="880" w:right="131" w:hanging="735"/>
              <w:jc w:val="left"/>
              <w:rPr>
                <w:b/>
                <w:color w:val="0000FF"/>
                <w:sz w:val="21"/>
              </w:rPr>
            </w:pPr>
            <w:r>
              <w:rPr>
                <w:b/>
                <w:color w:val="0000FF"/>
                <w:sz w:val="21"/>
              </w:rPr>
              <w:t>主要危险物质及分布</w:t>
            </w:r>
          </w:p>
        </w:tc>
        <w:tc>
          <w:tcPr>
            <w:tcW w:w="6338" w:type="dxa"/>
            <w:gridSpan w:val="8"/>
          </w:tcPr>
          <w:p>
            <w:pPr>
              <w:pStyle w:val="19"/>
              <w:spacing w:line="236" w:lineRule="exact"/>
              <w:ind w:left="108"/>
              <w:jc w:val="left"/>
              <w:rPr>
                <w:color w:val="0000FF"/>
                <w:sz w:val="21"/>
              </w:rPr>
            </w:pPr>
            <w:r>
              <w:rPr>
                <w:color w:val="0000FF"/>
                <w:spacing w:val="32"/>
                <w:sz w:val="21"/>
              </w:rPr>
              <w:t>本项目原辅料均不属于《危险化学品重大危险源辨识》</w:t>
            </w:r>
          </w:p>
          <w:p>
            <w:pPr>
              <w:pStyle w:val="19"/>
              <w:spacing w:line="240" w:lineRule="exact"/>
              <w:ind w:left="108"/>
              <w:jc w:val="left"/>
              <w:rPr>
                <w:color w:val="0000FF"/>
                <w:sz w:val="21"/>
              </w:rPr>
            </w:pPr>
            <w:r>
              <w:rPr>
                <w:color w:val="0000FF"/>
                <w:sz w:val="21"/>
              </w:rPr>
              <w:t>（</w:t>
            </w:r>
            <w:r>
              <w:rPr>
                <w:rFonts w:ascii="Times New Roman" w:eastAsia="Times New Roman"/>
                <w:color w:val="0000FF"/>
                <w:sz w:val="21"/>
              </w:rPr>
              <w:t>GB18218-2009</w:t>
            </w:r>
            <w:r>
              <w:rPr>
                <w:color w:val="0000FF"/>
                <w:sz w:val="21"/>
              </w:rPr>
              <w:t>）</w:t>
            </w:r>
            <w:r>
              <w:rPr>
                <w:color w:val="0000FF"/>
                <w:spacing w:val="24"/>
                <w:sz w:val="21"/>
              </w:rPr>
              <w:t>和《建设项目环境风险评价技术导则》</w:t>
            </w:r>
          </w:p>
          <w:p>
            <w:pPr>
              <w:pStyle w:val="19"/>
              <w:spacing w:line="224" w:lineRule="exact"/>
              <w:ind w:left="108"/>
              <w:jc w:val="left"/>
              <w:rPr>
                <w:color w:val="0000FF"/>
                <w:sz w:val="21"/>
              </w:rPr>
            </w:pPr>
            <w:r>
              <w:rPr>
                <w:color w:val="0000FF"/>
                <w:sz w:val="21"/>
              </w:rPr>
              <w:t>（</w:t>
            </w:r>
            <w:r>
              <w:rPr>
                <w:rFonts w:ascii="Times New Roman" w:eastAsia="Times New Roman"/>
                <w:color w:val="0000FF"/>
                <w:sz w:val="21"/>
              </w:rPr>
              <w:t>HJ169-2018</w:t>
            </w:r>
            <w:r>
              <w:rPr>
                <w:color w:val="0000FF"/>
                <w:sz w:val="21"/>
              </w:rPr>
              <w:t>）附录</w:t>
            </w:r>
            <w:r>
              <w:rPr>
                <w:rFonts w:ascii="Times New Roman" w:eastAsia="Times New Roman"/>
                <w:color w:val="0000FF"/>
                <w:sz w:val="21"/>
              </w:rPr>
              <w:t>B</w:t>
            </w:r>
            <w:r>
              <w:rPr>
                <w:color w:val="0000FF"/>
                <w:sz w:val="21"/>
              </w:rPr>
              <w:t>所列名物质。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975" w:type="dxa"/>
          </w:tcPr>
          <w:p>
            <w:pPr>
              <w:pStyle w:val="19"/>
              <w:spacing w:before="4" w:line="213" w:lineRule="auto"/>
              <w:ind w:left="146" w:right="131"/>
              <w:jc w:val="left"/>
              <w:rPr>
                <w:b/>
                <w:color w:val="0000FF"/>
                <w:sz w:val="21"/>
              </w:rPr>
            </w:pPr>
            <w:r>
              <w:rPr>
                <w:b/>
                <w:color w:val="0000FF"/>
                <w:spacing w:val="-2"/>
                <w:sz w:val="21"/>
              </w:rPr>
              <w:t>环境影响途径及危</w:t>
            </w:r>
            <w:r>
              <w:rPr>
                <w:b/>
                <w:color w:val="0000FF"/>
                <w:w w:val="95"/>
                <w:sz w:val="21"/>
              </w:rPr>
              <w:t>害后果（</w:t>
            </w:r>
            <w:r>
              <w:rPr>
                <w:b/>
                <w:color w:val="0000FF"/>
                <w:spacing w:val="-4"/>
                <w:w w:val="95"/>
                <w:sz w:val="21"/>
              </w:rPr>
              <w:t>大气、地</w:t>
            </w:r>
          </w:p>
          <w:p>
            <w:pPr>
              <w:pStyle w:val="19"/>
              <w:spacing w:line="217" w:lineRule="exact"/>
              <w:ind w:left="146"/>
              <w:jc w:val="left"/>
              <w:rPr>
                <w:b/>
                <w:color w:val="0000FF"/>
                <w:sz w:val="21"/>
              </w:rPr>
            </w:pPr>
            <w:r>
              <w:rPr>
                <w:b/>
                <w:color w:val="0000FF"/>
                <w:w w:val="95"/>
                <w:sz w:val="21"/>
              </w:rPr>
              <w:t>表水、地下水等）</w:t>
            </w:r>
          </w:p>
        </w:tc>
        <w:tc>
          <w:tcPr>
            <w:tcW w:w="6338" w:type="dxa"/>
            <w:gridSpan w:val="8"/>
          </w:tcPr>
          <w:p>
            <w:pPr>
              <w:pStyle w:val="19"/>
              <w:spacing w:before="4" w:line="213" w:lineRule="auto"/>
              <w:ind w:left="108" w:right="97"/>
              <w:jc w:val="left"/>
              <w:rPr>
                <w:color w:val="0000FF"/>
                <w:sz w:val="21"/>
              </w:rPr>
            </w:pPr>
            <w:r>
              <w:rPr>
                <w:color w:val="0000FF"/>
                <w:sz w:val="21"/>
              </w:rPr>
              <w:t>羊舍、堆肥厂和病死尸体无害化处理车间等地面通过渗透和地表径</w:t>
            </w:r>
            <w:r>
              <w:rPr>
                <w:color w:val="0000FF"/>
                <w:w w:val="95"/>
                <w:sz w:val="21"/>
              </w:rPr>
              <w:t>流污染地下水；火灾引发的伴生</w:t>
            </w:r>
            <w:r>
              <w:rPr>
                <w:rFonts w:ascii="Times New Roman" w:eastAsia="Times New Roman"/>
                <w:color w:val="0000FF"/>
                <w:w w:val="95"/>
                <w:sz w:val="21"/>
              </w:rPr>
              <w:t>/</w:t>
            </w:r>
            <w:r>
              <w:rPr>
                <w:color w:val="0000FF"/>
                <w:w w:val="95"/>
                <w:sz w:val="21"/>
              </w:rPr>
              <w:t>次生污染物排放对大气环境造成一</w:t>
            </w:r>
          </w:p>
          <w:p>
            <w:pPr>
              <w:pStyle w:val="19"/>
              <w:spacing w:line="217" w:lineRule="exact"/>
              <w:ind w:left="108"/>
              <w:jc w:val="left"/>
              <w:rPr>
                <w:color w:val="0000FF"/>
                <w:sz w:val="21"/>
              </w:rPr>
            </w:pPr>
            <w:r>
              <w:rPr>
                <w:color w:val="0000FF"/>
                <w:sz w:val="21"/>
              </w:rPr>
              <w:t>定风险。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0" w:hRule="atLeast"/>
        </w:trPr>
        <w:tc>
          <w:tcPr>
            <w:tcW w:w="1975" w:type="dxa"/>
          </w:tcPr>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spacing w:before="5"/>
              <w:jc w:val="left"/>
              <w:rPr>
                <w:b/>
                <w:color w:val="0000FF"/>
                <w:sz w:val="16"/>
              </w:rPr>
            </w:pPr>
          </w:p>
          <w:p>
            <w:pPr>
              <w:pStyle w:val="19"/>
              <w:ind w:left="125" w:right="113"/>
              <w:rPr>
                <w:b/>
                <w:color w:val="0000FF"/>
                <w:sz w:val="21"/>
              </w:rPr>
            </w:pPr>
            <w:r>
              <w:rPr>
                <w:b/>
                <w:color w:val="0000FF"/>
                <w:sz w:val="21"/>
              </w:rPr>
              <w:t>风险防范措施要求</w:t>
            </w:r>
          </w:p>
        </w:tc>
        <w:tc>
          <w:tcPr>
            <w:tcW w:w="6338" w:type="dxa"/>
            <w:gridSpan w:val="8"/>
          </w:tcPr>
          <w:p>
            <w:pPr>
              <w:pStyle w:val="19"/>
              <w:spacing w:line="235" w:lineRule="exact"/>
              <w:ind w:left="108"/>
              <w:jc w:val="left"/>
              <w:rPr>
                <w:color w:val="0000FF"/>
                <w:sz w:val="21"/>
              </w:rPr>
            </w:pPr>
            <w:r>
              <w:rPr>
                <w:color w:val="0000FF"/>
                <w:sz w:val="21"/>
              </w:rPr>
              <w:t>疫病风险防范措施：</w:t>
            </w:r>
          </w:p>
          <w:p>
            <w:pPr>
              <w:pStyle w:val="19"/>
              <w:spacing w:before="8" w:line="213" w:lineRule="auto"/>
              <w:ind w:left="108" w:right="95" w:firstLine="420"/>
              <w:jc w:val="both"/>
              <w:rPr>
                <w:color w:val="0000FF"/>
                <w:sz w:val="21"/>
              </w:rPr>
            </w:pPr>
            <w:r>
              <w:rPr>
                <w:color w:val="0000FF"/>
                <w:spacing w:val="-8"/>
                <w:sz w:val="21"/>
              </w:rPr>
              <w:t>①建立的兽医综合防疫体系：建立的兽医综合防疫体系，可为羊群的健康提供切实的保障。如注射“免疫增强剂”，对病毒性疾病有特殊的防治效果，能提高动物自身的免疫功能。并开发疫病早期快速预警机制，在疫情产生危害前发现并消灭它。</w:t>
            </w:r>
          </w:p>
          <w:p>
            <w:pPr>
              <w:pStyle w:val="19"/>
              <w:spacing w:before="2" w:line="213" w:lineRule="auto"/>
              <w:ind w:left="108" w:right="95" w:firstLine="420"/>
              <w:jc w:val="both"/>
              <w:rPr>
                <w:color w:val="0000FF"/>
                <w:sz w:val="21"/>
              </w:rPr>
            </w:pPr>
            <w:r>
              <w:rPr>
                <w:color w:val="0000FF"/>
                <w:spacing w:val="-8"/>
                <w:sz w:val="21"/>
              </w:rPr>
              <w:t>②建立环绕防疫体系，包围生产区，防止老鼠、爬行类动物等进入生产区，带来病源。</w:t>
            </w:r>
          </w:p>
          <w:p>
            <w:pPr>
              <w:pStyle w:val="19"/>
              <w:spacing w:before="1" w:line="213" w:lineRule="auto"/>
              <w:ind w:left="108" w:right="95" w:firstLine="420"/>
              <w:jc w:val="both"/>
              <w:rPr>
                <w:color w:val="0000FF"/>
                <w:sz w:val="21"/>
              </w:rPr>
            </w:pPr>
            <w:r>
              <w:rPr>
                <w:color w:val="0000FF"/>
                <w:spacing w:val="-10"/>
                <w:sz w:val="21"/>
              </w:rPr>
              <w:t>③消毒防疫制度：所有进入生产区的人员在进入生产区之前要进行洗浴和紫外线消毒。进入羊舍要更换工作服，换下的工作服用</w:t>
            </w:r>
            <w:r>
              <w:rPr>
                <w:color w:val="0000FF"/>
                <w:spacing w:val="-11"/>
                <w:sz w:val="21"/>
              </w:rPr>
              <w:t>臭氧消毒。同舍羊群为同一日龄饲养，同一批入舍或出舍，避免交</w:t>
            </w:r>
            <w:r>
              <w:rPr>
                <w:color w:val="0000FF"/>
                <w:sz w:val="21"/>
              </w:rPr>
              <w:t>叉感染。</w:t>
            </w:r>
          </w:p>
          <w:p>
            <w:pPr>
              <w:pStyle w:val="19"/>
              <w:spacing w:before="3" w:line="213" w:lineRule="auto"/>
              <w:ind w:left="108" w:right="97" w:firstLine="420"/>
              <w:jc w:val="both"/>
              <w:rPr>
                <w:color w:val="0000FF"/>
                <w:sz w:val="21"/>
              </w:rPr>
            </w:pPr>
            <w:r>
              <w:rPr>
                <w:color w:val="0000FF"/>
                <w:spacing w:val="-8"/>
                <w:sz w:val="21"/>
              </w:rPr>
              <w:t>④在育雏区和成羊区的各羊舍进出口分设净道、污道，平行布置，互不干扰，以利防疫。</w:t>
            </w:r>
          </w:p>
          <w:p>
            <w:pPr>
              <w:pStyle w:val="19"/>
              <w:spacing w:line="233" w:lineRule="exact"/>
              <w:ind w:left="108"/>
              <w:jc w:val="left"/>
              <w:rPr>
                <w:color w:val="0000FF"/>
                <w:sz w:val="21"/>
              </w:rPr>
            </w:pPr>
            <w:r>
              <w:rPr>
                <w:color w:val="0000FF"/>
                <w:w w:val="95"/>
                <w:sz w:val="21"/>
              </w:rPr>
              <w:t>污染物泄漏风险防范措施：</w:t>
            </w:r>
          </w:p>
          <w:p>
            <w:pPr>
              <w:pStyle w:val="19"/>
              <w:spacing w:before="8" w:line="213" w:lineRule="auto"/>
              <w:ind w:left="108" w:right="97" w:firstLine="420"/>
              <w:jc w:val="left"/>
              <w:rPr>
                <w:color w:val="0000FF"/>
                <w:sz w:val="21"/>
              </w:rPr>
            </w:pPr>
            <w:r>
              <w:rPr>
                <w:color w:val="0000FF"/>
                <w:sz w:val="21"/>
              </w:rPr>
              <w:t>①加强废水处理设施的维护和管理，及时发现处理设备的隐患，确保处理系统正常运行。</w:t>
            </w:r>
          </w:p>
          <w:p>
            <w:pPr>
              <w:pStyle w:val="19"/>
              <w:spacing w:before="1" w:line="213" w:lineRule="auto"/>
              <w:ind w:left="108" w:right="95" w:firstLine="420"/>
              <w:jc w:val="left"/>
              <w:rPr>
                <w:color w:val="0000FF"/>
                <w:sz w:val="21"/>
              </w:rPr>
            </w:pPr>
            <w:r>
              <w:rPr>
                <w:color w:val="0000FF"/>
                <w:spacing w:val="-10"/>
                <w:sz w:val="21"/>
              </w:rPr>
              <w:t>②加强施工质量，羊舍、堆肥厂、病死尸体无害化处理车间采取相应防渗措施，在做好基层防渗的基础上进行水泥硬化。</w:t>
            </w:r>
          </w:p>
          <w:p>
            <w:pPr>
              <w:pStyle w:val="19"/>
              <w:spacing w:line="233" w:lineRule="exact"/>
              <w:ind w:left="528"/>
              <w:jc w:val="left"/>
              <w:rPr>
                <w:color w:val="0000FF"/>
                <w:sz w:val="21"/>
              </w:rPr>
            </w:pPr>
            <w:r>
              <w:rPr>
                <w:color w:val="0000FF"/>
                <w:sz w:val="21"/>
              </w:rPr>
              <w:t>③场区边界建设雨水截流沟、排水沟，及时拦截和导排雨水，</w:t>
            </w:r>
          </w:p>
          <w:p>
            <w:pPr>
              <w:pStyle w:val="19"/>
              <w:spacing w:line="225" w:lineRule="exact"/>
              <w:ind w:left="108"/>
              <w:jc w:val="left"/>
              <w:rPr>
                <w:color w:val="0000FF"/>
                <w:sz w:val="21"/>
              </w:rPr>
            </w:pPr>
            <w:r>
              <w:rPr>
                <w:color w:val="0000FF"/>
                <w:sz w:val="21"/>
              </w:rPr>
              <w:t>减少废水产生量，降低事故风险。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8313" w:type="dxa"/>
            <w:gridSpan w:val="9"/>
          </w:tcPr>
          <w:p>
            <w:pPr>
              <w:pStyle w:val="19"/>
              <w:spacing w:line="235" w:lineRule="exact"/>
              <w:ind w:left="107"/>
              <w:jc w:val="left"/>
              <w:rPr>
                <w:b/>
                <w:color w:val="0000FF"/>
                <w:sz w:val="21"/>
              </w:rPr>
            </w:pPr>
            <w:r>
              <w:rPr>
                <w:b/>
                <w:color w:val="0000FF"/>
                <w:sz w:val="21"/>
              </w:rPr>
              <w:t>填表说明（列出项目相关信息及评价说明）：</w:t>
            </w:r>
          </w:p>
          <w:p>
            <w:pPr>
              <w:pStyle w:val="19"/>
              <w:spacing w:line="255" w:lineRule="exact"/>
              <w:ind w:left="527" w:right="-15"/>
              <w:jc w:val="left"/>
              <w:rPr>
                <w:color w:val="0000FF"/>
                <w:sz w:val="21"/>
              </w:rPr>
            </w:pPr>
            <w:r>
              <w:rPr>
                <w:color w:val="0000FF"/>
                <w:spacing w:val="-11"/>
                <w:w w:val="95"/>
                <w:sz w:val="21"/>
              </w:rPr>
              <w:t>企业认真落实各项防范措施后，本项目环境风险水平可接受，风险防范措施有效可行。</w:t>
            </w:r>
          </w:p>
        </w:tc>
      </w:tr>
    </w:tbl>
    <w:p>
      <w:pPr>
        <w:spacing w:after="0" w:line="255" w:lineRule="exact"/>
        <w:jc w:val="left"/>
        <w:rPr>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tabs>
          <w:tab w:val="left" w:pos="1639"/>
        </w:tabs>
        <w:spacing w:before="143" w:after="2"/>
        <w:ind w:left="0" w:right="30" w:firstLine="0"/>
        <w:jc w:val="center"/>
        <w:rPr>
          <w:b/>
          <w:sz w:val="24"/>
        </w:rPr>
      </w:pPr>
      <w:r>
        <w:rPr>
          <w:b/>
          <w:sz w:val="24"/>
        </w:rPr>
        <w:t>表</w:t>
      </w:r>
      <w:r>
        <w:rPr>
          <w:rFonts w:ascii="Times New Roman" w:eastAsia="Times New Roman"/>
          <w:b/>
          <w:sz w:val="24"/>
        </w:rPr>
        <w:t>5.2-19</w:t>
      </w:r>
      <w:r>
        <w:rPr>
          <w:rFonts w:ascii="Times New Roman" w:eastAsia="Times New Roman"/>
          <w:b/>
          <w:sz w:val="24"/>
        </w:rPr>
        <w:tab/>
      </w:r>
      <w:r>
        <w:rPr>
          <w:b/>
          <w:sz w:val="24"/>
        </w:rPr>
        <w:t>环境风险评价自查表</w:t>
      </w:r>
    </w:p>
    <w:tbl>
      <w:tblPr>
        <w:tblStyle w:val="15"/>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8"/>
        <w:gridCol w:w="941"/>
        <w:gridCol w:w="1368"/>
        <w:gridCol w:w="600"/>
        <w:gridCol w:w="501"/>
        <w:gridCol w:w="210"/>
        <w:gridCol w:w="119"/>
        <w:gridCol w:w="405"/>
        <w:gridCol w:w="187"/>
        <w:gridCol w:w="152"/>
        <w:gridCol w:w="561"/>
        <w:gridCol w:w="177"/>
        <w:gridCol w:w="187"/>
        <w:gridCol w:w="346"/>
        <w:gridCol w:w="290"/>
        <w:gridCol w:w="290"/>
        <w:gridCol w:w="165"/>
        <w:gridCol w:w="204"/>
        <w:gridCol w:w="472"/>
        <w:gridCol w:w="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559" w:type="dxa"/>
            <w:gridSpan w:val="2"/>
          </w:tcPr>
          <w:p>
            <w:pPr>
              <w:pStyle w:val="19"/>
              <w:spacing w:before="55"/>
              <w:ind w:left="418"/>
              <w:jc w:val="left"/>
              <w:rPr>
                <w:sz w:val="18"/>
              </w:rPr>
            </w:pPr>
            <w:r>
              <w:rPr>
                <w:sz w:val="18"/>
              </w:rPr>
              <w:t>工作内容</w:t>
            </w:r>
          </w:p>
        </w:tc>
        <w:tc>
          <w:tcPr>
            <w:tcW w:w="6962" w:type="dxa"/>
            <w:gridSpan w:val="18"/>
          </w:tcPr>
          <w:p>
            <w:pPr>
              <w:pStyle w:val="19"/>
              <w:spacing w:before="55"/>
              <w:ind w:left="7"/>
              <w:rPr>
                <w:sz w:val="18"/>
              </w:rPr>
            </w:pPr>
            <w:r>
              <w:rPr>
                <w:sz w:val="18"/>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restart"/>
          </w:tcPr>
          <w:p>
            <w:pPr>
              <w:pStyle w:val="19"/>
              <w:jc w:val="left"/>
              <w:rPr>
                <w:b/>
                <w:sz w:val="18"/>
              </w:rPr>
            </w:pPr>
          </w:p>
          <w:p>
            <w:pPr>
              <w:pStyle w:val="19"/>
              <w:jc w:val="left"/>
              <w:rPr>
                <w:b/>
                <w:sz w:val="18"/>
              </w:rPr>
            </w:pPr>
          </w:p>
          <w:p>
            <w:pPr>
              <w:pStyle w:val="19"/>
              <w:jc w:val="left"/>
              <w:rPr>
                <w:b/>
                <w:sz w:val="18"/>
              </w:rPr>
            </w:pPr>
          </w:p>
          <w:p>
            <w:pPr>
              <w:pStyle w:val="19"/>
              <w:spacing w:before="119" w:line="324" w:lineRule="auto"/>
              <w:ind w:left="219" w:right="206"/>
              <w:jc w:val="both"/>
              <w:rPr>
                <w:sz w:val="18"/>
              </w:rPr>
            </w:pPr>
            <w:r>
              <w:rPr>
                <w:sz w:val="18"/>
              </w:rPr>
              <w:t>风险调查</w:t>
            </w:r>
          </w:p>
        </w:tc>
        <w:tc>
          <w:tcPr>
            <w:tcW w:w="941" w:type="dxa"/>
            <w:vMerge w:val="restart"/>
          </w:tcPr>
          <w:p>
            <w:pPr>
              <w:pStyle w:val="19"/>
              <w:spacing w:before="12"/>
              <w:jc w:val="left"/>
              <w:rPr>
                <w:b/>
                <w:sz w:val="17"/>
              </w:rPr>
            </w:pPr>
          </w:p>
          <w:p>
            <w:pPr>
              <w:pStyle w:val="19"/>
              <w:ind w:left="110"/>
              <w:jc w:val="left"/>
              <w:rPr>
                <w:sz w:val="18"/>
              </w:rPr>
            </w:pPr>
            <w:r>
              <w:rPr>
                <w:sz w:val="18"/>
              </w:rPr>
              <w:t>危险物质</w:t>
            </w:r>
          </w:p>
        </w:tc>
        <w:tc>
          <w:tcPr>
            <w:tcW w:w="1368" w:type="dxa"/>
          </w:tcPr>
          <w:p>
            <w:pPr>
              <w:pStyle w:val="19"/>
              <w:spacing w:before="55"/>
              <w:ind w:left="123" w:right="114"/>
              <w:rPr>
                <w:sz w:val="18"/>
              </w:rPr>
            </w:pPr>
            <w:r>
              <w:rPr>
                <w:sz w:val="18"/>
              </w:rPr>
              <w:t>名称</w:t>
            </w:r>
          </w:p>
        </w:tc>
        <w:tc>
          <w:tcPr>
            <w:tcW w:w="600" w:type="dxa"/>
          </w:tcPr>
          <w:p>
            <w:pPr>
              <w:pStyle w:val="19"/>
              <w:spacing w:before="55"/>
              <w:ind w:left="208"/>
              <w:jc w:val="left"/>
              <w:rPr>
                <w:sz w:val="18"/>
              </w:rPr>
            </w:pPr>
            <w:r>
              <w:rPr>
                <w:sz w:val="18"/>
              </w:rPr>
              <w:t>氨</w:t>
            </w:r>
          </w:p>
        </w:tc>
        <w:tc>
          <w:tcPr>
            <w:tcW w:w="711" w:type="dxa"/>
            <w:gridSpan w:val="2"/>
          </w:tcPr>
          <w:p>
            <w:pPr>
              <w:pStyle w:val="19"/>
              <w:spacing w:before="55"/>
              <w:ind w:left="112"/>
              <w:jc w:val="left"/>
              <w:rPr>
                <w:sz w:val="18"/>
              </w:rPr>
            </w:pPr>
            <w:r>
              <w:rPr>
                <w:sz w:val="18"/>
              </w:rPr>
              <w:t>硫化氢</w:t>
            </w:r>
          </w:p>
        </w:tc>
        <w:tc>
          <w:tcPr>
            <w:tcW w:w="711" w:type="dxa"/>
            <w:gridSpan w:val="3"/>
          </w:tcPr>
          <w:p>
            <w:pPr>
              <w:pStyle w:val="19"/>
              <w:jc w:val="left"/>
              <w:rPr>
                <w:rFonts w:ascii="Times New Roman"/>
                <w:sz w:val="18"/>
              </w:rPr>
            </w:pPr>
          </w:p>
        </w:tc>
        <w:tc>
          <w:tcPr>
            <w:tcW w:w="713" w:type="dxa"/>
            <w:gridSpan w:val="2"/>
          </w:tcPr>
          <w:p>
            <w:pPr>
              <w:pStyle w:val="19"/>
              <w:jc w:val="left"/>
              <w:rPr>
                <w:rFonts w:ascii="Times New Roman"/>
                <w:sz w:val="18"/>
              </w:rPr>
            </w:pPr>
          </w:p>
        </w:tc>
        <w:tc>
          <w:tcPr>
            <w:tcW w:w="710" w:type="dxa"/>
            <w:gridSpan w:val="3"/>
          </w:tcPr>
          <w:p>
            <w:pPr>
              <w:pStyle w:val="19"/>
              <w:jc w:val="left"/>
              <w:rPr>
                <w:rFonts w:ascii="Times New Roman"/>
                <w:sz w:val="18"/>
              </w:rPr>
            </w:pPr>
          </w:p>
        </w:tc>
        <w:tc>
          <w:tcPr>
            <w:tcW w:w="745" w:type="dxa"/>
            <w:gridSpan w:val="3"/>
          </w:tcPr>
          <w:p>
            <w:pPr>
              <w:pStyle w:val="19"/>
              <w:jc w:val="left"/>
              <w:rPr>
                <w:rFonts w:ascii="Times New Roman"/>
                <w:sz w:val="18"/>
              </w:rPr>
            </w:pPr>
          </w:p>
        </w:tc>
        <w:tc>
          <w:tcPr>
            <w:tcW w:w="676" w:type="dxa"/>
            <w:gridSpan w:val="2"/>
          </w:tcPr>
          <w:p>
            <w:pPr>
              <w:pStyle w:val="19"/>
              <w:jc w:val="left"/>
              <w:rPr>
                <w:rFonts w:ascii="Times New Roman"/>
                <w:sz w:val="18"/>
              </w:rPr>
            </w:pPr>
          </w:p>
        </w:tc>
        <w:tc>
          <w:tcPr>
            <w:tcW w:w="728"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tcPr>
          <w:p>
            <w:pPr>
              <w:pStyle w:val="19"/>
              <w:spacing w:before="55"/>
              <w:ind w:left="123" w:right="114"/>
              <w:rPr>
                <w:rFonts w:ascii="Times New Roman" w:eastAsia="Times New Roman"/>
                <w:sz w:val="18"/>
              </w:rPr>
            </w:pPr>
            <w:r>
              <w:rPr>
                <w:sz w:val="18"/>
              </w:rPr>
              <w:t>存在总量</w:t>
            </w:r>
            <w:r>
              <w:rPr>
                <w:rFonts w:ascii="Times New Roman" w:eastAsia="Times New Roman"/>
                <w:sz w:val="18"/>
              </w:rPr>
              <w:t>/t</w:t>
            </w:r>
          </w:p>
        </w:tc>
        <w:tc>
          <w:tcPr>
            <w:tcW w:w="600" w:type="dxa"/>
          </w:tcPr>
          <w:p>
            <w:pPr>
              <w:pStyle w:val="19"/>
              <w:spacing w:before="65"/>
              <w:ind w:left="254"/>
              <w:jc w:val="left"/>
              <w:rPr>
                <w:rFonts w:ascii="Times New Roman"/>
                <w:sz w:val="18"/>
              </w:rPr>
            </w:pPr>
            <w:r>
              <w:rPr>
                <w:rFonts w:ascii="Times New Roman"/>
                <w:sz w:val="18"/>
              </w:rPr>
              <w:t>0</w:t>
            </w:r>
          </w:p>
        </w:tc>
        <w:tc>
          <w:tcPr>
            <w:tcW w:w="711" w:type="dxa"/>
            <w:gridSpan w:val="2"/>
          </w:tcPr>
          <w:p>
            <w:pPr>
              <w:pStyle w:val="19"/>
              <w:spacing w:before="65"/>
              <w:ind w:left="7"/>
              <w:rPr>
                <w:rFonts w:ascii="Times New Roman"/>
                <w:sz w:val="18"/>
              </w:rPr>
            </w:pPr>
            <w:r>
              <w:rPr>
                <w:rFonts w:ascii="Times New Roman"/>
                <w:sz w:val="18"/>
              </w:rPr>
              <w:t>0</w:t>
            </w:r>
          </w:p>
        </w:tc>
        <w:tc>
          <w:tcPr>
            <w:tcW w:w="711" w:type="dxa"/>
            <w:gridSpan w:val="3"/>
          </w:tcPr>
          <w:p>
            <w:pPr>
              <w:pStyle w:val="19"/>
              <w:jc w:val="left"/>
              <w:rPr>
                <w:rFonts w:ascii="Times New Roman"/>
                <w:sz w:val="18"/>
              </w:rPr>
            </w:pPr>
          </w:p>
        </w:tc>
        <w:tc>
          <w:tcPr>
            <w:tcW w:w="713" w:type="dxa"/>
            <w:gridSpan w:val="2"/>
          </w:tcPr>
          <w:p>
            <w:pPr>
              <w:pStyle w:val="19"/>
              <w:jc w:val="left"/>
              <w:rPr>
                <w:rFonts w:ascii="Times New Roman"/>
                <w:sz w:val="18"/>
              </w:rPr>
            </w:pPr>
          </w:p>
        </w:tc>
        <w:tc>
          <w:tcPr>
            <w:tcW w:w="710" w:type="dxa"/>
            <w:gridSpan w:val="3"/>
          </w:tcPr>
          <w:p>
            <w:pPr>
              <w:pStyle w:val="19"/>
              <w:jc w:val="left"/>
              <w:rPr>
                <w:rFonts w:ascii="Times New Roman"/>
                <w:sz w:val="18"/>
              </w:rPr>
            </w:pPr>
          </w:p>
        </w:tc>
        <w:tc>
          <w:tcPr>
            <w:tcW w:w="745" w:type="dxa"/>
            <w:gridSpan w:val="3"/>
          </w:tcPr>
          <w:p>
            <w:pPr>
              <w:pStyle w:val="19"/>
              <w:jc w:val="left"/>
              <w:rPr>
                <w:rFonts w:ascii="Times New Roman"/>
                <w:sz w:val="18"/>
              </w:rPr>
            </w:pPr>
          </w:p>
        </w:tc>
        <w:tc>
          <w:tcPr>
            <w:tcW w:w="676" w:type="dxa"/>
            <w:gridSpan w:val="2"/>
          </w:tcPr>
          <w:p>
            <w:pPr>
              <w:pStyle w:val="19"/>
              <w:jc w:val="left"/>
              <w:rPr>
                <w:rFonts w:ascii="Times New Roman"/>
                <w:sz w:val="18"/>
              </w:rPr>
            </w:pPr>
          </w:p>
        </w:tc>
        <w:tc>
          <w:tcPr>
            <w:tcW w:w="728" w:type="dxa"/>
          </w:tcPr>
          <w:p>
            <w:pPr>
              <w:pStyle w:val="19"/>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restart"/>
          </w:tcPr>
          <w:p>
            <w:pPr>
              <w:pStyle w:val="19"/>
              <w:jc w:val="left"/>
              <w:rPr>
                <w:b/>
                <w:sz w:val="18"/>
              </w:rPr>
            </w:pPr>
          </w:p>
          <w:p>
            <w:pPr>
              <w:pStyle w:val="19"/>
              <w:jc w:val="left"/>
              <w:rPr>
                <w:b/>
                <w:sz w:val="18"/>
              </w:rPr>
            </w:pPr>
          </w:p>
          <w:p>
            <w:pPr>
              <w:pStyle w:val="19"/>
              <w:spacing w:before="4"/>
              <w:jc w:val="left"/>
              <w:rPr>
                <w:b/>
                <w:sz w:val="24"/>
              </w:rPr>
            </w:pPr>
          </w:p>
          <w:p>
            <w:pPr>
              <w:pStyle w:val="19"/>
              <w:spacing w:before="1" w:line="324" w:lineRule="auto"/>
              <w:ind w:left="379" w:right="98" w:hanging="269"/>
              <w:jc w:val="left"/>
              <w:rPr>
                <w:sz w:val="18"/>
              </w:rPr>
            </w:pPr>
            <w:r>
              <w:rPr>
                <w:sz w:val="18"/>
              </w:rPr>
              <w:t>环境敏感性</w:t>
            </w:r>
          </w:p>
        </w:tc>
        <w:tc>
          <w:tcPr>
            <w:tcW w:w="1368" w:type="dxa"/>
            <w:vMerge w:val="restart"/>
          </w:tcPr>
          <w:p>
            <w:pPr>
              <w:pStyle w:val="19"/>
              <w:jc w:val="left"/>
              <w:rPr>
                <w:b/>
                <w:sz w:val="18"/>
              </w:rPr>
            </w:pPr>
          </w:p>
          <w:p>
            <w:pPr>
              <w:pStyle w:val="19"/>
              <w:ind w:left="123" w:right="114"/>
              <w:rPr>
                <w:sz w:val="18"/>
              </w:rPr>
            </w:pPr>
            <w:r>
              <w:rPr>
                <w:sz w:val="18"/>
              </w:rPr>
              <w:t>大气</w:t>
            </w:r>
          </w:p>
        </w:tc>
        <w:tc>
          <w:tcPr>
            <w:tcW w:w="2735" w:type="dxa"/>
            <w:gridSpan w:val="8"/>
          </w:tcPr>
          <w:p>
            <w:pPr>
              <w:pStyle w:val="19"/>
              <w:tabs>
                <w:tab w:val="left" w:pos="1998"/>
                <w:tab w:val="left" w:pos="2358"/>
              </w:tabs>
              <w:spacing w:before="56"/>
              <w:ind w:left="194"/>
              <w:jc w:val="left"/>
              <w:rPr>
                <w:sz w:val="18"/>
              </w:rPr>
            </w:pPr>
            <w:r>
              <w:rPr>
                <w:rFonts w:ascii="Times New Roman" w:eastAsia="Times New Roman"/>
                <w:sz w:val="18"/>
              </w:rPr>
              <w:t>500m</w:t>
            </w:r>
            <w:r>
              <w:rPr>
                <w:sz w:val="18"/>
              </w:rPr>
              <w:t>范围内人口数</w:t>
            </w:r>
            <w:r>
              <w:rPr>
                <w:sz w:val="18"/>
                <w:u w:val="single"/>
              </w:rPr>
              <w:tab/>
            </w:r>
            <w:r>
              <w:rPr>
                <w:rFonts w:ascii="Times New Roman" w:eastAsia="Times New Roman"/>
                <w:sz w:val="18"/>
                <w:u w:val="single"/>
              </w:rPr>
              <w:t>0</w:t>
            </w:r>
            <w:r>
              <w:rPr>
                <w:rFonts w:ascii="Times New Roman" w:eastAsia="Times New Roman"/>
                <w:sz w:val="18"/>
                <w:u w:val="single"/>
              </w:rPr>
              <w:tab/>
            </w:r>
            <w:r>
              <w:rPr>
                <w:sz w:val="18"/>
              </w:rPr>
              <w:t>人</w:t>
            </w:r>
          </w:p>
        </w:tc>
        <w:tc>
          <w:tcPr>
            <w:tcW w:w="2859" w:type="dxa"/>
            <w:gridSpan w:val="9"/>
          </w:tcPr>
          <w:p>
            <w:pPr>
              <w:pStyle w:val="19"/>
              <w:spacing w:before="56"/>
              <w:ind w:left="255"/>
              <w:jc w:val="left"/>
              <w:rPr>
                <w:sz w:val="18"/>
              </w:rPr>
            </w:pPr>
            <w:r>
              <w:rPr>
                <w:rFonts w:ascii="Times New Roman" w:eastAsia="Times New Roman"/>
                <w:sz w:val="18"/>
              </w:rPr>
              <w:t>5km</w:t>
            </w:r>
            <w:r>
              <w:rPr>
                <w:sz w:val="18"/>
              </w:rPr>
              <w:t>范围内人口数</w:t>
            </w:r>
            <w:r>
              <w:rPr>
                <w:rFonts w:ascii="Times New Roman" w:eastAsia="Times New Roman"/>
                <w:sz w:val="18"/>
                <w:u w:val="single"/>
              </w:rPr>
              <w:t>20010</w:t>
            </w:r>
            <w:r>
              <w:rPr>
                <w:sz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4190" w:type="dxa"/>
            <w:gridSpan w:val="14"/>
          </w:tcPr>
          <w:p>
            <w:pPr>
              <w:pStyle w:val="19"/>
              <w:spacing w:before="54"/>
              <w:ind w:left="314"/>
              <w:jc w:val="left"/>
              <w:rPr>
                <w:sz w:val="18"/>
              </w:rPr>
            </w:pPr>
            <w:r>
              <w:rPr>
                <w:sz w:val="18"/>
              </w:rPr>
              <w:t>每公里管段周边</w:t>
            </w:r>
            <w:r>
              <w:rPr>
                <w:rFonts w:ascii="Times New Roman" w:eastAsia="Times New Roman"/>
                <w:sz w:val="18"/>
              </w:rPr>
              <w:t>200m</w:t>
            </w:r>
            <w:r>
              <w:rPr>
                <w:sz w:val="18"/>
              </w:rPr>
              <w:t>范围内人口数（最大）</w:t>
            </w:r>
          </w:p>
        </w:tc>
        <w:tc>
          <w:tcPr>
            <w:tcW w:w="1404" w:type="dxa"/>
            <w:gridSpan w:val="3"/>
          </w:tcPr>
          <w:p>
            <w:pPr>
              <w:pStyle w:val="19"/>
              <w:tabs>
                <w:tab w:val="left" w:pos="655"/>
              </w:tabs>
              <w:spacing w:before="54"/>
              <w:ind w:left="294"/>
              <w:jc w:val="left"/>
              <w:rPr>
                <w:sz w:val="18"/>
              </w:rPr>
            </w:pPr>
            <w:r>
              <w:rPr>
                <w:rFonts w:ascii="Times New Roman" w:eastAsia="Times New Roman"/>
                <w:sz w:val="18"/>
                <w:u w:val="single"/>
              </w:rPr>
              <w:tab/>
            </w:r>
            <w:r>
              <w:rPr>
                <w:rFonts w:ascii="Times New Roman" w:eastAsia="Times New Roman"/>
                <w:sz w:val="18"/>
                <w:u w:val="single"/>
              </w:rPr>
              <w:t>0</w:t>
            </w:r>
            <w:r>
              <w:rPr>
                <w:sz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restart"/>
          </w:tcPr>
          <w:p>
            <w:pPr>
              <w:pStyle w:val="19"/>
              <w:spacing w:before="11"/>
              <w:jc w:val="left"/>
              <w:rPr>
                <w:b/>
                <w:sz w:val="17"/>
              </w:rPr>
            </w:pPr>
          </w:p>
          <w:p>
            <w:pPr>
              <w:pStyle w:val="19"/>
              <w:ind w:left="412"/>
              <w:jc w:val="left"/>
              <w:rPr>
                <w:sz w:val="18"/>
              </w:rPr>
            </w:pPr>
            <w:r>
              <w:rPr>
                <w:sz w:val="18"/>
              </w:rPr>
              <w:t>地表水</w:t>
            </w:r>
          </w:p>
        </w:tc>
        <w:tc>
          <w:tcPr>
            <w:tcW w:w="1835" w:type="dxa"/>
            <w:gridSpan w:val="5"/>
          </w:tcPr>
          <w:p>
            <w:pPr>
              <w:pStyle w:val="19"/>
              <w:spacing w:before="54"/>
              <w:ind w:left="208"/>
              <w:jc w:val="left"/>
              <w:rPr>
                <w:sz w:val="18"/>
              </w:rPr>
            </w:pPr>
            <w:r>
              <w:rPr>
                <w:sz w:val="18"/>
              </w:rPr>
              <w:t>地表水功能敏感性</w:t>
            </w:r>
          </w:p>
        </w:tc>
        <w:tc>
          <w:tcPr>
            <w:tcW w:w="1264" w:type="dxa"/>
            <w:gridSpan w:val="5"/>
          </w:tcPr>
          <w:p>
            <w:pPr>
              <w:pStyle w:val="19"/>
              <w:spacing w:before="66"/>
              <w:ind w:left="431" w:right="404"/>
              <w:rPr>
                <w:rFonts w:ascii="Times New Roman" w:hAnsi="Times New Roman"/>
                <w:sz w:val="18"/>
              </w:rPr>
            </w:pPr>
            <w:r>
              <w:rPr>
                <w:rFonts w:ascii="Times New Roman" w:hAnsi="Times New Roman"/>
                <w:sz w:val="18"/>
              </w:rPr>
              <w:t>F1□</w:t>
            </w:r>
          </w:p>
        </w:tc>
        <w:tc>
          <w:tcPr>
            <w:tcW w:w="1091" w:type="dxa"/>
            <w:gridSpan w:val="4"/>
          </w:tcPr>
          <w:p>
            <w:pPr>
              <w:pStyle w:val="19"/>
              <w:spacing w:before="66"/>
              <w:ind w:left="353" w:right="343"/>
              <w:rPr>
                <w:rFonts w:ascii="Times New Roman" w:hAnsi="Times New Roman"/>
                <w:sz w:val="18"/>
              </w:rPr>
            </w:pPr>
            <w:r>
              <w:rPr>
                <w:rFonts w:ascii="Times New Roman" w:hAnsi="Times New Roman"/>
                <w:sz w:val="18"/>
              </w:rPr>
              <w:t>F2□</w:t>
            </w:r>
          </w:p>
        </w:tc>
        <w:tc>
          <w:tcPr>
            <w:tcW w:w="1404" w:type="dxa"/>
            <w:gridSpan w:val="3"/>
          </w:tcPr>
          <w:p>
            <w:pPr>
              <w:pStyle w:val="19"/>
              <w:spacing w:before="66"/>
              <w:ind w:left="477" w:right="471"/>
              <w:rPr>
                <w:rFonts w:ascii="Times New Roman" w:hAnsi="Times New Roman"/>
                <w:sz w:val="18"/>
              </w:rPr>
            </w:pPr>
            <w:r>
              <w:rPr>
                <w:rFonts w:ascii="Times New Roman" w:hAnsi="Times New Roman"/>
                <w:sz w:val="18"/>
              </w:rPr>
              <w:t>F3□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1835" w:type="dxa"/>
            <w:gridSpan w:val="5"/>
          </w:tcPr>
          <w:p>
            <w:pPr>
              <w:pStyle w:val="19"/>
              <w:spacing w:before="55"/>
              <w:ind w:left="208"/>
              <w:jc w:val="left"/>
              <w:rPr>
                <w:sz w:val="18"/>
              </w:rPr>
            </w:pPr>
            <w:r>
              <w:rPr>
                <w:sz w:val="18"/>
              </w:rPr>
              <w:t>环境敏感目标分级</w:t>
            </w:r>
          </w:p>
        </w:tc>
        <w:tc>
          <w:tcPr>
            <w:tcW w:w="1264" w:type="dxa"/>
            <w:gridSpan w:val="5"/>
          </w:tcPr>
          <w:p>
            <w:pPr>
              <w:pStyle w:val="19"/>
              <w:spacing w:before="66"/>
              <w:ind w:left="431" w:right="404"/>
              <w:rPr>
                <w:rFonts w:ascii="Times New Roman" w:hAnsi="Times New Roman"/>
                <w:sz w:val="18"/>
              </w:rPr>
            </w:pPr>
            <w:r>
              <w:rPr>
                <w:rFonts w:ascii="Times New Roman" w:hAnsi="Times New Roman"/>
                <w:sz w:val="18"/>
              </w:rPr>
              <w:t>S1□</w:t>
            </w:r>
          </w:p>
        </w:tc>
        <w:tc>
          <w:tcPr>
            <w:tcW w:w="1091" w:type="dxa"/>
            <w:gridSpan w:val="4"/>
          </w:tcPr>
          <w:p>
            <w:pPr>
              <w:pStyle w:val="19"/>
              <w:spacing w:before="66"/>
              <w:ind w:left="353" w:right="343"/>
              <w:rPr>
                <w:rFonts w:ascii="Times New Roman" w:hAnsi="Times New Roman"/>
                <w:sz w:val="18"/>
              </w:rPr>
            </w:pPr>
            <w:r>
              <w:rPr>
                <w:rFonts w:ascii="Times New Roman" w:hAnsi="Times New Roman"/>
                <w:sz w:val="18"/>
              </w:rPr>
              <w:t>S2□</w:t>
            </w:r>
          </w:p>
        </w:tc>
        <w:tc>
          <w:tcPr>
            <w:tcW w:w="1404" w:type="dxa"/>
            <w:gridSpan w:val="3"/>
          </w:tcPr>
          <w:p>
            <w:pPr>
              <w:pStyle w:val="19"/>
              <w:spacing w:before="66"/>
              <w:ind w:left="477" w:right="471"/>
              <w:rPr>
                <w:rFonts w:ascii="Times New Roman" w:hAnsi="Times New Roman"/>
                <w:sz w:val="18"/>
              </w:rPr>
            </w:pPr>
            <w:r>
              <w:rPr>
                <w:rFonts w:ascii="Times New Roman" w:hAnsi="Times New Roman"/>
                <w:sz w:val="18"/>
              </w:rPr>
              <w:t>S3□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restart"/>
          </w:tcPr>
          <w:p>
            <w:pPr>
              <w:pStyle w:val="19"/>
              <w:spacing w:before="12"/>
              <w:jc w:val="left"/>
              <w:rPr>
                <w:b/>
                <w:sz w:val="17"/>
              </w:rPr>
            </w:pPr>
          </w:p>
          <w:p>
            <w:pPr>
              <w:pStyle w:val="19"/>
              <w:ind w:left="412"/>
              <w:jc w:val="left"/>
              <w:rPr>
                <w:sz w:val="18"/>
              </w:rPr>
            </w:pPr>
            <w:r>
              <w:rPr>
                <w:sz w:val="18"/>
              </w:rPr>
              <w:t>地下水</w:t>
            </w:r>
          </w:p>
        </w:tc>
        <w:tc>
          <w:tcPr>
            <w:tcW w:w="1835" w:type="dxa"/>
            <w:gridSpan w:val="5"/>
          </w:tcPr>
          <w:p>
            <w:pPr>
              <w:pStyle w:val="19"/>
              <w:spacing w:before="55"/>
              <w:ind w:left="208"/>
              <w:jc w:val="left"/>
              <w:rPr>
                <w:sz w:val="18"/>
              </w:rPr>
            </w:pPr>
            <w:r>
              <w:rPr>
                <w:sz w:val="18"/>
              </w:rPr>
              <w:t>地下水功能敏感性</w:t>
            </w:r>
          </w:p>
        </w:tc>
        <w:tc>
          <w:tcPr>
            <w:tcW w:w="1264" w:type="dxa"/>
            <w:gridSpan w:val="5"/>
          </w:tcPr>
          <w:p>
            <w:pPr>
              <w:pStyle w:val="19"/>
              <w:spacing w:before="67"/>
              <w:ind w:left="436" w:right="404"/>
              <w:rPr>
                <w:rFonts w:ascii="Times New Roman" w:hAnsi="Times New Roman"/>
                <w:sz w:val="18"/>
              </w:rPr>
            </w:pPr>
            <w:r>
              <w:rPr>
                <w:rFonts w:ascii="Times New Roman" w:hAnsi="Times New Roman"/>
                <w:sz w:val="18"/>
              </w:rPr>
              <w:t>G1□</w:t>
            </w:r>
          </w:p>
        </w:tc>
        <w:tc>
          <w:tcPr>
            <w:tcW w:w="1091" w:type="dxa"/>
            <w:gridSpan w:val="4"/>
          </w:tcPr>
          <w:p>
            <w:pPr>
              <w:pStyle w:val="19"/>
              <w:spacing w:before="67"/>
              <w:ind w:left="356"/>
              <w:jc w:val="left"/>
              <w:rPr>
                <w:rFonts w:ascii="Times New Roman" w:hAnsi="Times New Roman"/>
                <w:sz w:val="18"/>
              </w:rPr>
            </w:pPr>
            <w:r>
              <w:rPr>
                <w:rFonts w:ascii="Times New Roman" w:hAnsi="Times New Roman"/>
                <w:sz w:val="18"/>
              </w:rPr>
              <w:t>G2□</w:t>
            </w:r>
          </w:p>
        </w:tc>
        <w:tc>
          <w:tcPr>
            <w:tcW w:w="1404" w:type="dxa"/>
            <w:gridSpan w:val="3"/>
          </w:tcPr>
          <w:p>
            <w:pPr>
              <w:pStyle w:val="19"/>
              <w:spacing w:before="67"/>
              <w:ind w:left="477" w:right="471"/>
              <w:rPr>
                <w:rFonts w:ascii="Times New Roman" w:hAnsi="Times New Roman"/>
                <w:sz w:val="18"/>
              </w:rPr>
            </w:pPr>
            <w:r>
              <w:rPr>
                <w:rFonts w:ascii="Times New Roman" w:hAnsi="Times New Roman"/>
                <w:sz w:val="18"/>
              </w:rPr>
              <w:t>G3□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1835" w:type="dxa"/>
            <w:gridSpan w:val="5"/>
          </w:tcPr>
          <w:p>
            <w:pPr>
              <w:pStyle w:val="19"/>
              <w:spacing w:before="55"/>
              <w:ind w:left="297"/>
              <w:jc w:val="left"/>
              <w:rPr>
                <w:sz w:val="18"/>
              </w:rPr>
            </w:pPr>
            <w:r>
              <w:rPr>
                <w:sz w:val="18"/>
              </w:rPr>
              <w:t>包气带防污性能</w:t>
            </w:r>
          </w:p>
        </w:tc>
        <w:tc>
          <w:tcPr>
            <w:tcW w:w="1264" w:type="dxa"/>
            <w:gridSpan w:val="5"/>
          </w:tcPr>
          <w:p>
            <w:pPr>
              <w:pStyle w:val="19"/>
              <w:spacing w:before="65"/>
              <w:ind w:left="436" w:right="404"/>
              <w:rPr>
                <w:rFonts w:ascii="Times New Roman" w:hAnsi="Times New Roman"/>
                <w:sz w:val="18"/>
              </w:rPr>
            </w:pPr>
            <w:r>
              <w:rPr>
                <w:rFonts w:ascii="Times New Roman" w:hAnsi="Times New Roman"/>
                <w:sz w:val="18"/>
              </w:rPr>
              <w:t>D1□</w:t>
            </w:r>
          </w:p>
        </w:tc>
        <w:tc>
          <w:tcPr>
            <w:tcW w:w="1091" w:type="dxa"/>
            <w:gridSpan w:val="4"/>
          </w:tcPr>
          <w:p>
            <w:pPr>
              <w:pStyle w:val="19"/>
              <w:spacing w:before="65"/>
              <w:ind w:left="356"/>
              <w:jc w:val="left"/>
              <w:rPr>
                <w:rFonts w:ascii="Times New Roman" w:hAnsi="Times New Roman"/>
                <w:sz w:val="18"/>
              </w:rPr>
            </w:pPr>
            <w:r>
              <w:rPr>
                <w:rFonts w:ascii="Times New Roman" w:hAnsi="Times New Roman"/>
                <w:sz w:val="18"/>
              </w:rPr>
              <w:t>D2□</w:t>
            </w:r>
          </w:p>
        </w:tc>
        <w:tc>
          <w:tcPr>
            <w:tcW w:w="1404" w:type="dxa"/>
            <w:gridSpan w:val="3"/>
          </w:tcPr>
          <w:p>
            <w:pPr>
              <w:pStyle w:val="19"/>
              <w:spacing w:before="65"/>
              <w:ind w:left="477" w:right="471"/>
              <w:rPr>
                <w:rFonts w:ascii="Times New Roman" w:hAnsi="Times New Roman"/>
                <w:sz w:val="18"/>
              </w:rPr>
            </w:pPr>
            <w:r>
              <w:rPr>
                <w:rFonts w:ascii="Times New Roman" w:hAnsi="Times New Roman"/>
                <w:sz w:val="18"/>
              </w:rPr>
              <w:t>D3□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restart"/>
          </w:tcPr>
          <w:p>
            <w:pPr>
              <w:pStyle w:val="19"/>
              <w:spacing w:before="4"/>
              <w:jc w:val="left"/>
              <w:rPr>
                <w:b/>
                <w:sz w:val="19"/>
              </w:rPr>
            </w:pPr>
          </w:p>
          <w:p>
            <w:pPr>
              <w:pStyle w:val="19"/>
              <w:spacing w:line="324" w:lineRule="auto"/>
              <w:ind w:left="507" w:right="139" w:hanging="360"/>
              <w:jc w:val="left"/>
              <w:rPr>
                <w:sz w:val="18"/>
              </w:rPr>
            </w:pPr>
            <w:r>
              <w:rPr>
                <w:sz w:val="18"/>
              </w:rPr>
              <w:t>物质及工艺系统危险性</w:t>
            </w:r>
          </w:p>
        </w:tc>
        <w:tc>
          <w:tcPr>
            <w:tcW w:w="1368" w:type="dxa"/>
          </w:tcPr>
          <w:p>
            <w:pPr>
              <w:pStyle w:val="19"/>
              <w:spacing w:before="56"/>
              <w:ind w:left="123" w:right="114"/>
              <w:rPr>
                <w:sz w:val="18"/>
              </w:rPr>
            </w:pPr>
            <w:r>
              <w:rPr>
                <w:rFonts w:ascii="Times New Roman" w:eastAsia="Times New Roman"/>
                <w:sz w:val="18"/>
              </w:rPr>
              <w:t>Q</w:t>
            </w:r>
            <w:r>
              <w:rPr>
                <w:sz w:val="18"/>
              </w:rPr>
              <w:t>值</w:t>
            </w:r>
          </w:p>
        </w:tc>
        <w:tc>
          <w:tcPr>
            <w:tcW w:w="1311" w:type="dxa"/>
            <w:gridSpan w:val="3"/>
          </w:tcPr>
          <w:p>
            <w:pPr>
              <w:pStyle w:val="19"/>
              <w:spacing w:before="56"/>
              <w:ind w:left="342"/>
              <w:jc w:val="left"/>
              <w:rPr>
                <w:rFonts w:hint="eastAsia" w:ascii="MS UI Gothic" w:hAnsi="MS UI Gothic" w:eastAsia="MS UI Gothic"/>
                <w:sz w:val="18"/>
              </w:rPr>
            </w:pPr>
            <w:r>
              <w:rPr>
                <w:rFonts w:ascii="Times New Roman" w:hAnsi="Times New Roman" w:eastAsia="Times New Roman"/>
                <w:sz w:val="18"/>
              </w:rPr>
              <w:t>Q</w:t>
            </w:r>
            <w:r>
              <w:rPr>
                <w:sz w:val="18"/>
              </w:rPr>
              <w:t>＜</w:t>
            </w:r>
            <w:r>
              <w:rPr>
                <w:rFonts w:ascii="Times New Roman" w:hAnsi="Times New Roman" w:eastAsia="Times New Roman"/>
                <w:sz w:val="18"/>
              </w:rPr>
              <w:t>1</w:t>
            </w:r>
            <w:r>
              <w:rPr>
                <w:rFonts w:hint="eastAsia" w:ascii="MS UI Gothic" w:hAnsi="MS UI Gothic" w:eastAsia="MS UI Gothic"/>
                <w:sz w:val="18"/>
              </w:rPr>
              <w:t>☑</w:t>
            </w:r>
          </w:p>
        </w:tc>
        <w:tc>
          <w:tcPr>
            <w:tcW w:w="1424" w:type="dxa"/>
            <w:gridSpan w:val="5"/>
          </w:tcPr>
          <w:p>
            <w:pPr>
              <w:pStyle w:val="19"/>
              <w:spacing w:before="56"/>
              <w:ind w:left="253"/>
              <w:jc w:val="left"/>
              <w:rPr>
                <w:rFonts w:ascii="Times New Roman" w:hAnsi="Times New Roman" w:eastAsia="Times New Roman"/>
                <w:sz w:val="18"/>
              </w:rPr>
            </w:pPr>
            <w:r>
              <w:rPr>
                <w:rFonts w:ascii="Times New Roman" w:hAnsi="Times New Roman" w:eastAsia="Times New Roman"/>
                <w:sz w:val="18"/>
              </w:rPr>
              <w:t>1</w:t>
            </w:r>
            <w:r>
              <w:rPr>
                <w:sz w:val="18"/>
              </w:rPr>
              <w:t>≤</w:t>
            </w:r>
            <w:r>
              <w:rPr>
                <w:rFonts w:ascii="Times New Roman" w:hAnsi="Times New Roman" w:eastAsia="Times New Roman"/>
                <w:sz w:val="18"/>
              </w:rPr>
              <w:t>Q</w:t>
            </w:r>
            <w:r>
              <w:rPr>
                <w:sz w:val="18"/>
              </w:rPr>
              <w:t>＜</w:t>
            </w:r>
            <w:r>
              <w:rPr>
                <w:rFonts w:ascii="Times New Roman" w:hAnsi="Times New Roman" w:eastAsia="Times New Roman"/>
                <w:sz w:val="18"/>
              </w:rPr>
              <w:t>10□</w:t>
            </w:r>
          </w:p>
        </w:tc>
        <w:tc>
          <w:tcPr>
            <w:tcW w:w="1455" w:type="dxa"/>
            <w:gridSpan w:val="6"/>
          </w:tcPr>
          <w:p>
            <w:pPr>
              <w:pStyle w:val="19"/>
              <w:spacing w:before="56"/>
              <w:ind w:left="180"/>
              <w:jc w:val="left"/>
              <w:rPr>
                <w:rFonts w:ascii="Times New Roman" w:hAnsi="Times New Roman" w:eastAsia="Times New Roman"/>
                <w:sz w:val="18"/>
              </w:rPr>
            </w:pPr>
            <w:r>
              <w:rPr>
                <w:rFonts w:ascii="Times New Roman" w:hAnsi="Times New Roman" w:eastAsia="Times New Roman"/>
                <w:sz w:val="18"/>
              </w:rPr>
              <w:t>10</w:t>
            </w:r>
            <w:r>
              <w:rPr>
                <w:sz w:val="18"/>
              </w:rPr>
              <w:t>≤</w:t>
            </w:r>
            <w:r>
              <w:rPr>
                <w:rFonts w:ascii="Times New Roman" w:hAnsi="Times New Roman" w:eastAsia="Times New Roman"/>
                <w:sz w:val="18"/>
              </w:rPr>
              <w:t>Q</w:t>
            </w:r>
            <w:r>
              <w:rPr>
                <w:sz w:val="18"/>
              </w:rPr>
              <w:t>＜</w:t>
            </w:r>
            <w:r>
              <w:rPr>
                <w:rFonts w:ascii="Times New Roman" w:hAnsi="Times New Roman" w:eastAsia="Times New Roman"/>
                <w:sz w:val="18"/>
              </w:rPr>
              <w:t>100□</w:t>
            </w:r>
          </w:p>
        </w:tc>
        <w:tc>
          <w:tcPr>
            <w:tcW w:w="1404" w:type="dxa"/>
            <w:gridSpan w:val="3"/>
          </w:tcPr>
          <w:p>
            <w:pPr>
              <w:pStyle w:val="19"/>
              <w:spacing w:before="56"/>
              <w:ind w:left="333"/>
              <w:jc w:val="left"/>
              <w:rPr>
                <w:rFonts w:ascii="Times New Roman" w:hAnsi="Times New Roman" w:eastAsia="Times New Roman"/>
                <w:sz w:val="18"/>
              </w:rPr>
            </w:pPr>
            <w:r>
              <w:rPr>
                <w:rFonts w:ascii="Times New Roman" w:hAnsi="Times New Roman" w:eastAsia="Times New Roman"/>
                <w:sz w:val="18"/>
              </w:rPr>
              <w:t>Q</w:t>
            </w:r>
            <w:r>
              <w:rPr>
                <w:sz w:val="18"/>
              </w:rPr>
              <w:t>＞</w:t>
            </w:r>
            <w:r>
              <w:rPr>
                <w:rFonts w:ascii="Times New Roman" w:hAnsi="Times New Roman" w:eastAsia="Times New Roman"/>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continue"/>
            <w:tcBorders>
              <w:top w:val="nil"/>
            </w:tcBorders>
          </w:tcPr>
          <w:p>
            <w:pPr>
              <w:rPr>
                <w:sz w:val="2"/>
                <w:szCs w:val="2"/>
              </w:rPr>
            </w:pPr>
          </w:p>
        </w:tc>
        <w:tc>
          <w:tcPr>
            <w:tcW w:w="1368" w:type="dxa"/>
          </w:tcPr>
          <w:p>
            <w:pPr>
              <w:pStyle w:val="19"/>
              <w:spacing w:before="54"/>
              <w:ind w:left="123" w:right="114"/>
              <w:rPr>
                <w:sz w:val="18"/>
              </w:rPr>
            </w:pPr>
            <w:r>
              <w:rPr>
                <w:rFonts w:ascii="Times New Roman" w:eastAsia="Times New Roman"/>
                <w:sz w:val="18"/>
              </w:rPr>
              <w:t>M</w:t>
            </w:r>
            <w:r>
              <w:rPr>
                <w:sz w:val="18"/>
              </w:rPr>
              <w:t>值</w:t>
            </w:r>
          </w:p>
        </w:tc>
        <w:tc>
          <w:tcPr>
            <w:tcW w:w="1311" w:type="dxa"/>
            <w:gridSpan w:val="3"/>
          </w:tcPr>
          <w:p>
            <w:pPr>
              <w:pStyle w:val="19"/>
              <w:spacing w:before="66"/>
              <w:ind w:left="292" w:right="283"/>
              <w:rPr>
                <w:rFonts w:ascii="Times New Roman" w:hAnsi="Times New Roman"/>
                <w:sz w:val="18"/>
              </w:rPr>
            </w:pPr>
            <w:r>
              <w:rPr>
                <w:rFonts w:ascii="Times New Roman" w:hAnsi="Times New Roman"/>
                <w:sz w:val="18"/>
              </w:rPr>
              <w:t>M1□</w:t>
            </w:r>
          </w:p>
        </w:tc>
        <w:tc>
          <w:tcPr>
            <w:tcW w:w="1424" w:type="dxa"/>
            <w:gridSpan w:val="5"/>
          </w:tcPr>
          <w:p>
            <w:pPr>
              <w:pStyle w:val="19"/>
              <w:spacing w:before="66"/>
              <w:ind w:left="490" w:right="480"/>
              <w:rPr>
                <w:rFonts w:ascii="Times New Roman" w:hAnsi="Times New Roman"/>
                <w:sz w:val="18"/>
              </w:rPr>
            </w:pPr>
            <w:r>
              <w:rPr>
                <w:rFonts w:ascii="Times New Roman" w:hAnsi="Times New Roman"/>
                <w:sz w:val="18"/>
              </w:rPr>
              <w:t>M2□</w:t>
            </w:r>
          </w:p>
        </w:tc>
        <w:tc>
          <w:tcPr>
            <w:tcW w:w="1455" w:type="dxa"/>
            <w:gridSpan w:val="6"/>
          </w:tcPr>
          <w:p>
            <w:pPr>
              <w:pStyle w:val="19"/>
              <w:spacing w:before="66"/>
              <w:ind w:left="503" w:right="497"/>
              <w:rPr>
                <w:rFonts w:ascii="Times New Roman" w:hAnsi="Times New Roman"/>
                <w:sz w:val="18"/>
              </w:rPr>
            </w:pPr>
            <w:r>
              <w:rPr>
                <w:rFonts w:ascii="Times New Roman" w:hAnsi="Times New Roman"/>
                <w:sz w:val="18"/>
              </w:rPr>
              <w:t>M3□</w:t>
            </w:r>
          </w:p>
        </w:tc>
        <w:tc>
          <w:tcPr>
            <w:tcW w:w="1404" w:type="dxa"/>
            <w:gridSpan w:val="3"/>
          </w:tcPr>
          <w:p>
            <w:pPr>
              <w:pStyle w:val="19"/>
              <w:spacing w:before="66"/>
              <w:ind w:left="479" w:right="471"/>
              <w:rPr>
                <w:rFonts w:ascii="Times New Roman" w:hAnsi="Times New Roman"/>
                <w:sz w:val="18"/>
              </w:rPr>
            </w:pPr>
            <w:r>
              <w:rPr>
                <w:rFonts w:ascii="Times New Roman" w:hAnsi="Times New Roman"/>
                <w:sz w:val="18"/>
              </w:rPr>
              <w:t>M4□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continue"/>
            <w:tcBorders>
              <w:top w:val="nil"/>
            </w:tcBorders>
          </w:tcPr>
          <w:p>
            <w:pPr>
              <w:rPr>
                <w:sz w:val="2"/>
                <w:szCs w:val="2"/>
              </w:rPr>
            </w:pPr>
          </w:p>
        </w:tc>
        <w:tc>
          <w:tcPr>
            <w:tcW w:w="1368" w:type="dxa"/>
          </w:tcPr>
          <w:p>
            <w:pPr>
              <w:pStyle w:val="19"/>
              <w:spacing w:before="54"/>
              <w:ind w:left="121" w:right="114"/>
              <w:rPr>
                <w:sz w:val="18"/>
              </w:rPr>
            </w:pPr>
            <w:r>
              <w:rPr>
                <w:rFonts w:ascii="Times New Roman" w:eastAsia="Times New Roman"/>
                <w:sz w:val="18"/>
              </w:rPr>
              <w:t>P</w:t>
            </w:r>
            <w:r>
              <w:rPr>
                <w:sz w:val="18"/>
              </w:rPr>
              <w:t>值</w:t>
            </w:r>
          </w:p>
        </w:tc>
        <w:tc>
          <w:tcPr>
            <w:tcW w:w="1311" w:type="dxa"/>
            <w:gridSpan w:val="3"/>
          </w:tcPr>
          <w:p>
            <w:pPr>
              <w:pStyle w:val="19"/>
              <w:spacing w:before="66"/>
              <w:ind w:left="292" w:right="280"/>
              <w:rPr>
                <w:rFonts w:ascii="Times New Roman" w:hAnsi="Times New Roman"/>
                <w:sz w:val="18"/>
              </w:rPr>
            </w:pPr>
            <w:r>
              <w:rPr>
                <w:rFonts w:ascii="Times New Roman" w:hAnsi="Times New Roman"/>
                <w:sz w:val="18"/>
              </w:rPr>
              <w:t>P1□</w:t>
            </w:r>
          </w:p>
        </w:tc>
        <w:tc>
          <w:tcPr>
            <w:tcW w:w="1424" w:type="dxa"/>
            <w:gridSpan w:val="5"/>
          </w:tcPr>
          <w:p>
            <w:pPr>
              <w:pStyle w:val="19"/>
              <w:spacing w:before="66"/>
              <w:ind w:left="488" w:right="480"/>
              <w:rPr>
                <w:rFonts w:ascii="Times New Roman" w:hAnsi="Times New Roman"/>
                <w:sz w:val="18"/>
              </w:rPr>
            </w:pPr>
            <w:r>
              <w:rPr>
                <w:rFonts w:ascii="Times New Roman" w:hAnsi="Times New Roman"/>
                <w:sz w:val="18"/>
              </w:rPr>
              <w:t>P2□</w:t>
            </w:r>
          </w:p>
        </w:tc>
        <w:tc>
          <w:tcPr>
            <w:tcW w:w="1455" w:type="dxa"/>
            <w:gridSpan w:val="6"/>
          </w:tcPr>
          <w:p>
            <w:pPr>
              <w:pStyle w:val="19"/>
              <w:spacing w:before="66"/>
              <w:ind w:left="503" w:right="494"/>
              <w:rPr>
                <w:rFonts w:ascii="Times New Roman" w:hAnsi="Times New Roman"/>
                <w:sz w:val="18"/>
              </w:rPr>
            </w:pPr>
            <w:r>
              <w:rPr>
                <w:rFonts w:ascii="Times New Roman" w:hAnsi="Times New Roman"/>
                <w:sz w:val="18"/>
              </w:rPr>
              <w:t>P3□</w:t>
            </w:r>
          </w:p>
        </w:tc>
        <w:tc>
          <w:tcPr>
            <w:tcW w:w="1404" w:type="dxa"/>
            <w:gridSpan w:val="3"/>
          </w:tcPr>
          <w:p>
            <w:pPr>
              <w:pStyle w:val="19"/>
              <w:spacing w:before="66"/>
              <w:ind w:left="477" w:right="471"/>
              <w:rPr>
                <w:rFonts w:ascii="Times New Roman" w:hAnsi="Times New Roman"/>
                <w:sz w:val="18"/>
              </w:rPr>
            </w:pPr>
            <w:r>
              <w:rPr>
                <w:rFonts w:ascii="Times New Roman" w:hAnsi="Times New Roman"/>
                <w:sz w:val="18"/>
              </w:rPr>
              <w:t>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restart"/>
          </w:tcPr>
          <w:p>
            <w:pPr>
              <w:pStyle w:val="19"/>
              <w:jc w:val="left"/>
              <w:rPr>
                <w:b/>
                <w:sz w:val="18"/>
              </w:rPr>
            </w:pPr>
          </w:p>
          <w:p>
            <w:pPr>
              <w:pStyle w:val="19"/>
              <w:spacing w:before="8"/>
              <w:jc w:val="left"/>
              <w:rPr>
                <w:b/>
                <w:sz w:val="13"/>
              </w:rPr>
            </w:pPr>
          </w:p>
          <w:p>
            <w:pPr>
              <w:pStyle w:val="19"/>
              <w:ind w:left="238"/>
              <w:jc w:val="left"/>
              <w:rPr>
                <w:sz w:val="18"/>
              </w:rPr>
            </w:pPr>
            <w:r>
              <w:rPr>
                <w:sz w:val="18"/>
              </w:rPr>
              <w:t>环境敏感程度</w:t>
            </w:r>
          </w:p>
        </w:tc>
        <w:tc>
          <w:tcPr>
            <w:tcW w:w="1368" w:type="dxa"/>
          </w:tcPr>
          <w:p>
            <w:pPr>
              <w:pStyle w:val="19"/>
              <w:spacing w:before="55"/>
              <w:ind w:left="123" w:right="114"/>
              <w:rPr>
                <w:sz w:val="18"/>
              </w:rPr>
            </w:pPr>
            <w:r>
              <w:rPr>
                <w:sz w:val="18"/>
              </w:rPr>
              <w:t>大气</w:t>
            </w:r>
          </w:p>
        </w:tc>
        <w:tc>
          <w:tcPr>
            <w:tcW w:w="2174" w:type="dxa"/>
            <w:gridSpan w:val="7"/>
          </w:tcPr>
          <w:p>
            <w:pPr>
              <w:pStyle w:val="19"/>
              <w:spacing w:before="66"/>
              <w:ind w:left="786" w:right="778"/>
              <w:rPr>
                <w:rFonts w:ascii="Times New Roman" w:hAnsi="Times New Roman"/>
                <w:sz w:val="18"/>
              </w:rPr>
            </w:pPr>
            <w:r>
              <w:rPr>
                <w:rFonts w:ascii="Times New Roman" w:hAnsi="Times New Roman"/>
                <w:sz w:val="18"/>
              </w:rPr>
              <w:t>E1□</w:t>
            </w:r>
          </w:p>
        </w:tc>
        <w:tc>
          <w:tcPr>
            <w:tcW w:w="1851" w:type="dxa"/>
            <w:gridSpan w:val="6"/>
          </w:tcPr>
          <w:p>
            <w:pPr>
              <w:pStyle w:val="19"/>
              <w:spacing w:before="66"/>
              <w:ind w:left="622" w:right="617"/>
              <w:rPr>
                <w:rFonts w:ascii="Times New Roman" w:hAnsi="Times New Roman"/>
                <w:sz w:val="18"/>
              </w:rPr>
            </w:pPr>
            <w:r>
              <w:rPr>
                <w:rFonts w:ascii="Times New Roman" w:hAnsi="Times New Roman"/>
                <w:sz w:val="18"/>
              </w:rPr>
              <w:t>E2□</w:t>
            </w:r>
          </w:p>
        </w:tc>
        <w:tc>
          <w:tcPr>
            <w:tcW w:w="1569" w:type="dxa"/>
            <w:gridSpan w:val="4"/>
          </w:tcPr>
          <w:p>
            <w:pPr>
              <w:pStyle w:val="19"/>
              <w:spacing w:before="66"/>
              <w:ind w:left="586" w:right="578"/>
              <w:rPr>
                <w:rFonts w:ascii="Times New Roman" w:hAnsi="Times New Roman"/>
                <w:sz w:val="18"/>
              </w:rPr>
            </w:pPr>
            <w:r>
              <w:rPr>
                <w:rFonts w:ascii="Times New Roman" w:hAnsi="Times New Roman"/>
                <w:sz w:val="18"/>
              </w:rPr>
              <w:t>E3□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continue"/>
            <w:tcBorders>
              <w:top w:val="nil"/>
            </w:tcBorders>
          </w:tcPr>
          <w:p>
            <w:pPr>
              <w:rPr>
                <w:sz w:val="2"/>
                <w:szCs w:val="2"/>
              </w:rPr>
            </w:pPr>
          </w:p>
        </w:tc>
        <w:tc>
          <w:tcPr>
            <w:tcW w:w="1368" w:type="dxa"/>
          </w:tcPr>
          <w:p>
            <w:pPr>
              <w:pStyle w:val="19"/>
              <w:spacing w:before="55"/>
              <w:ind w:left="121" w:right="114"/>
              <w:rPr>
                <w:sz w:val="18"/>
              </w:rPr>
            </w:pPr>
            <w:r>
              <w:rPr>
                <w:sz w:val="18"/>
              </w:rPr>
              <w:t>地表水</w:t>
            </w:r>
          </w:p>
        </w:tc>
        <w:tc>
          <w:tcPr>
            <w:tcW w:w="2174" w:type="dxa"/>
            <w:gridSpan w:val="7"/>
          </w:tcPr>
          <w:p>
            <w:pPr>
              <w:pStyle w:val="19"/>
              <w:spacing w:before="67"/>
              <w:ind w:left="786" w:right="778"/>
              <w:rPr>
                <w:rFonts w:ascii="Times New Roman" w:hAnsi="Times New Roman"/>
                <w:sz w:val="18"/>
              </w:rPr>
            </w:pPr>
            <w:r>
              <w:rPr>
                <w:rFonts w:ascii="Times New Roman" w:hAnsi="Times New Roman"/>
                <w:sz w:val="18"/>
              </w:rPr>
              <w:t>E1□</w:t>
            </w:r>
          </w:p>
        </w:tc>
        <w:tc>
          <w:tcPr>
            <w:tcW w:w="1851" w:type="dxa"/>
            <w:gridSpan w:val="6"/>
          </w:tcPr>
          <w:p>
            <w:pPr>
              <w:pStyle w:val="19"/>
              <w:spacing w:before="67"/>
              <w:ind w:left="622" w:right="617"/>
              <w:rPr>
                <w:rFonts w:ascii="Times New Roman" w:hAnsi="Times New Roman"/>
                <w:sz w:val="18"/>
              </w:rPr>
            </w:pPr>
            <w:r>
              <w:rPr>
                <w:rFonts w:ascii="Times New Roman" w:hAnsi="Times New Roman"/>
                <w:sz w:val="18"/>
              </w:rPr>
              <w:t>E2□</w:t>
            </w:r>
          </w:p>
        </w:tc>
        <w:tc>
          <w:tcPr>
            <w:tcW w:w="1569" w:type="dxa"/>
            <w:gridSpan w:val="4"/>
          </w:tcPr>
          <w:p>
            <w:pPr>
              <w:pStyle w:val="19"/>
              <w:spacing w:before="67"/>
              <w:ind w:left="586" w:right="578"/>
              <w:rPr>
                <w:rFonts w:ascii="Times New Roman" w:hAnsi="Times New Roman"/>
                <w:sz w:val="18"/>
              </w:rPr>
            </w:pPr>
            <w:r>
              <w:rPr>
                <w:rFonts w:ascii="Times New Roman" w:hAnsi="Times New Roman"/>
                <w:sz w:val="18"/>
              </w:rPr>
              <w:t>E3□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vMerge w:val="continue"/>
            <w:tcBorders>
              <w:top w:val="nil"/>
            </w:tcBorders>
          </w:tcPr>
          <w:p>
            <w:pPr>
              <w:rPr>
                <w:sz w:val="2"/>
                <w:szCs w:val="2"/>
              </w:rPr>
            </w:pPr>
          </w:p>
        </w:tc>
        <w:tc>
          <w:tcPr>
            <w:tcW w:w="1368" w:type="dxa"/>
          </w:tcPr>
          <w:p>
            <w:pPr>
              <w:pStyle w:val="19"/>
              <w:spacing w:before="55"/>
              <w:ind w:left="121" w:right="114"/>
              <w:rPr>
                <w:sz w:val="18"/>
              </w:rPr>
            </w:pPr>
            <w:r>
              <w:rPr>
                <w:sz w:val="18"/>
              </w:rPr>
              <w:t>地下水</w:t>
            </w:r>
          </w:p>
        </w:tc>
        <w:tc>
          <w:tcPr>
            <w:tcW w:w="2174" w:type="dxa"/>
            <w:gridSpan w:val="7"/>
          </w:tcPr>
          <w:p>
            <w:pPr>
              <w:pStyle w:val="19"/>
              <w:spacing w:before="65"/>
              <w:ind w:left="786" w:right="778"/>
              <w:rPr>
                <w:rFonts w:ascii="Times New Roman" w:hAnsi="Times New Roman"/>
                <w:sz w:val="18"/>
              </w:rPr>
            </w:pPr>
            <w:r>
              <w:rPr>
                <w:rFonts w:ascii="Times New Roman" w:hAnsi="Times New Roman"/>
                <w:sz w:val="18"/>
              </w:rPr>
              <w:t>E1□</w:t>
            </w:r>
          </w:p>
        </w:tc>
        <w:tc>
          <w:tcPr>
            <w:tcW w:w="1851" w:type="dxa"/>
            <w:gridSpan w:val="6"/>
          </w:tcPr>
          <w:p>
            <w:pPr>
              <w:pStyle w:val="19"/>
              <w:spacing w:before="65"/>
              <w:ind w:left="622" w:right="617"/>
              <w:rPr>
                <w:rFonts w:ascii="Times New Roman" w:hAnsi="Times New Roman"/>
                <w:sz w:val="18"/>
              </w:rPr>
            </w:pPr>
            <w:r>
              <w:rPr>
                <w:rFonts w:ascii="Times New Roman" w:hAnsi="Times New Roman"/>
                <w:sz w:val="18"/>
              </w:rPr>
              <w:t>E2□</w:t>
            </w:r>
          </w:p>
        </w:tc>
        <w:tc>
          <w:tcPr>
            <w:tcW w:w="1569" w:type="dxa"/>
            <w:gridSpan w:val="4"/>
          </w:tcPr>
          <w:p>
            <w:pPr>
              <w:pStyle w:val="19"/>
              <w:spacing w:before="65"/>
              <w:ind w:left="586" w:right="578"/>
              <w:rPr>
                <w:rFonts w:ascii="Times New Roman" w:hAnsi="Times New Roman"/>
                <w:sz w:val="18"/>
              </w:rPr>
            </w:pPr>
            <w:r>
              <w:rPr>
                <w:rFonts w:ascii="Times New Roman" w:hAnsi="Times New Roman"/>
                <w:sz w:val="18"/>
              </w:rPr>
              <w:t>E3□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tcPr>
          <w:p>
            <w:pPr>
              <w:pStyle w:val="19"/>
              <w:spacing w:before="56"/>
              <w:ind w:left="238"/>
              <w:jc w:val="left"/>
              <w:rPr>
                <w:sz w:val="18"/>
              </w:rPr>
            </w:pPr>
            <w:r>
              <w:rPr>
                <w:sz w:val="18"/>
              </w:rPr>
              <w:t>环境风险潜势</w:t>
            </w:r>
          </w:p>
        </w:tc>
        <w:tc>
          <w:tcPr>
            <w:tcW w:w="1368" w:type="dxa"/>
          </w:tcPr>
          <w:p>
            <w:pPr>
              <w:pStyle w:val="19"/>
              <w:spacing w:before="56"/>
              <w:ind w:left="123" w:right="113"/>
              <w:rPr>
                <w:rFonts w:ascii="Times New Roman" w:hAnsi="Times New Roman"/>
                <w:sz w:val="18"/>
              </w:rPr>
            </w:pPr>
            <w:r>
              <w:rPr>
                <w:sz w:val="18"/>
              </w:rPr>
              <w:t>Ⅳ</w:t>
            </w:r>
            <w:r>
              <w:rPr>
                <w:rFonts w:ascii="Times New Roman" w:hAnsi="Times New Roman"/>
                <w:position w:val="6"/>
                <w:sz w:val="11"/>
              </w:rPr>
              <w:t>+</w:t>
            </w:r>
            <w:r>
              <w:rPr>
                <w:rFonts w:ascii="Times New Roman" w:hAnsi="Times New Roman"/>
                <w:sz w:val="18"/>
              </w:rPr>
              <w:t>□</w:t>
            </w:r>
          </w:p>
        </w:tc>
        <w:tc>
          <w:tcPr>
            <w:tcW w:w="1430" w:type="dxa"/>
            <w:gridSpan w:val="4"/>
          </w:tcPr>
          <w:p>
            <w:pPr>
              <w:pStyle w:val="19"/>
              <w:spacing w:before="56"/>
              <w:ind w:left="504" w:right="496"/>
              <w:rPr>
                <w:rFonts w:ascii="Times New Roman" w:hAnsi="Times New Roman"/>
                <w:sz w:val="18"/>
              </w:rPr>
            </w:pPr>
            <w:r>
              <w:rPr>
                <w:sz w:val="18"/>
              </w:rPr>
              <w:t>Ⅳ</w:t>
            </w:r>
            <w:r>
              <w:rPr>
                <w:rFonts w:ascii="Times New Roman" w:hAnsi="Times New Roman"/>
                <w:sz w:val="18"/>
              </w:rPr>
              <w:t>□</w:t>
            </w:r>
          </w:p>
        </w:tc>
        <w:tc>
          <w:tcPr>
            <w:tcW w:w="1482" w:type="dxa"/>
            <w:gridSpan w:val="5"/>
          </w:tcPr>
          <w:p>
            <w:pPr>
              <w:pStyle w:val="19"/>
              <w:spacing w:before="56"/>
              <w:ind w:left="530" w:right="521"/>
              <w:rPr>
                <w:rFonts w:ascii="Times New Roman" w:hAnsi="Times New Roman"/>
                <w:sz w:val="18"/>
              </w:rPr>
            </w:pPr>
            <w:r>
              <w:rPr>
                <w:sz w:val="18"/>
              </w:rPr>
              <w:t>Ⅲ</w:t>
            </w:r>
            <w:r>
              <w:rPr>
                <w:rFonts w:ascii="Times New Roman" w:hAnsi="Times New Roman"/>
                <w:sz w:val="18"/>
              </w:rPr>
              <w:t>□</w:t>
            </w:r>
          </w:p>
        </w:tc>
        <w:tc>
          <w:tcPr>
            <w:tcW w:w="1482" w:type="dxa"/>
            <w:gridSpan w:val="6"/>
          </w:tcPr>
          <w:p>
            <w:pPr>
              <w:pStyle w:val="19"/>
              <w:spacing w:before="56"/>
              <w:ind w:left="529" w:right="522"/>
              <w:rPr>
                <w:rFonts w:ascii="Times New Roman" w:hAnsi="Times New Roman"/>
                <w:sz w:val="18"/>
              </w:rPr>
            </w:pPr>
            <w:r>
              <w:rPr>
                <w:sz w:val="18"/>
              </w:rPr>
              <w:t>Ⅱ</w:t>
            </w:r>
            <w:r>
              <w:rPr>
                <w:rFonts w:ascii="Times New Roman" w:hAnsi="Times New Roman"/>
                <w:sz w:val="18"/>
              </w:rPr>
              <w:t>□</w:t>
            </w:r>
          </w:p>
        </w:tc>
        <w:tc>
          <w:tcPr>
            <w:tcW w:w="1200" w:type="dxa"/>
            <w:gridSpan w:val="2"/>
          </w:tcPr>
          <w:p>
            <w:pPr>
              <w:pStyle w:val="19"/>
              <w:spacing w:before="53"/>
              <w:ind w:left="436" w:right="428"/>
              <w:rPr>
                <w:rFonts w:ascii="MS UI Gothic" w:hAnsi="MS UI Gothic"/>
                <w:sz w:val="18"/>
              </w:rPr>
            </w:pPr>
            <w:r>
              <w:rPr>
                <w:rFonts w:ascii="Times New Roman" w:hAnsi="Times New Roman"/>
                <w:sz w:val="18"/>
              </w:rPr>
              <w:t>I</w:t>
            </w:r>
            <w:r>
              <w:rPr>
                <w:rFonts w:ascii="MS UI Gothic" w:hAnsi="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tcPr>
          <w:p>
            <w:pPr>
              <w:pStyle w:val="19"/>
              <w:spacing w:before="54"/>
              <w:ind w:left="418"/>
              <w:jc w:val="left"/>
              <w:rPr>
                <w:sz w:val="18"/>
              </w:rPr>
            </w:pPr>
            <w:r>
              <w:rPr>
                <w:sz w:val="18"/>
              </w:rPr>
              <w:t>评价等级</w:t>
            </w:r>
          </w:p>
        </w:tc>
        <w:tc>
          <w:tcPr>
            <w:tcW w:w="1368" w:type="dxa"/>
          </w:tcPr>
          <w:p>
            <w:pPr>
              <w:pStyle w:val="19"/>
              <w:spacing w:before="54"/>
              <w:ind w:left="123" w:right="113"/>
              <w:rPr>
                <w:rFonts w:ascii="Times New Roman" w:hAnsi="Times New Roman" w:eastAsia="Times New Roman"/>
                <w:sz w:val="18"/>
              </w:rPr>
            </w:pPr>
            <w:r>
              <w:rPr>
                <w:sz w:val="18"/>
              </w:rPr>
              <w:t>一级</w:t>
            </w:r>
            <w:r>
              <w:rPr>
                <w:rFonts w:ascii="Times New Roman" w:hAnsi="Times New Roman" w:eastAsia="Times New Roman"/>
                <w:sz w:val="18"/>
              </w:rPr>
              <w:t>□</w:t>
            </w:r>
          </w:p>
        </w:tc>
        <w:tc>
          <w:tcPr>
            <w:tcW w:w="2174" w:type="dxa"/>
            <w:gridSpan w:val="7"/>
          </w:tcPr>
          <w:p>
            <w:pPr>
              <w:pStyle w:val="19"/>
              <w:spacing w:before="54"/>
              <w:ind w:left="786" w:right="778"/>
              <w:rPr>
                <w:rFonts w:ascii="Times New Roman" w:hAnsi="Times New Roman" w:eastAsia="Times New Roman"/>
                <w:sz w:val="18"/>
              </w:rPr>
            </w:pPr>
            <w:r>
              <w:rPr>
                <w:sz w:val="18"/>
              </w:rPr>
              <w:t>二级</w:t>
            </w:r>
            <w:r>
              <w:rPr>
                <w:rFonts w:ascii="Times New Roman" w:hAnsi="Times New Roman" w:eastAsia="Times New Roman"/>
                <w:sz w:val="18"/>
              </w:rPr>
              <w:t>□</w:t>
            </w:r>
          </w:p>
        </w:tc>
        <w:tc>
          <w:tcPr>
            <w:tcW w:w="1851" w:type="dxa"/>
            <w:gridSpan w:val="6"/>
          </w:tcPr>
          <w:p>
            <w:pPr>
              <w:pStyle w:val="19"/>
              <w:spacing w:before="54"/>
              <w:ind w:left="625" w:right="617"/>
              <w:rPr>
                <w:rFonts w:ascii="Times New Roman" w:hAnsi="Times New Roman" w:eastAsia="Times New Roman"/>
                <w:sz w:val="18"/>
              </w:rPr>
            </w:pPr>
            <w:r>
              <w:rPr>
                <w:sz w:val="18"/>
              </w:rPr>
              <w:t>三级</w:t>
            </w:r>
            <w:r>
              <w:rPr>
                <w:rFonts w:ascii="Times New Roman" w:hAnsi="Times New Roman" w:eastAsia="Times New Roman"/>
                <w:sz w:val="18"/>
              </w:rPr>
              <w:t>□</w:t>
            </w:r>
          </w:p>
        </w:tc>
        <w:tc>
          <w:tcPr>
            <w:tcW w:w="1569" w:type="dxa"/>
            <w:gridSpan w:val="4"/>
          </w:tcPr>
          <w:p>
            <w:pPr>
              <w:pStyle w:val="19"/>
              <w:spacing w:before="54"/>
              <w:ind w:left="287"/>
              <w:jc w:val="left"/>
              <w:rPr>
                <w:rFonts w:hint="eastAsia" w:ascii="MS UI Gothic" w:hAnsi="MS UI Gothic" w:eastAsia="MS UI Gothic"/>
                <w:sz w:val="18"/>
              </w:rPr>
            </w:pPr>
            <w:r>
              <w:rPr>
                <w:sz w:val="18"/>
              </w:rPr>
              <w:t>简单分析</w:t>
            </w:r>
            <w:r>
              <w:rPr>
                <w:rFonts w:hint="eastAsia" w:ascii="MS UI Gothic" w:hAnsi="MS UI Gothic" w:eastAsia="MS UI Gothic"/>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18" w:type="dxa"/>
            <w:vMerge w:val="restart"/>
          </w:tcPr>
          <w:p>
            <w:pPr>
              <w:pStyle w:val="19"/>
              <w:spacing w:before="2"/>
              <w:jc w:val="left"/>
              <w:rPr>
                <w:b/>
                <w:sz w:val="17"/>
              </w:rPr>
            </w:pPr>
          </w:p>
          <w:p>
            <w:pPr>
              <w:pStyle w:val="19"/>
              <w:spacing w:line="324" w:lineRule="auto"/>
              <w:ind w:left="219" w:right="206"/>
              <w:jc w:val="both"/>
              <w:rPr>
                <w:sz w:val="18"/>
              </w:rPr>
            </w:pPr>
            <w:r>
              <w:rPr>
                <w:sz w:val="18"/>
              </w:rPr>
              <w:t>风险识别</w:t>
            </w:r>
          </w:p>
        </w:tc>
        <w:tc>
          <w:tcPr>
            <w:tcW w:w="941" w:type="dxa"/>
          </w:tcPr>
          <w:p>
            <w:pPr>
              <w:pStyle w:val="19"/>
              <w:spacing w:before="40"/>
              <w:ind w:left="90" w:right="81"/>
              <w:rPr>
                <w:sz w:val="18"/>
              </w:rPr>
            </w:pPr>
            <w:r>
              <w:rPr>
                <w:sz w:val="18"/>
              </w:rPr>
              <w:t>物质危险</w:t>
            </w:r>
          </w:p>
          <w:p>
            <w:pPr>
              <w:pStyle w:val="19"/>
              <w:spacing w:before="81"/>
              <w:ind w:left="7"/>
              <w:rPr>
                <w:sz w:val="18"/>
              </w:rPr>
            </w:pPr>
            <w:r>
              <w:rPr>
                <w:sz w:val="18"/>
              </w:rPr>
              <w:t>性</w:t>
            </w:r>
          </w:p>
        </w:tc>
        <w:tc>
          <w:tcPr>
            <w:tcW w:w="3542" w:type="dxa"/>
            <w:gridSpan w:val="8"/>
          </w:tcPr>
          <w:p>
            <w:pPr>
              <w:pStyle w:val="19"/>
              <w:spacing w:before="3"/>
              <w:jc w:val="left"/>
              <w:rPr>
                <w:b/>
                <w:sz w:val="15"/>
              </w:rPr>
            </w:pPr>
          </w:p>
          <w:p>
            <w:pPr>
              <w:pStyle w:val="19"/>
              <w:spacing w:before="1"/>
              <w:ind w:left="1290" w:right="1282"/>
              <w:rPr>
                <w:rFonts w:ascii="Times New Roman" w:hAnsi="Times New Roman" w:eastAsia="Times New Roman"/>
                <w:sz w:val="18"/>
              </w:rPr>
            </w:pPr>
            <w:r>
              <w:rPr>
                <w:sz w:val="18"/>
              </w:rPr>
              <w:t>有毒有害</w:t>
            </w:r>
            <w:r>
              <w:rPr>
                <w:rFonts w:ascii="Times New Roman" w:hAnsi="Times New Roman" w:eastAsia="Times New Roman"/>
                <w:sz w:val="18"/>
              </w:rPr>
              <w:t>□</w:t>
            </w:r>
          </w:p>
        </w:tc>
        <w:tc>
          <w:tcPr>
            <w:tcW w:w="3420" w:type="dxa"/>
            <w:gridSpan w:val="10"/>
          </w:tcPr>
          <w:p>
            <w:pPr>
              <w:pStyle w:val="19"/>
              <w:spacing w:before="3"/>
              <w:jc w:val="left"/>
              <w:rPr>
                <w:b/>
                <w:sz w:val="15"/>
              </w:rPr>
            </w:pPr>
          </w:p>
          <w:p>
            <w:pPr>
              <w:pStyle w:val="19"/>
              <w:spacing w:before="1"/>
              <w:ind w:left="1229" w:right="1221"/>
              <w:rPr>
                <w:rFonts w:ascii="Times New Roman" w:hAnsi="Times New Roman" w:eastAsia="Times New Roman"/>
                <w:sz w:val="18"/>
              </w:rPr>
            </w:pPr>
            <w:r>
              <w:rPr>
                <w:sz w:val="18"/>
              </w:rPr>
              <w:t>易燃易爆</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18" w:type="dxa"/>
            <w:vMerge w:val="continue"/>
            <w:tcBorders>
              <w:top w:val="nil"/>
            </w:tcBorders>
          </w:tcPr>
          <w:p>
            <w:pPr>
              <w:rPr>
                <w:sz w:val="2"/>
                <w:szCs w:val="2"/>
              </w:rPr>
            </w:pPr>
          </w:p>
        </w:tc>
        <w:tc>
          <w:tcPr>
            <w:tcW w:w="941" w:type="dxa"/>
          </w:tcPr>
          <w:p>
            <w:pPr>
              <w:pStyle w:val="19"/>
              <w:spacing w:before="42"/>
              <w:ind w:left="90" w:right="81"/>
              <w:rPr>
                <w:sz w:val="18"/>
              </w:rPr>
            </w:pPr>
            <w:r>
              <w:rPr>
                <w:sz w:val="18"/>
              </w:rPr>
              <w:t>环境风险</w:t>
            </w:r>
          </w:p>
          <w:p>
            <w:pPr>
              <w:pStyle w:val="19"/>
              <w:spacing w:before="81"/>
              <w:ind w:left="90" w:right="81"/>
              <w:rPr>
                <w:sz w:val="18"/>
              </w:rPr>
            </w:pPr>
            <w:r>
              <w:rPr>
                <w:sz w:val="18"/>
              </w:rPr>
              <w:t>类型</w:t>
            </w:r>
          </w:p>
        </w:tc>
        <w:tc>
          <w:tcPr>
            <w:tcW w:w="3542" w:type="dxa"/>
            <w:gridSpan w:val="8"/>
          </w:tcPr>
          <w:p>
            <w:pPr>
              <w:pStyle w:val="19"/>
              <w:spacing w:before="5"/>
              <w:jc w:val="left"/>
              <w:rPr>
                <w:b/>
                <w:sz w:val="15"/>
              </w:rPr>
            </w:pPr>
          </w:p>
          <w:p>
            <w:pPr>
              <w:pStyle w:val="19"/>
              <w:spacing w:before="1"/>
              <w:ind w:left="1290" w:right="1282"/>
              <w:rPr>
                <w:rFonts w:ascii="Times New Roman" w:hAnsi="Times New Roman" w:eastAsia="Times New Roman"/>
                <w:sz w:val="18"/>
              </w:rPr>
            </w:pPr>
            <w:r>
              <w:rPr>
                <w:sz w:val="18"/>
              </w:rPr>
              <w:t>泄漏</w:t>
            </w:r>
            <w:r>
              <w:rPr>
                <w:rFonts w:ascii="Times New Roman" w:hAnsi="Times New Roman" w:eastAsia="Times New Roman"/>
                <w:sz w:val="18"/>
              </w:rPr>
              <w:t>□</w:t>
            </w:r>
          </w:p>
        </w:tc>
        <w:tc>
          <w:tcPr>
            <w:tcW w:w="3420" w:type="dxa"/>
            <w:gridSpan w:val="10"/>
          </w:tcPr>
          <w:p>
            <w:pPr>
              <w:pStyle w:val="19"/>
              <w:spacing w:before="5"/>
              <w:jc w:val="left"/>
              <w:rPr>
                <w:b/>
                <w:sz w:val="15"/>
              </w:rPr>
            </w:pPr>
          </w:p>
          <w:p>
            <w:pPr>
              <w:pStyle w:val="19"/>
              <w:spacing w:before="1"/>
              <w:ind w:left="144"/>
              <w:jc w:val="left"/>
              <w:rPr>
                <w:rFonts w:ascii="Times New Roman" w:hAnsi="Times New Roman" w:eastAsia="Times New Roman"/>
                <w:sz w:val="18"/>
              </w:rPr>
            </w:pPr>
            <w:r>
              <w:rPr>
                <w:sz w:val="18"/>
              </w:rPr>
              <w:t>火灾、爆炸引发伴生</w:t>
            </w:r>
            <w:r>
              <w:rPr>
                <w:rFonts w:ascii="Times New Roman" w:hAnsi="Times New Roman" w:eastAsia="Times New Roman"/>
                <w:sz w:val="18"/>
              </w:rPr>
              <w:t>/</w:t>
            </w:r>
            <w:r>
              <w:rPr>
                <w:sz w:val="18"/>
              </w:rPr>
              <w:t>次生污染物排放</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tcPr>
          <w:p>
            <w:pPr>
              <w:pStyle w:val="19"/>
              <w:spacing w:before="56"/>
              <w:ind w:left="90" w:right="81"/>
              <w:rPr>
                <w:sz w:val="18"/>
              </w:rPr>
            </w:pPr>
            <w:r>
              <w:rPr>
                <w:sz w:val="18"/>
              </w:rPr>
              <w:t>影响途径</w:t>
            </w:r>
          </w:p>
        </w:tc>
        <w:tc>
          <w:tcPr>
            <w:tcW w:w="2469" w:type="dxa"/>
            <w:gridSpan w:val="3"/>
          </w:tcPr>
          <w:p>
            <w:pPr>
              <w:pStyle w:val="19"/>
              <w:spacing w:before="56"/>
              <w:ind w:left="934" w:right="926"/>
              <w:rPr>
                <w:rFonts w:ascii="Times New Roman" w:hAnsi="Times New Roman" w:eastAsia="Times New Roman"/>
                <w:sz w:val="18"/>
              </w:rPr>
            </w:pPr>
            <w:r>
              <w:rPr>
                <w:sz w:val="18"/>
              </w:rPr>
              <w:t>大气</w:t>
            </w:r>
            <w:r>
              <w:rPr>
                <w:rFonts w:ascii="Times New Roman" w:hAnsi="Times New Roman" w:eastAsia="Times New Roman"/>
                <w:sz w:val="18"/>
              </w:rPr>
              <w:t>□</w:t>
            </w:r>
          </w:p>
        </w:tc>
        <w:tc>
          <w:tcPr>
            <w:tcW w:w="2634" w:type="dxa"/>
            <w:gridSpan w:val="10"/>
          </w:tcPr>
          <w:p>
            <w:pPr>
              <w:pStyle w:val="19"/>
              <w:spacing w:before="56"/>
              <w:ind w:left="926" w:right="919"/>
              <w:rPr>
                <w:rFonts w:ascii="Times New Roman" w:hAnsi="Times New Roman" w:eastAsia="Times New Roman"/>
                <w:sz w:val="18"/>
              </w:rPr>
            </w:pPr>
            <w:r>
              <w:rPr>
                <w:sz w:val="18"/>
              </w:rPr>
              <w:t>地表水</w:t>
            </w:r>
            <w:r>
              <w:rPr>
                <w:rFonts w:ascii="Times New Roman" w:hAnsi="Times New Roman" w:eastAsia="Times New Roman"/>
                <w:sz w:val="18"/>
              </w:rPr>
              <w:t>□</w:t>
            </w:r>
          </w:p>
        </w:tc>
        <w:tc>
          <w:tcPr>
            <w:tcW w:w="1859" w:type="dxa"/>
            <w:gridSpan w:val="5"/>
          </w:tcPr>
          <w:p>
            <w:pPr>
              <w:pStyle w:val="19"/>
              <w:spacing w:before="56"/>
              <w:ind w:left="558"/>
              <w:jc w:val="left"/>
              <w:rPr>
                <w:rFonts w:ascii="Times New Roman" w:hAnsi="Times New Roman" w:eastAsia="Times New Roman"/>
                <w:sz w:val="18"/>
              </w:rPr>
            </w:pPr>
            <w:r>
              <w:rPr>
                <w:sz w:val="18"/>
              </w:rPr>
              <w:t>地下水</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59" w:type="dxa"/>
            <w:gridSpan w:val="2"/>
          </w:tcPr>
          <w:p>
            <w:pPr>
              <w:pStyle w:val="19"/>
              <w:spacing w:before="54"/>
              <w:ind w:left="238"/>
              <w:jc w:val="left"/>
              <w:rPr>
                <w:sz w:val="18"/>
              </w:rPr>
            </w:pPr>
            <w:r>
              <w:rPr>
                <w:sz w:val="18"/>
              </w:rPr>
              <w:t>事故情形分析</w:t>
            </w:r>
          </w:p>
        </w:tc>
        <w:tc>
          <w:tcPr>
            <w:tcW w:w="1368" w:type="dxa"/>
          </w:tcPr>
          <w:p>
            <w:pPr>
              <w:pStyle w:val="19"/>
              <w:spacing w:before="54"/>
              <w:ind w:left="123" w:right="114"/>
              <w:rPr>
                <w:sz w:val="18"/>
              </w:rPr>
            </w:pPr>
            <w:r>
              <w:rPr>
                <w:sz w:val="18"/>
              </w:rPr>
              <w:t>源强设定方法</w:t>
            </w:r>
          </w:p>
        </w:tc>
        <w:tc>
          <w:tcPr>
            <w:tcW w:w="1835" w:type="dxa"/>
            <w:gridSpan w:val="5"/>
          </w:tcPr>
          <w:p>
            <w:pPr>
              <w:pStyle w:val="19"/>
              <w:spacing w:before="54"/>
              <w:ind w:left="537"/>
              <w:jc w:val="left"/>
              <w:rPr>
                <w:rFonts w:ascii="Times New Roman" w:hAnsi="Times New Roman" w:eastAsia="Times New Roman"/>
                <w:sz w:val="18"/>
              </w:rPr>
            </w:pPr>
            <w:r>
              <w:rPr>
                <w:sz w:val="18"/>
              </w:rPr>
              <w:t>计算法</w:t>
            </w:r>
            <w:r>
              <w:rPr>
                <w:rFonts w:ascii="Times New Roman" w:hAnsi="Times New Roman" w:eastAsia="Times New Roman"/>
                <w:sz w:val="18"/>
              </w:rPr>
              <w:t>□</w:t>
            </w:r>
          </w:p>
        </w:tc>
        <w:tc>
          <w:tcPr>
            <w:tcW w:w="2355" w:type="dxa"/>
            <w:gridSpan w:val="9"/>
          </w:tcPr>
          <w:p>
            <w:pPr>
              <w:pStyle w:val="19"/>
              <w:spacing w:before="54"/>
              <w:ind w:left="617"/>
              <w:jc w:val="left"/>
              <w:rPr>
                <w:rFonts w:ascii="Times New Roman" w:hAnsi="Times New Roman" w:eastAsia="Times New Roman"/>
                <w:sz w:val="18"/>
              </w:rPr>
            </w:pPr>
            <w:r>
              <w:rPr>
                <w:sz w:val="18"/>
              </w:rPr>
              <w:t>经验估算法</w:t>
            </w:r>
            <w:r>
              <w:rPr>
                <w:rFonts w:ascii="Times New Roman" w:hAnsi="Times New Roman" w:eastAsia="Times New Roman"/>
                <w:sz w:val="18"/>
              </w:rPr>
              <w:t>□</w:t>
            </w:r>
          </w:p>
        </w:tc>
        <w:tc>
          <w:tcPr>
            <w:tcW w:w="1404" w:type="dxa"/>
            <w:gridSpan w:val="3"/>
          </w:tcPr>
          <w:p>
            <w:pPr>
              <w:pStyle w:val="19"/>
              <w:spacing w:before="54"/>
              <w:ind w:left="151"/>
              <w:jc w:val="left"/>
              <w:rPr>
                <w:rFonts w:ascii="Times New Roman" w:hAnsi="Times New Roman" w:eastAsia="Times New Roman"/>
                <w:sz w:val="18"/>
              </w:rPr>
            </w:pPr>
            <w:r>
              <w:rPr>
                <w:sz w:val="18"/>
              </w:rPr>
              <w:t>其他估算法</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restart"/>
          </w:tcPr>
          <w:p>
            <w:pPr>
              <w:pStyle w:val="19"/>
              <w:jc w:val="left"/>
              <w:rPr>
                <w:b/>
                <w:sz w:val="18"/>
              </w:rPr>
            </w:pPr>
          </w:p>
          <w:p>
            <w:pPr>
              <w:pStyle w:val="19"/>
              <w:spacing w:before="1"/>
              <w:jc w:val="left"/>
              <w:rPr>
                <w:b/>
                <w:sz w:val="18"/>
              </w:rPr>
            </w:pPr>
          </w:p>
          <w:p>
            <w:pPr>
              <w:pStyle w:val="19"/>
              <w:spacing w:line="324" w:lineRule="auto"/>
              <w:ind w:left="128" w:right="117"/>
              <w:jc w:val="both"/>
              <w:rPr>
                <w:sz w:val="18"/>
              </w:rPr>
            </w:pPr>
            <w:r>
              <w:rPr>
                <w:sz w:val="18"/>
              </w:rPr>
              <w:t>风险预测与评价</w:t>
            </w:r>
          </w:p>
        </w:tc>
        <w:tc>
          <w:tcPr>
            <w:tcW w:w="941" w:type="dxa"/>
            <w:vMerge w:val="restart"/>
          </w:tcPr>
          <w:p>
            <w:pPr>
              <w:pStyle w:val="19"/>
              <w:jc w:val="left"/>
              <w:rPr>
                <w:b/>
                <w:sz w:val="18"/>
              </w:rPr>
            </w:pPr>
          </w:p>
          <w:p>
            <w:pPr>
              <w:pStyle w:val="19"/>
              <w:spacing w:before="7"/>
              <w:jc w:val="left"/>
              <w:rPr>
                <w:b/>
                <w:sz w:val="13"/>
              </w:rPr>
            </w:pPr>
          </w:p>
          <w:p>
            <w:pPr>
              <w:pStyle w:val="19"/>
              <w:ind w:left="290"/>
              <w:jc w:val="left"/>
              <w:rPr>
                <w:sz w:val="18"/>
              </w:rPr>
            </w:pPr>
            <w:r>
              <w:rPr>
                <w:sz w:val="18"/>
              </w:rPr>
              <w:t>大气</w:t>
            </w:r>
          </w:p>
        </w:tc>
        <w:tc>
          <w:tcPr>
            <w:tcW w:w="1368" w:type="dxa"/>
          </w:tcPr>
          <w:p>
            <w:pPr>
              <w:pStyle w:val="19"/>
              <w:spacing w:before="54"/>
              <w:ind w:left="123" w:right="114"/>
              <w:rPr>
                <w:sz w:val="18"/>
              </w:rPr>
            </w:pPr>
            <w:r>
              <w:rPr>
                <w:sz w:val="18"/>
              </w:rPr>
              <w:t>预测模型</w:t>
            </w:r>
          </w:p>
        </w:tc>
        <w:tc>
          <w:tcPr>
            <w:tcW w:w="1835" w:type="dxa"/>
            <w:gridSpan w:val="5"/>
          </w:tcPr>
          <w:p>
            <w:pPr>
              <w:pStyle w:val="19"/>
              <w:spacing w:before="66"/>
              <w:ind w:left="599"/>
              <w:jc w:val="left"/>
              <w:rPr>
                <w:rFonts w:ascii="Times New Roman" w:hAnsi="Times New Roman"/>
                <w:sz w:val="18"/>
              </w:rPr>
            </w:pPr>
            <w:r>
              <w:rPr>
                <w:rFonts w:ascii="Times New Roman" w:hAnsi="Times New Roman"/>
                <w:sz w:val="18"/>
              </w:rPr>
              <w:t>SLAB□</w:t>
            </w:r>
          </w:p>
        </w:tc>
        <w:tc>
          <w:tcPr>
            <w:tcW w:w="2355" w:type="dxa"/>
            <w:gridSpan w:val="9"/>
          </w:tcPr>
          <w:p>
            <w:pPr>
              <w:pStyle w:val="19"/>
              <w:spacing w:before="66"/>
              <w:ind w:left="772" w:right="779"/>
              <w:rPr>
                <w:rFonts w:ascii="Times New Roman" w:hAnsi="Times New Roman"/>
                <w:sz w:val="18"/>
              </w:rPr>
            </w:pPr>
            <w:r>
              <w:rPr>
                <w:rFonts w:ascii="Times New Roman" w:hAnsi="Times New Roman"/>
                <w:sz w:val="18"/>
              </w:rPr>
              <w:t>AFTOX□</w:t>
            </w:r>
          </w:p>
        </w:tc>
        <w:tc>
          <w:tcPr>
            <w:tcW w:w="1404" w:type="dxa"/>
            <w:gridSpan w:val="3"/>
          </w:tcPr>
          <w:p>
            <w:pPr>
              <w:pStyle w:val="19"/>
              <w:spacing w:before="54"/>
              <w:ind w:left="422"/>
              <w:jc w:val="left"/>
              <w:rPr>
                <w:rFonts w:ascii="Times New Roman" w:hAnsi="Times New Roman" w:eastAsia="Times New Roman"/>
                <w:sz w:val="18"/>
              </w:rPr>
            </w:pPr>
            <w:r>
              <w:rPr>
                <w:sz w:val="18"/>
              </w:rPr>
              <w:t>其他</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restart"/>
          </w:tcPr>
          <w:p>
            <w:pPr>
              <w:pStyle w:val="19"/>
              <w:spacing w:before="12"/>
              <w:jc w:val="left"/>
              <w:rPr>
                <w:b/>
                <w:sz w:val="17"/>
              </w:rPr>
            </w:pPr>
          </w:p>
          <w:p>
            <w:pPr>
              <w:pStyle w:val="19"/>
              <w:ind w:left="323"/>
              <w:jc w:val="left"/>
              <w:rPr>
                <w:sz w:val="18"/>
              </w:rPr>
            </w:pPr>
            <w:r>
              <w:rPr>
                <w:sz w:val="18"/>
              </w:rPr>
              <w:t>预测结果</w:t>
            </w:r>
          </w:p>
        </w:tc>
        <w:tc>
          <w:tcPr>
            <w:tcW w:w="5594" w:type="dxa"/>
            <w:gridSpan w:val="17"/>
          </w:tcPr>
          <w:p>
            <w:pPr>
              <w:pStyle w:val="19"/>
              <w:tabs>
                <w:tab w:val="left" w:pos="4331"/>
              </w:tabs>
              <w:spacing w:before="55"/>
              <w:ind w:left="1120"/>
              <w:jc w:val="left"/>
              <w:rPr>
                <w:rFonts w:ascii="Times New Roman" w:eastAsia="Times New Roman"/>
                <w:sz w:val="18"/>
              </w:rPr>
            </w:pPr>
            <w:r>
              <w:rPr>
                <w:sz w:val="18"/>
              </w:rPr>
              <w:t>大气毒性终点浓度</w:t>
            </w:r>
            <w:r>
              <w:rPr>
                <w:rFonts w:ascii="Times New Roman" w:eastAsia="Times New Roman"/>
                <w:sz w:val="18"/>
              </w:rPr>
              <w:t>-1</w:t>
            </w:r>
            <w:r>
              <w:rPr>
                <w:sz w:val="18"/>
              </w:rPr>
              <w:t>最大影响范围</w:t>
            </w:r>
            <w:r>
              <w:rPr>
                <w:sz w:val="18"/>
                <w:u w:val="single"/>
              </w:rPr>
              <w:tab/>
            </w:r>
            <w:r>
              <w:rPr>
                <w:rFonts w:ascii="Times New Roman" w:eastAsia="Times New Roman"/>
                <w:sz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5594" w:type="dxa"/>
            <w:gridSpan w:val="17"/>
          </w:tcPr>
          <w:p>
            <w:pPr>
              <w:pStyle w:val="19"/>
              <w:tabs>
                <w:tab w:val="left" w:pos="4331"/>
              </w:tabs>
              <w:spacing w:before="55"/>
              <w:ind w:left="1120"/>
              <w:jc w:val="left"/>
              <w:rPr>
                <w:rFonts w:ascii="Times New Roman" w:eastAsia="Times New Roman"/>
                <w:sz w:val="18"/>
              </w:rPr>
            </w:pPr>
            <w:r>
              <w:rPr>
                <w:sz w:val="18"/>
              </w:rPr>
              <w:t>大气毒性终点浓度</w:t>
            </w:r>
            <w:r>
              <w:rPr>
                <w:rFonts w:ascii="Times New Roman" w:eastAsia="Times New Roman"/>
                <w:sz w:val="18"/>
              </w:rPr>
              <w:t>-2</w:t>
            </w:r>
            <w:r>
              <w:rPr>
                <w:sz w:val="18"/>
              </w:rPr>
              <w:t>最大影响范围</w:t>
            </w:r>
            <w:r>
              <w:rPr>
                <w:sz w:val="18"/>
                <w:u w:val="single"/>
              </w:rPr>
              <w:tab/>
            </w:r>
            <w:r>
              <w:rPr>
                <w:rFonts w:ascii="Times New Roman" w:eastAsia="Times New Roman"/>
                <w:sz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tcPr>
          <w:p>
            <w:pPr>
              <w:pStyle w:val="19"/>
              <w:spacing w:before="55"/>
              <w:ind w:left="88" w:right="81"/>
              <w:rPr>
                <w:sz w:val="18"/>
              </w:rPr>
            </w:pPr>
            <w:r>
              <w:rPr>
                <w:sz w:val="18"/>
              </w:rPr>
              <w:t>地表水</w:t>
            </w:r>
          </w:p>
        </w:tc>
        <w:tc>
          <w:tcPr>
            <w:tcW w:w="6962" w:type="dxa"/>
            <w:gridSpan w:val="18"/>
          </w:tcPr>
          <w:p>
            <w:pPr>
              <w:pStyle w:val="19"/>
              <w:tabs>
                <w:tab w:val="left" w:pos="3705"/>
                <w:tab w:val="left" w:pos="5145"/>
              </w:tabs>
              <w:spacing w:before="55"/>
              <w:ind w:left="1725"/>
              <w:jc w:val="left"/>
              <w:rPr>
                <w:rFonts w:ascii="Times New Roman" w:eastAsia="Times New Roman"/>
                <w:sz w:val="18"/>
              </w:rPr>
            </w:pPr>
            <w:r>
              <w:rPr>
                <w:sz w:val="18"/>
              </w:rPr>
              <w:t>最近环境敏感目标</w:t>
            </w:r>
            <w:r>
              <w:rPr>
                <w:sz w:val="18"/>
                <w:u w:val="single"/>
              </w:rPr>
              <w:tab/>
            </w:r>
            <w:r>
              <w:rPr>
                <w:sz w:val="18"/>
              </w:rPr>
              <w:t>，到达时间</w:t>
            </w:r>
            <w:r>
              <w:rPr>
                <w:sz w:val="18"/>
                <w:u w:val="single"/>
              </w:rPr>
              <w:tab/>
            </w:r>
            <w:r>
              <w:rPr>
                <w:rFonts w:ascii="Times New Roman" w:eastAsia="Times New Roman"/>
                <w:sz w:val="18"/>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restart"/>
          </w:tcPr>
          <w:p>
            <w:pPr>
              <w:pStyle w:val="19"/>
              <w:jc w:val="left"/>
              <w:rPr>
                <w:b/>
                <w:sz w:val="18"/>
              </w:rPr>
            </w:pPr>
          </w:p>
          <w:p>
            <w:pPr>
              <w:pStyle w:val="19"/>
              <w:ind w:left="199"/>
              <w:jc w:val="left"/>
              <w:rPr>
                <w:sz w:val="18"/>
              </w:rPr>
            </w:pPr>
            <w:r>
              <w:rPr>
                <w:sz w:val="18"/>
              </w:rPr>
              <w:t>地下水</w:t>
            </w:r>
          </w:p>
        </w:tc>
        <w:tc>
          <w:tcPr>
            <w:tcW w:w="6962" w:type="dxa"/>
            <w:gridSpan w:val="18"/>
          </w:tcPr>
          <w:p>
            <w:pPr>
              <w:pStyle w:val="19"/>
              <w:tabs>
                <w:tab w:val="left" w:pos="2348"/>
              </w:tabs>
              <w:spacing w:before="56"/>
              <w:ind w:left="8"/>
              <w:rPr>
                <w:rFonts w:ascii="Times New Roman" w:eastAsia="Times New Roman"/>
                <w:sz w:val="18"/>
              </w:rPr>
            </w:pPr>
            <w:r>
              <w:rPr>
                <w:sz w:val="18"/>
              </w:rPr>
              <w:t>下游厂区边界到达时间</w:t>
            </w:r>
            <w:r>
              <w:rPr>
                <w:sz w:val="18"/>
                <w:u w:val="single"/>
              </w:rPr>
              <w:tab/>
            </w:r>
            <w:r>
              <w:rPr>
                <w:rFonts w:ascii="Times New Roman" w:eastAsia="Times New Roman"/>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8"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6962" w:type="dxa"/>
            <w:gridSpan w:val="18"/>
          </w:tcPr>
          <w:p>
            <w:pPr>
              <w:pStyle w:val="19"/>
              <w:tabs>
                <w:tab w:val="left" w:pos="3705"/>
                <w:tab w:val="left" w:pos="5145"/>
              </w:tabs>
              <w:spacing w:before="54"/>
              <w:ind w:left="1725"/>
              <w:jc w:val="left"/>
              <w:rPr>
                <w:rFonts w:ascii="Times New Roman" w:eastAsia="Times New Roman"/>
                <w:sz w:val="18"/>
              </w:rPr>
            </w:pPr>
            <w:r>
              <w:rPr>
                <w:sz w:val="18"/>
              </w:rPr>
              <w:t>最近环境敏感目标</w:t>
            </w:r>
            <w:r>
              <w:rPr>
                <w:sz w:val="18"/>
                <w:u w:val="single"/>
              </w:rPr>
              <w:tab/>
            </w:r>
            <w:r>
              <w:rPr>
                <w:sz w:val="18"/>
              </w:rPr>
              <w:t>，到达时间</w:t>
            </w:r>
            <w:r>
              <w:rPr>
                <w:sz w:val="18"/>
                <w:u w:val="single"/>
              </w:rPr>
              <w:tab/>
            </w:r>
            <w:r>
              <w:rPr>
                <w:rFonts w:ascii="Times New Roman" w:eastAsia="Times New Roman"/>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559" w:type="dxa"/>
            <w:gridSpan w:val="2"/>
          </w:tcPr>
          <w:p>
            <w:pPr>
              <w:pStyle w:val="19"/>
              <w:jc w:val="left"/>
              <w:rPr>
                <w:b/>
                <w:sz w:val="18"/>
              </w:rPr>
            </w:pPr>
          </w:p>
          <w:p>
            <w:pPr>
              <w:pStyle w:val="19"/>
              <w:jc w:val="left"/>
              <w:rPr>
                <w:b/>
                <w:sz w:val="18"/>
              </w:rPr>
            </w:pPr>
          </w:p>
          <w:p>
            <w:pPr>
              <w:pStyle w:val="19"/>
              <w:spacing w:before="10"/>
              <w:jc w:val="left"/>
              <w:rPr>
                <w:b/>
                <w:sz w:val="15"/>
              </w:rPr>
            </w:pPr>
          </w:p>
          <w:p>
            <w:pPr>
              <w:pStyle w:val="19"/>
              <w:spacing w:line="324" w:lineRule="auto"/>
              <w:ind w:left="106" w:right="96"/>
              <w:jc w:val="left"/>
              <w:rPr>
                <w:sz w:val="18"/>
              </w:rPr>
            </w:pPr>
            <w:r>
              <w:rPr>
                <w:sz w:val="18"/>
              </w:rPr>
              <w:t>重点风险防范措施</w:t>
            </w:r>
          </w:p>
        </w:tc>
        <w:tc>
          <w:tcPr>
            <w:tcW w:w="6962" w:type="dxa"/>
            <w:gridSpan w:val="18"/>
          </w:tcPr>
          <w:p>
            <w:pPr>
              <w:pStyle w:val="19"/>
              <w:spacing w:before="40" w:line="324" w:lineRule="auto"/>
              <w:ind w:left="107" w:right="95"/>
              <w:jc w:val="left"/>
              <w:rPr>
                <w:sz w:val="18"/>
              </w:rPr>
            </w:pPr>
            <w:r>
              <w:rPr>
                <w:sz w:val="18"/>
              </w:rPr>
              <w:t>疫病风险防范措施：建立的兽医综合防疫体系，环绕防疫体系，消毒防疫制度，并在育雏区和成羊区的各羊舍进出口分设净道、污道，平行布置，互不干扰，以利防疫。污染物泄漏风险防范措施：加强废水处理设施的维护和管理；加强施工质量，羊舍、堆肥厂、病死尸体无害化处理车间等采取相应防渗措施，在做好基层防渗的基础上进行水泥硬化；场区边界建设雨水截流沟、排水沟，及时拦截和导排雨水，减少废水产</w:t>
            </w:r>
          </w:p>
          <w:p>
            <w:pPr>
              <w:pStyle w:val="19"/>
              <w:spacing w:before="3"/>
              <w:ind w:left="107"/>
              <w:jc w:val="left"/>
              <w:rPr>
                <w:sz w:val="18"/>
              </w:rPr>
            </w:pPr>
            <w:r>
              <w:rPr>
                <w:sz w:val="18"/>
              </w:rPr>
              <w:t>生量，降低事故风险。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59" w:type="dxa"/>
            <w:gridSpan w:val="2"/>
          </w:tcPr>
          <w:p>
            <w:pPr>
              <w:pStyle w:val="19"/>
              <w:spacing w:before="5"/>
              <w:jc w:val="left"/>
              <w:rPr>
                <w:b/>
                <w:sz w:val="15"/>
              </w:rPr>
            </w:pPr>
          </w:p>
          <w:p>
            <w:pPr>
              <w:pStyle w:val="19"/>
              <w:spacing w:before="1"/>
              <w:ind w:left="147"/>
              <w:jc w:val="left"/>
              <w:rPr>
                <w:sz w:val="18"/>
              </w:rPr>
            </w:pPr>
            <w:r>
              <w:rPr>
                <w:sz w:val="18"/>
              </w:rPr>
              <w:t>评价结论与建议</w:t>
            </w:r>
          </w:p>
        </w:tc>
        <w:tc>
          <w:tcPr>
            <w:tcW w:w="6962" w:type="dxa"/>
            <w:gridSpan w:val="18"/>
          </w:tcPr>
          <w:p>
            <w:pPr>
              <w:pStyle w:val="19"/>
              <w:spacing w:before="42"/>
              <w:ind w:left="107"/>
              <w:jc w:val="left"/>
              <w:rPr>
                <w:sz w:val="18"/>
              </w:rPr>
            </w:pPr>
            <w:r>
              <w:rPr>
                <w:sz w:val="18"/>
              </w:rPr>
              <w:t>在采取了相应的环境风险防控措施，制定完善的突发环境事件应急预案并严格执行、</w:t>
            </w:r>
          </w:p>
          <w:p>
            <w:pPr>
              <w:pStyle w:val="19"/>
              <w:spacing w:before="81"/>
              <w:ind w:left="107"/>
              <w:jc w:val="left"/>
              <w:rPr>
                <w:sz w:val="18"/>
              </w:rPr>
            </w:pPr>
            <w:r>
              <w:rPr>
                <w:sz w:val="18"/>
              </w:rPr>
              <w:t>定期更新的前提下，项目环境风险在可接受的程度。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21" w:type="dxa"/>
            <w:gridSpan w:val="20"/>
          </w:tcPr>
          <w:p>
            <w:pPr>
              <w:pStyle w:val="19"/>
              <w:spacing w:before="56"/>
              <w:ind w:left="106"/>
              <w:jc w:val="left"/>
              <w:rPr>
                <w:sz w:val="18"/>
              </w:rPr>
            </w:pPr>
            <w:r>
              <w:rPr>
                <w:sz w:val="18"/>
              </w:rPr>
              <w:t>注：“</w:t>
            </w:r>
            <w:r>
              <w:rPr>
                <w:rFonts w:ascii="Times New Roman" w:hAnsi="Times New Roman" w:eastAsia="Times New Roman"/>
                <w:sz w:val="18"/>
              </w:rPr>
              <w:t>□</w:t>
            </w:r>
            <w:r>
              <w:rPr>
                <w:sz w:val="18"/>
              </w:rPr>
              <w:t>”为勾选项，“”为填写项。</w:t>
            </w:r>
          </w:p>
        </w:tc>
      </w:tr>
    </w:tbl>
    <w:p>
      <w:pPr>
        <w:spacing w:after="0"/>
        <w:jc w:val="left"/>
        <w:rPr>
          <w:sz w:val="18"/>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outlineLvl w:val="0"/>
      </w:pPr>
      <w:bookmarkStart w:id="344" w:name="第六章  环境保护措施及其可行性论证"/>
      <w:bookmarkEnd w:id="344"/>
      <w:bookmarkStart w:id="345" w:name="_Toc335"/>
      <w:r>
        <w:t>第六章</w:t>
      </w:r>
      <w:r>
        <w:tab/>
      </w:r>
      <w:r>
        <w:t>环境保护措施及其可行性论证</w:t>
      </w:r>
      <w:bookmarkEnd w:id="345"/>
    </w:p>
    <w:p>
      <w:pPr>
        <w:pStyle w:val="4"/>
        <w:numPr>
          <w:ilvl w:val="1"/>
          <w:numId w:val="62"/>
        </w:numPr>
        <w:tabs>
          <w:tab w:val="left" w:pos="1100"/>
        </w:tabs>
        <w:spacing w:before="315" w:after="0" w:line="240" w:lineRule="auto"/>
        <w:ind w:left="1099" w:right="0" w:hanging="560"/>
        <w:jc w:val="left"/>
        <w:outlineLvl w:val="1"/>
      </w:pPr>
      <w:bookmarkStart w:id="346" w:name="_bookmark28"/>
      <w:bookmarkEnd w:id="346"/>
      <w:bookmarkStart w:id="347" w:name="6.1 施工期环境保护措施分析"/>
      <w:bookmarkEnd w:id="347"/>
      <w:bookmarkStart w:id="348" w:name="_Toc24434"/>
      <w:r>
        <w:t>施工期环境保护措施分析</w:t>
      </w:r>
      <w:bookmarkEnd w:id="348"/>
    </w:p>
    <w:p>
      <w:pPr>
        <w:pStyle w:val="7"/>
        <w:spacing w:before="3"/>
        <w:ind w:left="0"/>
        <w:rPr>
          <w:b/>
        </w:rPr>
      </w:pPr>
    </w:p>
    <w:p>
      <w:pPr>
        <w:pStyle w:val="7"/>
        <w:spacing w:before="1" w:line="364" w:lineRule="auto"/>
        <w:ind w:right="575" w:firstLine="480"/>
        <w:jc w:val="both"/>
        <w:rPr>
          <w:color w:val="0000FF"/>
        </w:rPr>
      </w:pPr>
      <w:r>
        <w:rPr>
          <w:color w:val="0000FF"/>
          <w:spacing w:val="-6"/>
        </w:rPr>
        <w:t>本项目现已开工建设。项目总占地面积为</w:t>
      </w:r>
      <w:r>
        <w:rPr>
          <w:rFonts w:hint="eastAsia"/>
          <w:color w:val="0000FF"/>
          <w:spacing w:val="-6"/>
          <w:lang w:val="en-US" w:eastAsia="zh-CN"/>
        </w:rPr>
        <w:t>2.073</w:t>
      </w:r>
      <w:r>
        <w:rPr>
          <w:rFonts w:ascii="Times New Roman" w:eastAsia="Times New Roman"/>
          <w:color w:val="0000FF"/>
        </w:rPr>
        <w:t>hm</w:t>
      </w:r>
      <w:r>
        <w:rPr>
          <w:rFonts w:ascii="Times New Roman" w:eastAsia="Times New Roman"/>
          <w:color w:val="0000FF"/>
          <w:position w:val="8"/>
          <w:sz w:val="15"/>
        </w:rPr>
        <w:t>2</w:t>
      </w:r>
      <w:r>
        <w:rPr>
          <w:color w:val="0000FF"/>
        </w:rPr>
        <w:t>（</w:t>
      </w:r>
      <w:r>
        <w:rPr>
          <w:rFonts w:hint="eastAsia" w:ascii="Times New Roman"/>
          <w:color w:val="0000FF"/>
          <w:lang w:val="en-US" w:eastAsia="zh-CN"/>
        </w:rPr>
        <w:t>31.095</w:t>
      </w:r>
      <w:r>
        <w:rPr>
          <w:color w:val="0000FF"/>
        </w:rPr>
        <w:t>亩</w:t>
      </w:r>
      <w:r>
        <w:rPr>
          <w:color w:val="0000FF"/>
          <w:spacing w:val="-15"/>
        </w:rPr>
        <w:t>），</w:t>
      </w:r>
      <w:r>
        <w:rPr>
          <w:color w:val="0000FF"/>
          <w:spacing w:val="-3"/>
        </w:rPr>
        <w:t>施工内容主</w:t>
      </w:r>
      <w:r>
        <w:rPr>
          <w:color w:val="0000FF"/>
          <w:spacing w:val="-9"/>
        </w:rPr>
        <w:t>要包括场地平整、开挖土石方、打桩、构筑基础施工、钢筋、砖混结构施工、管</w:t>
      </w:r>
      <w:r>
        <w:rPr>
          <w:color w:val="0000FF"/>
          <w:spacing w:val="-8"/>
        </w:rPr>
        <w:t>线施工及装修施工、场地清理等，施工期对环境的影响主要是扬尘、废水、施工</w:t>
      </w:r>
      <w:r>
        <w:rPr>
          <w:color w:val="0000FF"/>
          <w:spacing w:val="-11"/>
        </w:rPr>
        <w:t>噪声、建筑垃圾及生态影响等。本次评价针对以上影响提出相应污染防治措施进</w:t>
      </w:r>
      <w:r>
        <w:rPr>
          <w:color w:val="0000FF"/>
        </w:rPr>
        <w:t>行论证。</w:t>
      </w:r>
    </w:p>
    <w:p>
      <w:pPr>
        <w:pStyle w:val="5"/>
        <w:numPr>
          <w:ilvl w:val="2"/>
          <w:numId w:val="62"/>
        </w:numPr>
        <w:tabs>
          <w:tab w:val="left" w:pos="1241"/>
        </w:tabs>
        <w:spacing w:before="119" w:after="0" w:line="240" w:lineRule="auto"/>
        <w:ind w:left="1240" w:right="0" w:hanging="701"/>
        <w:jc w:val="left"/>
        <w:outlineLvl w:val="2"/>
      </w:pPr>
      <w:bookmarkStart w:id="349" w:name="6.1.1 环境空气污染防治措施分析"/>
      <w:bookmarkEnd w:id="349"/>
      <w:bookmarkStart w:id="350" w:name="6.1.1 环境空气污染防治措施分析"/>
      <w:bookmarkEnd w:id="350"/>
      <w:bookmarkStart w:id="351" w:name="_Toc26711"/>
      <w:r>
        <w:t>环境空气污染防治措施分析</w:t>
      </w:r>
      <w:bookmarkEnd w:id="351"/>
    </w:p>
    <w:p>
      <w:pPr>
        <w:pStyle w:val="7"/>
        <w:spacing w:before="4"/>
        <w:ind w:left="0"/>
        <w:rPr>
          <w:b/>
          <w:sz w:val="21"/>
        </w:rPr>
      </w:pPr>
    </w:p>
    <w:p>
      <w:pPr>
        <w:pStyle w:val="7"/>
        <w:spacing w:before="1" w:line="364" w:lineRule="auto"/>
        <w:ind w:right="577" w:firstLine="480"/>
        <w:jc w:val="both"/>
        <w:rPr>
          <w:color w:val="0000FF"/>
        </w:rPr>
      </w:pPr>
      <w:r>
        <w:rPr>
          <w:color w:val="0000FF"/>
          <w:spacing w:val="-5"/>
        </w:rPr>
        <w:t>由本项目工程分析章节和环境影响预测评价章节可知，施工时静态扬尘主要</w:t>
      </w:r>
      <w:r>
        <w:rPr>
          <w:color w:val="0000FF"/>
          <w:spacing w:val="-6"/>
        </w:rPr>
        <w:t>影响范围在扬尘点下风向近距离范围内，新疆地区土壤含水率较低，空气湿度较</w:t>
      </w:r>
      <w:r>
        <w:rPr>
          <w:color w:val="0000FF"/>
          <w:spacing w:val="-11"/>
        </w:rPr>
        <w:t>小，日照强烈，在施工过程因土壤被扰动而较易产生扬尘，本项目周边距离项目</w:t>
      </w:r>
      <w:r>
        <w:rPr>
          <w:color w:val="0000FF"/>
          <w:spacing w:val="-4"/>
        </w:rPr>
        <w:t>施工区最近的环境敏感点是其西侧约</w:t>
      </w:r>
      <w:r>
        <w:rPr>
          <w:rFonts w:hint="eastAsia" w:ascii="Times New Roman" w:eastAsia="宋体"/>
          <w:color w:val="0000FF"/>
          <w:lang w:val="en-US" w:eastAsia="zh-CN"/>
        </w:rPr>
        <w:t>1.6</w:t>
      </w:r>
      <w:r>
        <w:rPr>
          <w:rFonts w:ascii="Times New Roman" w:eastAsia="Times New Roman"/>
          <w:color w:val="0000FF"/>
        </w:rPr>
        <w:t>km</w:t>
      </w:r>
      <w:r>
        <w:rPr>
          <w:color w:val="0000FF"/>
          <w:spacing w:val="-12"/>
        </w:rPr>
        <w:t>处的村庄，位于项目区所在区域主导</w:t>
      </w:r>
      <w:r>
        <w:rPr>
          <w:color w:val="0000FF"/>
          <w:spacing w:val="-9"/>
        </w:rPr>
        <w:t>风向西风的上风向，施工扬尘对其影响较小，扬尘主要导致项目区及附近大气中</w:t>
      </w:r>
      <w:r>
        <w:rPr>
          <w:rFonts w:ascii="Times New Roman" w:eastAsia="Times New Roman"/>
          <w:color w:val="0000FF"/>
        </w:rPr>
        <w:t>TSP</w:t>
      </w:r>
      <w:r>
        <w:rPr>
          <w:color w:val="0000FF"/>
          <w:spacing w:val="-10"/>
        </w:rPr>
        <w:t>浓度暂时升高；车辆动态扬尘主要影响区域在施工区以及运输途径路面；施</w:t>
      </w:r>
      <w:r>
        <w:rPr>
          <w:color w:val="0000FF"/>
          <w:spacing w:val="-5"/>
        </w:rPr>
        <w:t>工期施工机械以及运输车辆排放的尾气由于尾气呈面源污染形式、车辆排气高度</w:t>
      </w:r>
      <w:r>
        <w:rPr>
          <w:color w:val="0000FF"/>
          <w:spacing w:val="-12"/>
        </w:rPr>
        <w:t>较低、尾气扩散范围不大、项目区较为平坦开阔，尾气扩散条件良好等施工和环</w:t>
      </w:r>
      <w:r>
        <w:rPr>
          <w:color w:val="0000FF"/>
        </w:rPr>
        <w:t>境特点，污染物排放时间及排放量也相对较小。</w:t>
      </w:r>
    </w:p>
    <w:p>
      <w:pPr>
        <w:pStyle w:val="7"/>
        <w:spacing w:before="5" w:line="364" w:lineRule="auto"/>
        <w:ind w:left="1020" w:right="1685"/>
      </w:pPr>
      <w:r>
        <w:t>针对上述施工特点和环境特点，本次环评提出防尘主要措施为：针对施工扬尘：</w:t>
      </w:r>
    </w:p>
    <w:p>
      <w:pPr>
        <w:pStyle w:val="18"/>
        <w:numPr>
          <w:ilvl w:val="3"/>
          <w:numId w:val="62"/>
        </w:numPr>
        <w:tabs>
          <w:tab w:val="left" w:pos="1621"/>
        </w:tabs>
        <w:spacing w:before="1" w:after="0" w:line="240" w:lineRule="auto"/>
        <w:ind w:left="1621" w:right="0" w:hanging="601"/>
        <w:jc w:val="left"/>
        <w:rPr>
          <w:sz w:val="24"/>
        </w:rPr>
      </w:pPr>
      <w:r>
        <w:rPr>
          <w:sz w:val="24"/>
        </w:rPr>
        <w:t>采取洒水降尘或湿法作业；</w:t>
      </w:r>
    </w:p>
    <w:p>
      <w:pPr>
        <w:pStyle w:val="18"/>
        <w:numPr>
          <w:ilvl w:val="3"/>
          <w:numId w:val="62"/>
        </w:numPr>
        <w:tabs>
          <w:tab w:val="left" w:pos="1621"/>
        </w:tabs>
        <w:spacing w:before="161" w:after="0" w:line="364" w:lineRule="auto"/>
        <w:ind w:left="540" w:right="476" w:firstLine="480"/>
        <w:jc w:val="left"/>
        <w:rPr>
          <w:sz w:val="24"/>
        </w:rPr>
      </w:pPr>
      <w:r>
        <w:rPr>
          <w:spacing w:val="-9"/>
          <w:sz w:val="24"/>
        </w:rPr>
        <w:t>施工区域设置</w:t>
      </w:r>
      <w:r>
        <w:rPr>
          <w:rFonts w:ascii="Times New Roman" w:eastAsia="Times New Roman"/>
          <w:sz w:val="24"/>
        </w:rPr>
        <w:t>1.8m</w:t>
      </w:r>
      <w:r>
        <w:rPr>
          <w:spacing w:val="-1"/>
          <w:sz w:val="24"/>
        </w:rPr>
        <w:t>高的围墙，建筑材料于施工区内就近装缷、堆放，</w:t>
      </w:r>
      <w:r>
        <w:rPr>
          <w:sz w:val="24"/>
        </w:rPr>
        <w:t>并采用逢布遮盖；</w:t>
      </w:r>
    </w:p>
    <w:p>
      <w:pPr>
        <w:pStyle w:val="18"/>
        <w:numPr>
          <w:ilvl w:val="3"/>
          <w:numId w:val="62"/>
        </w:numPr>
        <w:tabs>
          <w:tab w:val="left" w:pos="1621"/>
        </w:tabs>
        <w:spacing w:before="1" w:after="0" w:line="364" w:lineRule="auto"/>
        <w:ind w:left="540" w:right="577" w:firstLine="480"/>
        <w:jc w:val="left"/>
        <w:rPr>
          <w:sz w:val="24"/>
        </w:rPr>
      </w:pPr>
      <w:r>
        <w:rPr>
          <w:spacing w:val="-1"/>
          <w:sz w:val="24"/>
        </w:rPr>
        <w:t>运输沙、石、砖块、垃圾的车辆装载高度应低于车箱上沿，不得超高</w:t>
      </w:r>
      <w:r>
        <w:rPr>
          <w:sz w:val="24"/>
        </w:rPr>
        <w:t>超载；实行封闭运输，以免车辆颠簸撒漏，运输车辆缷完货后应清洗车厢；</w:t>
      </w:r>
    </w:p>
    <w:p>
      <w:pPr>
        <w:pStyle w:val="18"/>
        <w:numPr>
          <w:ilvl w:val="3"/>
          <w:numId w:val="62"/>
        </w:numPr>
        <w:tabs>
          <w:tab w:val="left" w:pos="1621"/>
        </w:tabs>
        <w:spacing w:before="1" w:after="0" w:line="364" w:lineRule="auto"/>
        <w:ind w:left="540" w:right="577" w:firstLine="480"/>
        <w:jc w:val="left"/>
        <w:rPr>
          <w:sz w:val="24"/>
        </w:rPr>
      </w:pPr>
      <w:r>
        <w:rPr>
          <w:spacing w:val="-1"/>
          <w:sz w:val="24"/>
        </w:rPr>
        <w:t>施工车辆在驶出施工区之前，清泥清楚处理，不得将泥土尘土带出工</w:t>
      </w:r>
      <w:r>
        <w:rPr>
          <w:sz w:val="24"/>
        </w:rPr>
        <w:t>地等措施；</w:t>
      </w:r>
    </w:p>
    <w:p>
      <w:pPr>
        <w:pStyle w:val="18"/>
        <w:numPr>
          <w:ilvl w:val="3"/>
          <w:numId w:val="62"/>
        </w:numPr>
        <w:tabs>
          <w:tab w:val="left" w:pos="1621"/>
        </w:tabs>
        <w:spacing w:before="1" w:after="0" w:line="364" w:lineRule="auto"/>
        <w:ind w:left="540" w:right="577" w:firstLine="480"/>
        <w:jc w:val="left"/>
        <w:rPr>
          <w:sz w:val="24"/>
        </w:rPr>
      </w:pPr>
      <w:r>
        <w:rPr>
          <w:spacing w:val="-1"/>
          <w:sz w:val="24"/>
        </w:rPr>
        <w:t>加强对施工人员的环保教育，提高全体施工人员的环保意识，坚持文</w:t>
      </w:r>
      <w:r>
        <w:rPr>
          <w:sz w:val="24"/>
        </w:rPr>
        <w:t>明施工、科学施工。</w:t>
      </w:r>
    </w:p>
    <w:p>
      <w:pPr>
        <w:spacing w:after="0" w:line="364"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firstLine="480"/>
      </w:pPr>
      <w:r>
        <w:rPr>
          <w:spacing w:val="-10"/>
        </w:rPr>
        <w:t>针对运输扬尘：采取在项目区车辆途径路面采取洒水降尘防尘措施，减小运</w:t>
      </w:r>
      <w:r>
        <w:t>输扬尘对项目区及周边环境影响。</w:t>
      </w:r>
    </w:p>
    <w:p>
      <w:pPr>
        <w:pStyle w:val="5"/>
        <w:numPr>
          <w:ilvl w:val="2"/>
          <w:numId w:val="62"/>
        </w:numPr>
        <w:tabs>
          <w:tab w:val="left" w:pos="1241"/>
        </w:tabs>
        <w:spacing w:before="115" w:after="0" w:line="240" w:lineRule="auto"/>
        <w:ind w:left="1240" w:right="0" w:hanging="701"/>
        <w:jc w:val="left"/>
        <w:outlineLvl w:val="2"/>
      </w:pPr>
      <w:bookmarkStart w:id="352" w:name="6.1.2 水污染防治措施分析"/>
      <w:bookmarkEnd w:id="352"/>
      <w:bookmarkStart w:id="353" w:name="6.1.2 水污染防治措施分析"/>
      <w:bookmarkEnd w:id="353"/>
      <w:bookmarkStart w:id="354" w:name="_Toc1772"/>
      <w:r>
        <w:t>水污染防治措施分析</w:t>
      </w:r>
      <w:bookmarkEnd w:id="354"/>
    </w:p>
    <w:p>
      <w:pPr>
        <w:pStyle w:val="7"/>
        <w:spacing w:before="7"/>
        <w:ind w:left="0"/>
        <w:rPr>
          <w:b/>
          <w:sz w:val="21"/>
        </w:rPr>
      </w:pPr>
    </w:p>
    <w:p>
      <w:pPr>
        <w:pStyle w:val="7"/>
        <w:spacing w:line="364" w:lineRule="auto"/>
        <w:ind w:right="455" w:firstLine="480"/>
      </w:pPr>
      <w:r>
        <w:rPr>
          <w:spacing w:val="-13"/>
        </w:rPr>
        <w:t>施工废水主要主要是指在制砂浆、混凝土养护等作业中，多余或泄漏的废水，</w:t>
      </w:r>
      <w:r>
        <w:rPr>
          <w:spacing w:val="-9"/>
        </w:rPr>
        <w:t>以及清洗模板、机具、车辆设备、场地卫生等排放的污水。主要污染因子为</w:t>
      </w:r>
      <w:r>
        <w:rPr>
          <w:rFonts w:ascii="Times New Roman" w:eastAsia="Times New Roman"/>
          <w:spacing w:val="-6"/>
        </w:rPr>
        <w:t>SS</w:t>
      </w:r>
      <w:r>
        <w:rPr>
          <w:spacing w:val="-6"/>
        </w:rPr>
        <w:t>，</w:t>
      </w:r>
      <w:r>
        <w:t>含一定量的泥沙、少量水泥和油污，一般产生不了径流，形成不了有组织排水，</w:t>
      </w:r>
      <w:r>
        <w:rPr>
          <w:spacing w:val="-5"/>
        </w:rPr>
        <w:t>这部分废水在施工现场因自然蒸发、渗漏等原因而消耗，但若不经处理或处理不</w:t>
      </w:r>
      <w:r>
        <w:rPr>
          <w:spacing w:val="-12"/>
        </w:rPr>
        <w:t>当直接外排，同样危害环境。因此要求建设项目的工地应设置简易沉淀池沉淀后</w:t>
      </w:r>
      <w:r>
        <w:rPr>
          <w:spacing w:val="-14"/>
        </w:rPr>
        <w:t>回用于生产，施工期结束后将临时废水处理设施拆除并进行相应的土地恢复和平整。</w:t>
      </w:r>
    </w:p>
    <w:p>
      <w:pPr>
        <w:pStyle w:val="7"/>
        <w:spacing w:before="4" w:line="364" w:lineRule="auto"/>
        <w:ind w:right="577" w:firstLine="480"/>
        <w:jc w:val="both"/>
      </w:pPr>
      <w:r>
        <w:rPr>
          <w:spacing w:val="-7"/>
        </w:rPr>
        <w:t>本项目施工人员为当地居民，施工场地内不设置施工营地，无施工人员生活</w:t>
      </w:r>
      <w:r>
        <w:rPr>
          <w:spacing w:val="-10"/>
        </w:rPr>
        <w:t>污水产生，施工场地设置可设置临时移动式环保公厕容纳施工人员粪污，不会对</w:t>
      </w:r>
      <w:r>
        <w:t>环境造成明显影响。</w:t>
      </w:r>
    </w:p>
    <w:p>
      <w:pPr>
        <w:pStyle w:val="7"/>
        <w:spacing w:before="2" w:line="364" w:lineRule="auto"/>
        <w:ind w:right="485" w:firstLine="480"/>
      </w:pPr>
      <w:r>
        <w:t>施工区生活废水采取措施为：建设临时防渗旱厕，粪便排入防渗旱厕沤肥，定期清掏拉运制周边农田施肥，施工期结束后旱厕拆除平整并恢复地貌。</w:t>
      </w:r>
    </w:p>
    <w:p>
      <w:pPr>
        <w:pStyle w:val="7"/>
        <w:spacing w:before="1" w:line="364" w:lineRule="auto"/>
        <w:ind w:right="577" w:firstLine="480"/>
      </w:pPr>
      <w:r>
        <w:rPr>
          <w:spacing w:val="-9"/>
        </w:rPr>
        <w:t>采取上述措施后，可有效地做好施工废水的防治，不会导致因施工废水排放</w:t>
      </w:r>
      <w:r>
        <w:t>引起的周围水环境的污染。</w:t>
      </w:r>
    </w:p>
    <w:p>
      <w:pPr>
        <w:pStyle w:val="5"/>
        <w:numPr>
          <w:ilvl w:val="2"/>
          <w:numId w:val="62"/>
        </w:numPr>
        <w:tabs>
          <w:tab w:val="left" w:pos="1241"/>
        </w:tabs>
        <w:spacing w:before="115" w:after="0" w:line="240" w:lineRule="auto"/>
        <w:ind w:left="1240" w:right="0" w:hanging="701"/>
        <w:jc w:val="left"/>
        <w:outlineLvl w:val="2"/>
      </w:pPr>
      <w:bookmarkStart w:id="355" w:name="6.1.3 噪声污染防治措施分析"/>
      <w:bookmarkEnd w:id="355"/>
      <w:bookmarkStart w:id="356" w:name="6.1.3 噪声污染防治措施分析"/>
      <w:bookmarkEnd w:id="356"/>
      <w:bookmarkStart w:id="357" w:name="_Toc21970"/>
      <w:r>
        <w:t>噪声污染防治措施分析</w:t>
      </w:r>
      <w:bookmarkEnd w:id="357"/>
    </w:p>
    <w:p>
      <w:pPr>
        <w:pStyle w:val="7"/>
        <w:spacing w:before="7"/>
        <w:ind w:left="0"/>
        <w:rPr>
          <w:b/>
          <w:sz w:val="21"/>
        </w:rPr>
      </w:pPr>
    </w:p>
    <w:p>
      <w:pPr>
        <w:pStyle w:val="7"/>
        <w:spacing w:line="364" w:lineRule="auto"/>
        <w:ind w:right="577" w:firstLine="480"/>
        <w:jc w:val="both"/>
        <w:rPr>
          <w:color w:val="0000FF"/>
        </w:rPr>
      </w:pPr>
      <w:r>
        <w:rPr>
          <w:color w:val="0000FF"/>
        </w:rPr>
        <w:t>按照《建筑施工场界环境噪声排放标准》（</w:t>
      </w:r>
      <w:r>
        <w:rPr>
          <w:rFonts w:ascii="Times New Roman" w:eastAsia="Times New Roman"/>
          <w:color w:val="0000FF"/>
        </w:rPr>
        <w:t>GB12523-2011</w:t>
      </w:r>
      <w:r>
        <w:rPr>
          <w:color w:val="0000FF"/>
        </w:rPr>
        <w:t>）的规定，昼间</w:t>
      </w:r>
      <w:r>
        <w:rPr>
          <w:color w:val="0000FF"/>
          <w:spacing w:val="-7"/>
        </w:rPr>
        <w:t>的厂界噪声限值为</w:t>
      </w:r>
      <w:r>
        <w:rPr>
          <w:rFonts w:ascii="Times New Roman" w:eastAsia="Times New Roman"/>
          <w:color w:val="0000FF"/>
          <w:spacing w:val="-6"/>
        </w:rPr>
        <w:t>70dB</w:t>
      </w:r>
      <w:r>
        <w:rPr>
          <w:color w:val="0000FF"/>
          <w:spacing w:val="-8"/>
        </w:rPr>
        <w:t>，夜间厂界噪声限值为</w:t>
      </w:r>
      <w:r>
        <w:rPr>
          <w:rFonts w:ascii="Times New Roman" w:eastAsia="Times New Roman"/>
          <w:color w:val="0000FF"/>
        </w:rPr>
        <w:t>55dB</w:t>
      </w:r>
      <w:r>
        <w:rPr>
          <w:color w:val="0000FF"/>
          <w:spacing w:val="-7"/>
        </w:rPr>
        <w:t>。由工程分析及环境影响预</w:t>
      </w:r>
      <w:r>
        <w:rPr>
          <w:color w:val="0000FF"/>
          <w:spacing w:val="-19"/>
        </w:rPr>
        <w:t>测评价章节可知：项目施工机械在靠近厂界边施工时，昼夜施工厂界噪声超过《建</w:t>
      </w:r>
      <w:r>
        <w:rPr>
          <w:color w:val="0000FF"/>
        </w:rPr>
        <w:t>筑施工场界环境噪声排放标准》（</w:t>
      </w:r>
      <w:r>
        <w:rPr>
          <w:rFonts w:ascii="Times New Roman" w:eastAsia="Times New Roman"/>
          <w:color w:val="0000FF"/>
        </w:rPr>
        <w:t>GB12523-2011</w:t>
      </w:r>
      <w:r>
        <w:rPr>
          <w:color w:val="0000FF"/>
        </w:rPr>
        <w:t>）中限值的要求，但本项目评</w:t>
      </w:r>
      <w:r>
        <w:rPr>
          <w:color w:val="0000FF"/>
          <w:spacing w:val="-3"/>
        </w:rPr>
        <w:t>价范围内声环境敏感目标是距离厂界西侧约</w:t>
      </w:r>
      <w:r>
        <w:rPr>
          <w:rFonts w:hint="eastAsia" w:ascii="Times New Roman" w:eastAsia="宋体"/>
          <w:color w:val="0000FF"/>
          <w:lang w:val="en-US" w:eastAsia="zh-CN"/>
        </w:rPr>
        <w:t>1.6</w:t>
      </w:r>
      <w:r>
        <w:rPr>
          <w:rFonts w:ascii="Times New Roman" w:eastAsia="Times New Roman"/>
          <w:color w:val="0000FF"/>
        </w:rPr>
        <w:t>km</w:t>
      </w:r>
      <w:r>
        <w:rPr>
          <w:color w:val="0000FF"/>
          <w:spacing w:val="-12"/>
        </w:rPr>
        <w:t>处的村庄，施工期噪声经衰减</w:t>
      </w:r>
      <w:r>
        <w:rPr>
          <w:color w:val="0000FF"/>
        </w:rPr>
        <w:t>后对其影响甚微。</w:t>
      </w:r>
    </w:p>
    <w:p>
      <w:pPr>
        <w:pStyle w:val="7"/>
        <w:spacing w:before="4"/>
        <w:ind w:left="1020"/>
      </w:pPr>
      <w:r>
        <w:t>根据项目施工期的施工特点，噪声防治措施如下：</w:t>
      </w:r>
    </w:p>
    <w:p>
      <w:pPr>
        <w:pStyle w:val="18"/>
        <w:numPr>
          <w:ilvl w:val="0"/>
          <w:numId w:val="63"/>
        </w:numPr>
        <w:tabs>
          <w:tab w:val="left" w:pos="1621"/>
        </w:tabs>
        <w:spacing w:before="160" w:after="0" w:line="364" w:lineRule="auto"/>
        <w:ind w:left="540" w:right="580" w:firstLine="480"/>
        <w:jc w:val="left"/>
        <w:rPr>
          <w:sz w:val="24"/>
        </w:rPr>
      </w:pPr>
      <w:r>
        <w:rPr>
          <w:spacing w:val="-1"/>
          <w:sz w:val="24"/>
        </w:rPr>
        <w:t>施工单位施工过程中尽量避免在靠近厂界处的同一地点安排大量动力</w:t>
      </w:r>
      <w:r>
        <w:rPr>
          <w:sz w:val="24"/>
        </w:rPr>
        <w:t>机械设备施工，以减缓局部叠加声级过高造成的厂界噪声超标的风险。</w:t>
      </w:r>
    </w:p>
    <w:p>
      <w:pPr>
        <w:pStyle w:val="18"/>
        <w:numPr>
          <w:ilvl w:val="0"/>
          <w:numId w:val="63"/>
        </w:numPr>
        <w:tabs>
          <w:tab w:val="left" w:pos="1621"/>
        </w:tabs>
        <w:spacing w:before="2" w:after="0" w:line="240" w:lineRule="auto"/>
        <w:ind w:left="1621" w:right="0" w:hanging="601"/>
        <w:jc w:val="left"/>
        <w:rPr>
          <w:sz w:val="24"/>
        </w:rPr>
      </w:pPr>
      <w:r>
        <w:rPr>
          <w:sz w:val="24"/>
        </w:rPr>
        <w:t>设备选型上，在不影响施工质量的前提下，在土石方、装修等施工过</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pPr>
      <w:r>
        <w:rPr>
          <w:spacing w:val="-8"/>
        </w:rPr>
        <w:t>程应采用低噪声、低振动的设备，对施工设备进行定期维修保养，避免因设备性</w:t>
      </w:r>
      <w:r>
        <w:t>能减退而使噪声增强的现象发生。</w:t>
      </w:r>
    </w:p>
    <w:p>
      <w:pPr>
        <w:pStyle w:val="7"/>
        <w:spacing w:before="1" w:line="364" w:lineRule="auto"/>
        <w:ind w:right="577" w:firstLine="480"/>
      </w:pPr>
      <w:r>
        <w:rPr>
          <w:spacing w:val="-5"/>
        </w:rPr>
        <w:t>采取上述措施后可进一步降低施工期噪声对周围环境的影响，同时其对环境</w:t>
      </w:r>
      <w:r>
        <w:t>的影响也将随施工期的结束而消失。</w:t>
      </w:r>
    </w:p>
    <w:p>
      <w:pPr>
        <w:pStyle w:val="5"/>
        <w:numPr>
          <w:ilvl w:val="2"/>
          <w:numId w:val="62"/>
        </w:numPr>
        <w:tabs>
          <w:tab w:val="left" w:pos="1241"/>
        </w:tabs>
        <w:spacing w:before="115" w:after="0" w:line="240" w:lineRule="auto"/>
        <w:ind w:left="1240" w:right="0" w:hanging="701"/>
        <w:jc w:val="left"/>
        <w:outlineLvl w:val="2"/>
      </w:pPr>
      <w:bookmarkStart w:id="358" w:name="6.1.4 固体废弃物污染防治措施分析"/>
      <w:bookmarkEnd w:id="358"/>
      <w:bookmarkStart w:id="359" w:name="6.1.4 固体废弃物污染防治措施分析"/>
      <w:bookmarkEnd w:id="359"/>
      <w:bookmarkStart w:id="360" w:name="_Toc9690"/>
      <w:r>
        <w:t>固体废弃物污染防治措施分析</w:t>
      </w:r>
      <w:bookmarkEnd w:id="360"/>
    </w:p>
    <w:p>
      <w:pPr>
        <w:pStyle w:val="7"/>
        <w:spacing w:before="7"/>
        <w:ind w:left="0"/>
        <w:rPr>
          <w:b/>
          <w:sz w:val="21"/>
        </w:rPr>
      </w:pPr>
    </w:p>
    <w:p>
      <w:pPr>
        <w:pStyle w:val="7"/>
        <w:spacing w:line="364" w:lineRule="auto"/>
        <w:ind w:right="577" w:firstLine="480"/>
      </w:pPr>
      <w:r>
        <w:rPr>
          <w:spacing w:val="-5"/>
        </w:rPr>
        <w:t>生活垃圾和建筑垃圾的影响主要体现在其堆放过程中，在风力作用下，引起</w:t>
      </w:r>
      <w:r>
        <w:t>垃圾及粉尘随风飘散，对空气造成污染影响。</w:t>
      </w:r>
    </w:p>
    <w:p>
      <w:pPr>
        <w:pStyle w:val="7"/>
        <w:spacing w:before="1"/>
        <w:ind w:left="1020"/>
      </w:pPr>
      <w:r>
        <w:t>针对项目施工期固体废弃物种类及特点，提出如下防治措施：</w:t>
      </w:r>
    </w:p>
    <w:p>
      <w:pPr>
        <w:pStyle w:val="18"/>
        <w:numPr>
          <w:ilvl w:val="0"/>
          <w:numId w:val="64"/>
        </w:numPr>
        <w:tabs>
          <w:tab w:val="left" w:pos="1621"/>
        </w:tabs>
        <w:spacing w:before="161" w:after="0" w:line="364" w:lineRule="auto"/>
        <w:ind w:left="540" w:right="457" w:firstLine="480"/>
        <w:jc w:val="left"/>
        <w:rPr>
          <w:sz w:val="24"/>
        </w:rPr>
      </w:pPr>
      <w:r>
        <w:rPr>
          <w:sz w:val="24"/>
        </w:rPr>
        <w:t>临时土石方于施工区就近堆放，采取覆盖围护措施，防止大风和大雨</w:t>
      </w:r>
      <w:r>
        <w:rPr>
          <w:spacing w:val="-15"/>
          <w:sz w:val="24"/>
        </w:rPr>
        <w:t>时造成的水土流失。堆放前设置挡土墙，堆放后表土覆盖防尘布，抑制扬尘产生。</w:t>
      </w:r>
    </w:p>
    <w:p>
      <w:pPr>
        <w:pStyle w:val="18"/>
        <w:numPr>
          <w:ilvl w:val="0"/>
          <w:numId w:val="64"/>
        </w:numPr>
        <w:tabs>
          <w:tab w:val="left" w:pos="1621"/>
        </w:tabs>
        <w:spacing w:before="1" w:after="0" w:line="364" w:lineRule="auto"/>
        <w:ind w:left="540" w:right="457" w:firstLine="480"/>
        <w:jc w:val="left"/>
        <w:rPr>
          <w:sz w:val="24"/>
        </w:rPr>
      </w:pPr>
      <w:r>
        <w:rPr>
          <w:spacing w:val="-4"/>
          <w:sz w:val="24"/>
        </w:rPr>
        <w:t>对施工中产生的不能再利用的建筑垃圾，应进行分类收集、分类管理</w:t>
      </w:r>
      <w:r>
        <w:rPr>
          <w:spacing w:val="-9"/>
          <w:sz w:val="24"/>
        </w:rPr>
        <w:t>，能够回收利用的尽量回收再利用，以节约资源；对于不能回收利用的要进行收</w:t>
      </w:r>
      <w:r>
        <w:rPr>
          <w:spacing w:val="-14"/>
          <w:sz w:val="24"/>
        </w:rPr>
        <w:t>集并于施工区内固定地点集中暂存，施工完成后及时处理，拉运至当地环保部门指定的建筑垃圾填埋场填埋处置或委托处置建筑垃圾的单位及时外处置。</w:t>
      </w:r>
    </w:p>
    <w:p>
      <w:pPr>
        <w:pStyle w:val="18"/>
        <w:numPr>
          <w:ilvl w:val="0"/>
          <w:numId w:val="64"/>
        </w:numPr>
        <w:tabs>
          <w:tab w:val="left" w:pos="1621"/>
        </w:tabs>
        <w:spacing w:before="2" w:after="0" w:line="364" w:lineRule="auto"/>
        <w:ind w:left="540" w:right="577" w:firstLine="480"/>
        <w:jc w:val="both"/>
        <w:rPr>
          <w:sz w:val="24"/>
        </w:rPr>
      </w:pPr>
      <w:r>
        <w:rPr>
          <w:spacing w:val="-1"/>
          <w:sz w:val="24"/>
        </w:rPr>
        <w:t>车辆运输建筑垃圾时，须采取覆盖措施，不得沿途漏撒；施工单位应</w:t>
      </w:r>
      <w:r>
        <w:rPr>
          <w:spacing w:val="-12"/>
          <w:sz w:val="24"/>
        </w:rPr>
        <w:t>在施工前</w:t>
      </w:r>
      <w:r>
        <w:rPr>
          <w:rFonts w:ascii="Times New Roman" w:eastAsia="Times New Roman"/>
          <w:sz w:val="24"/>
        </w:rPr>
        <w:t>5</w:t>
      </w:r>
      <w:r>
        <w:rPr>
          <w:spacing w:val="-7"/>
          <w:sz w:val="24"/>
        </w:rPr>
        <w:t>日向建设局申报工程垃圾处置计划，如实填报垃圾的种类、数量、运</w:t>
      </w:r>
      <w:r>
        <w:rPr>
          <w:sz w:val="24"/>
        </w:rPr>
        <w:t>输路线及处置方案等事项，并与有关管理部门签订环境卫生责任书。</w:t>
      </w:r>
    </w:p>
    <w:p>
      <w:pPr>
        <w:pStyle w:val="18"/>
        <w:numPr>
          <w:ilvl w:val="0"/>
          <w:numId w:val="64"/>
        </w:numPr>
        <w:tabs>
          <w:tab w:val="left" w:pos="1621"/>
        </w:tabs>
        <w:spacing w:before="2" w:after="0" w:line="364" w:lineRule="auto"/>
        <w:ind w:left="540" w:right="577" w:firstLine="480"/>
        <w:jc w:val="both"/>
        <w:rPr>
          <w:sz w:val="24"/>
        </w:rPr>
      </w:pPr>
      <w:r>
        <w:rPr>
          <w:spacing w:val="-1"/>
          <w:sz w:val="24"/>
        </w:rPr>
        <w:t>施工部门应当持当地建设局核发的处置证明，向运输单位办理建筑垃</w:t>
      </w:r>
      <w:r>
        <w:rPr>
          <w:spacing w:val="-10"/>
          <w:sz w:val="24"/>
        </w:rPr>
        <w:t>圾托运手续。运输车辆在运输建筑垃圾时应携带处置证明，接收渣土管理部门的</w:t>
      </w:r>
      <w:r>
        <w:rPr>
          <w:sz w:val="24"/>
        </w:rPr>
        <w:t>检查，运输路线应按渣土管理部门会同公安、交通管理部门规定的线路运输。</w:t>
      </w:r>
    </w:p>
    <w:p>
      <w:pPr>
        <w:pStyle w:val="18"/>
        <w:numPr>
          <w:ilvl w:val="0"/>
          <w:numId w:val="64"/>
        </w:numPr>
        <w:tabs>
          <w:tab w:val="left" w:pos="1621"/>
        </w:tabs>
        <w:spacing w:before="2" w:after="0" w:line="364" w:lineRule="auto"/>
        <w:ind w:left="540" w:right="577" w:firstLine="480"/>
        <w:jc w:val="both"/>
        <w:rPr>
          <w:sz w:val="24"/>
        </w:rPr>
      </w:pPr>
      <w:r>
        <w:rPr>
          <w:spacing w:val="-9"/>
          <w:sz w:val="24"/>
        </w:rPr>
        <w:t>工程完工后</w:t>
      </w:r>
      <w:r>
        <w:rPr>
          <w:rFonts w:ascii="Times New Roman" w:eastAsia="Times New Roman"/>
          <w:sz w:val="24"/>
        </w:rPr>
        <w:t>1</w:t>
      </w:r>
      <w:r>
        <w:rPr>
          <w:spacing w:val="-1"/>
          <w:sz w:val="24"/>
        </w:rPr>
        <w:t>个月内，应当将施工场地的剩余建筑垃圾处置干净，不</w:t>
      </w:r>
      <w:r>
        <w:rPr>
          <w:sz w:val="24"/>
        </w:rPr>
        <w:t>得占用道路或其他类型土地来堆放建筑垃圾。</w:t>
      </w:r>
    </w:p>
    <w:p>
      <w:pPr>
        <w:pStyle w:val="7"/>
        <w:spacing w:before="1"/>
        <w:ind w:left="1020"/>
      </w:pPr>
      <w:r>
        <w:t>采取上述措施后施工期固体废弃物对项目区及周边环境影响不大。</w:t>
      </w:r>
    </w:p>
    <w:p>
      <w:pPr>
        <w:pStyle w:val="7"/>
        <w:spacing w:before="5"/>
        <w:ind w:left="0"/>
        <w:rPr>
          <w:sz w:val="21"/>
        </w:rPr>
      </w:pPr>
    </w:p>
    <w:p>
      <w:pPr>
        <w:pStyle w:val="5"/>
        <w:numPr>
          <w:ilvl w:val="2"/>
          <w:numId w:val="62"/>
        </w:numPr>
        <w:tabs>
          <w:tab w:val="left" w:pos="1241"/>
        </w:tabs>
        <w:spacing w:before="0" w:after="0" w:line="240" w:lineRule="auto"/>
        <w:ind w:left="1240" w:right="0" w:hanging="701"/>
        <w:jc w:val="left"/>
        <w:outlineLvl w:val="2"/>
      </w:pPr>
      <w:bookmarkStart w:id="361" w:name="6.1.5 生态防治措施分析"/>
      <w:bookmarkEnd w:id="361"/>
      <w:bookmarkStart w:id="362" w:name="6.1.5 生态防治措施分析"/>
      <w:bookmarkEnd w:id="362"/>
      <w:bookmarkStart w:id="363" w:name="_Toc2438"/>
      <w:r>
        <w:t>生态防治措施分析</w:t>
      </w:r>
      <w:bookmarkEnd w:id="363"/>
    </w:p>
    <w:p>
      <w:pPr>
        <w:pStyle w:val="7"/>
        <w:spacing w:before="7"/>
        <w:ind w:left="0"/>
        <w:rPr>
          <w:b/>
          <w:sz w:val="21"/>
        </w:rPr>
      </w:pPr>
    </w:p>
    <w:p>
      <w:pPr>
        <w:pStyle w:val="7"/>
        <w:spacing w:before="1" w:line="364" w:lineRule="auto"/>
        <w:ind w:right="577" w:firstLine="480"/>
      </w:pPr>
      <w:r>
        <w:rPr>
          <w:spacing w:val="-5"/>
        </w:rPr>
        <w:t>项目对生态产生的负面影响主要体现在施工期工程施工阶段，主要影响因素</w:t>
      </w:r>
      <w:r>
        <w:t>为土壤、动植物以及景观影响。针对生态影响，本次环评提出如下措施：</w:t>
      </w:r>
    </w:p>
    <w:p>
      <w:pPr>
        <w:pStyle w:val="18"/>
        <w:numPr>
          <w:ilvl w:val="0"/>
          <w:numId w:val="65"/>
        </w:numPr>
        <w:tabs>
          <w:tab w:val="left" w:pos="1621"/>
        </w:tabs>
        <w:spacing w:before="1" w:after="0" w:line="364" w:lineRule="auto"/>
        <w:ind w:left="540" w:right="485" w:firstLine="480"/>
        <w:jc w:val="left"/>
        <w:rPr>
          <w:sz w:val="24"/>
        </w:rPr>
      </w:pPr>
      <w:r>
        <w:rPr>
          <w:sz w:val="24"/>
        </w:rPr>
        <w:t>施工期地基开挖后产生的表土于施工区域内集中堆放，就近回填，堆</w:t>
      </w:r>
      <w:r>
        <w:rPr>
          <w:spacing w:val="-1"/>
          <w:sz w:val="24"/>
        </w:rPr>
        <w:t>放期间采取覆盖围护措施，防止大风大雨时造成水土流失。堆放前设置挡土墙，</w:t>
      </w:r>
    </w:p>
    <w:p>
      <w:pPr>
        <w:spacing w:after="0" w:line="364"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pPr>
      <w:r>
        <w:rPr>
          <w:spacing w:val="-8"/>
        </w:rPr>
        <w:t>堆放后表土堆场上覆盖防尘布，要求施工施工过程中及时利用原表土对施工造成</w:t>
      </w:r>
      <w:r>
        <w:t>的裸露地面或基坑进行平整、回填覆土。</w:t>
      </w:r>
    </w:p>
    <w:p>
      <w:pPr>
        <w:pStyle w:val="18"/>
        <w:numPr>
          <w:ilvl w:val="0"/>
          <w:numId w:val="65"/>
        </w:numPr>
        <w:tabs>
          <w:tab w:val="left" w:pos="1621"/>
        </w:tabs>
        <w:spacing w:before="1" w:after="0" w:line="364" w:lineRule="auto"/>
        <w:ind w:left="540" w:right="577" w:firstLine="480"/>
        <w:jc w:val="both"/>
        <w:rPr>
          <w:sz w:val="24"/>
        </w:rPr>
      </w:pPr>
      <w:r>
        <w:rPr>
          <w:spacing w:val="-1"/>
          <w:sz w:val="24"/>
        </w:rPr>
        <w:t>在施工过程中填挖土方，会产生水土流失，建设施工尽量安排于非雨</w:t>
      </w:r>
      <w:r>
        <w:rPr>
          <w:spacing w:val="-10"/>
          <w:sz w:val="24"/>
        </w:rPr>
        <w:t>天和大风天进行，以避免水土流失的发生，从而尽可能降低对生态环境的潜在影</w:t>
      </w:r>
      <w:r>
        <w:rPr>
          <w:sz w:val="24"/>
        </w:rPr>
        <w:t>响。</w:t>
      </w:r>
    </w:p>
    <w:p>
      <w:pPr>
        <w:pStyle w:val="18"/>
        <w:numPr>
          <w:ilvl w:val="0"/>
          <w:numId w:val="65"/>
        </w:numPr>
        <w:tabs>
          <w:tab w:val="left" w:pos="1621"/>
        </w:tabs>
        <w:spacing w:before="2" w:after="0" w:line="364" w:lineRule="auto"/>
        <w:ind w:left="540" w:right="580" w:firstLine="480"/>
        <w:jc w:val="left"/>
        <w:rPr>
          <w:sz w:val="24"/>
        </w:rPr>
      </w:pPr>
      <w:r>
        <w:rPr>
          <w:spacing w:val="-1"/>
          <w:sz w:val="24"/>
        </w:rPr>
        <w:t>施工完成后，对施工区域内场地进行全面整地并采取硬化措施，避免</w:t>
      </w:r>
      <w:r>
        <w:rPr>
          <w:sz w:val="24"/>
        </w:rPr>
        <w:t>地表裸露增加水土流失量。</w:t>
      </w:r>
    </w:p>
    <w:p>
      <w:pPr>
        <w:pStyle w:val="18"/>
        <w:numPr>
          <w:ilvl w:val="0"/>
          <w:numId w:val="65"/>
        </w:numPr>
        <w:tabs>
          <w:tab w:val="left" w:pos="1621"/>
        </w:tabs>
        <w:spacing w:before="1" w:after="0" w:line="364" w:lineRule="auto"/>
        <w:ind w:left="540" w:right="580" w:firstLine="480"/>
        <w:jc w:val="left"/>
        <w:rPr>
          <w:sz w:val="24"/>
        </w:rPr>
      </w:pPr>
      <w:r>
        <w:rPr>
          <w:spacing w:val="-1"/>
          <w:sz w:val="24"/>
        </w:rPr>
        <w:t>施工过程中场地内的施工运输道路等应及时清扫，洒水，减少车辆行</w:t>
      </w:r>
      <w:r>
        <w:rPr>
          <w:sz w:val="24"/>
        </w:rPr>
        <w:t>驶过程中的扬尘产生量。</w:t>
      </w:r>
    </w:p>
    <w:p>
      <w:pPr>
        <w:pStyle w:val="18"/>
        <w:numPr>
          <w:ilvl w:val="0"/>
          <w:numId w:val="65"/>
        </w:numPr>
        <w:tabs>
          <w:tab w:val="left" w:pos="1621"/>
        </w:tabs>
        <w:spacing w:before="1" w:after="0" w:line="364" w:lineRule="auto"/>
        <w:ind w:left="540" w:right="580" w:firstLine="480"/>
        <w:jc w:val="left"/>
        <w:rPr>
          <w:sz w:val="24"/>
        </w:rPr>
      </w:pPr>
      <w:r>
        <w:rPr>
          <w:spacing w:val="-1"/>
          <w:sz w:val="24"/>
        </w:rPr>
        <w:t>加强施工人员生态保护意识的宣传工作。禁止施工人员破坏设计用地</w:t>
      </w:r>
      <w:r>
        <w:rPr>
          <w:sz w:val="24"/>
        </w:rPr>
        <w:t>以外的植被或占用规定施工区以外的区域。</w:t>
      </w:r>
    </w:p>
    <w:p>
      <w:pPr>
        <w:pStyle w:val="7"/>
        <w:spacing w:before="1"/>
        <w:ind w:left="1020"/>
      </w:pPr>
      <w:r>
        <w:t>采取以上措施后，可最大限度减少因施工引起的负面生态影响。</w:t>
      </w:r>
    </w:p>
    <w:p>
      <w:pPr>
        <w:pStyle w:val="7"/>
        <w:spacing w:before="6"/>
        <w:ind w:left="0"/>
      </w:pPr>
    </w:p>
    <w:p>
      <w:pPr>
        <w:pStyle w:val="4"/>
        <w:numPr>
          <w:ilvl w:val="1"/>
          <w:numId w:val="62"/>
        </w:numPr>
        <w:tabs>
          <w:tab w:val="left" w:pos="1100"/>
        </w:tabs>
        <w:spacing w:before="0" w:after="0" w:line="240" w:lineRule="auto"/>
        <w:ind w:left="1099" w:right="0" w:hanging="560"/>
        <w:jc w:val="both"/>
        <w:outlineLvl w:val="1"/>
      </w:pPr>
      <w:bookmarkStart w:id="364" w:name="6.2 运营期环境保护措施分析"/>
      <w:bookmarkEnd w:id="364"/>
      <w:bookmarkStart w:id="365" w:name="_bookmark29"/>
      <w:bookmarkEnd w:id="365"/>
      <w:bookmarkStart w:id="366" w:name="_Toc1386"/>
      <w:r>
        <w:t>运营期环境保护措施分析</w:t>
      </w:r>
      <w:bookmarkEnd w:id="366"/>
    </w:p>
    <w:p>
      <w:pPr>
        <w:pStyle w:val="7"/>
        <w:spacing w:before="6"/>
        <w:ind w:left="0"/>
        <w:rPr>
          <w:b/>
          <w:sz w:val="28"/>
        </w:rPr>
      </w:pPr>
    </w:p>
    <w:p>
      <w:pPr>
        <w:pStyle w:val="5"/>
        <w:numPr>
          <w:ilvl w:val="2"/>
          <w:numId w:val="62"/>
        </w:numPr>
        <w:tabs>
          <w:tab w:val="left" w:pos="1241"/>
        </w:tabs>
        <w:spacing w:before="0" w:after="0" w:line="240" w:lineRule="auto"/>
        <w:ind w:left="1240" w:right="0" w:hanging="701"/>
        <w:jc w:val="both"/>
        <w:outlineLvl w:val="2"/>
      </w:pPr>
      <w:bookmarkStart w:id="367" w:name="6.2.1 环境空气污染防治措施分析"/>
      <w:bookmarkEnd w:id="367"/>
      <w:bookmarkStart w:id="368" w:name="6.2.1 环境空气污染防治措施分析"/>
      <w:bookmarkEnd w:id="368"/>
      <w:bookmarkStart w:id="369" w:name="_Toc30328"/>
      <w:r>
        <w:t>环境空气污染防治措施分析</w:t>
      </w:r>
      <w:bookmarkEnd w:id="369"/>
    </w:p>
    <w:p>
      <w:pPr>
        <w:pStyle w:val="7"/>
        <w:spacing w:before="1"/>
        <w:ind w:left="0"/>
        <w:rPr>
          <w:b/>
          <w:sz w:val="22"/>
        </w:rPr>
      </w:pPr>
    </w:p>
    <w:p>
      <w:pPr>
        <w:pStyle w:val="18"/>
        <w:numPr>
          <w:ilvl w:val="3"/>
          <w:numId w:val="66"/>
        </w:numPr>
        <w:tabs>
          <w:tab w:val="left" w:pos="1320"/>
        </w:tabs>
        <w:spacing w:before="1" w:after="0" w:line="240" w:lineRule="auto"/>
        <w:ind w:left="1320" w:right="0" w:hanging="780"/>
        <w:jc w:val="both"/>
        <w:rPr>
          <w:sz w:val="24"/>
        </w:rPr>
      </w:pPr>
      <w:bookmarkStart w:id="370" w:name="6.2.1.1 养殖场无组织恶臭气体防治措施"/>
      <w:bookmarkEnd w:id="370"/>
      <w:bookmarkStart w:id="371" w:name="6.2.1.1 养殖场无组织恶臭气体防治措施"/>
      <w:bookmarkEnd w:id="371"/>
      <w:r>
        <w:rPr>
          <w:sz w:val="24"/>
        </w:rPr>
        <w:t>养殖场无组织恶臭气体防治措施</w:t>
      </w:r>
    </w:p>
    <w:p>
      <w:pPr>
        <w:pStyle w:val="7"/>
        <w:spacing w:before="167" w:line="364" w:lineRule="auto"/>
        <w:ind w:right="577" w:firstLine="480"/>
        <w:jc w:val="both"/>
      </w:pPr>
      <w:r>
        <w:rPr>
          <w:spacing w:val="-5"/>
        </w:rPr>
        <w:t>畜禽养殖场的臭气主要来自蛋白质废弃物的厌氧分解，这些废弃物包括畜禽</w:t>
      </w:r>
      <w:r>
        <w:rPr>
          <w:spacing w:val="-11"/>
        </w:rPr>
        <w:t>粪尿、毛、饲料和垫料，而大部分臭气是粪尿厌氧分解产生的。畜禽排泄物中的</w:t>
      </w:r>
      <w:r>
        <w:rPr>
          <w:spacing w:val="-6"/>
        </w:rPr>
        <w:t>有机物主要由碳水化合物和含氮有机物组成，在一定的情况下，粪便发酵和含硫蛋白分解会产生大量的臭味气体，这些恶臭成分可分为挥发性脂肪酸、醇类、酚</w:t>
      </w:r>
      <w:r>
        <w:rPr>
          <w:spacing w:val="-13"/>
        </w:rPr>
        <w:t>类、酸类、醛类、酮类、胺类、硫醇类，以及含氮杂环化合物等</w:t>
      </w:r>
      <w:r>
        <w:rPr>
          <w:rFonts w:ascii="Times New Roman" w:eastAsia="Times New Roman"/>
        </w:rPr>
        <w:t>9</w:t>
      </w:r>
      <w:r>
        <w:rPr>
          <w:spacing w:val="-3"/>
        </w:rPr>
        <w:t>类有机化合物</w:t>
      </w:r>
      <w:r>
        <w:rPr>
          <w:spacing w:val="-10"/>
        </w:rPr>
        <w:t>和氨、硫化氢两种无机物。恶臭程度与畜禽种类、饲料、畜舍结构以及清粪工艺</w:t>
      </w:r>
      <w:r>
        <w:rPr>
          <w:spacing w:val="-7"/>
        </w:rPr>
        <w:t>类型等有关。此外，畜禽养殖管理不当</w:t>
      </w:r>
      <w:r>
        <w:t>（</w:t>
      </w:r>
      <w:r>
        <w:rPr>
          <w:spacing w:val="-3"/>
        </w:rPr>
        <w:t>诸如不及时清粪、不加强通风等</w:t>
      </w:r>
      <w:r>
        <w:rPr>
          <w:spacing w:val="-20"/>
        </w:rPr>
        <w:t>）</w:t>
      </w:r>
      <w:r>
        <w:rPr>
          <w:spacing w:val="-7"/>
        </w:rPr>
        <w:t>也会</w:t>
      </w:r>
      <w:r>
        <w:t>增加恶臭的产生和散发。</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567" w:right="220" w:rightChars="100" w:firstLine="460" w:firstLineChars="200"/>
        <w:jc w:val="both"/>
        <w:textAlignment w:val="auto"/>
      </w:pPr>
      <w:r>
        <w:rPr>
          <w:spacing w:val="-5"/>
        </w:rPr>
        <w:t>对于本项目其恶臭主要来源为羊舍、堆肥厂和无害化处理车间，恶臭气体来</w:t>
      </w:r>
      <w:r>
        <w:rPr>
          <w:spacing w:val="-6"/>
        </w:rPr>
        <w:t>源复杂，属于无组织面源排放。单靠某一种除臭技术很难取得良好的治理效果，</w:t>
      </w:r>
      <w:r>
        <w:rPr>
          <w:spacing w:val="-9"/>
        </w:rPr>
        <w:t>从根本上讲，最有效的控制方法是控制产生气味的源头和扩散渠道。只有采取综</w:t>
      </w:r>
      <w:r>
        <w:rPr>
          <w:spacing w:val="-12"/>
        </w:rPr>
        <w:t>合除臭措施，从断绝臭气产生的源头、防止恶臭扩散等多种方法并举，才能有效</w:t>
      </w:r>
      <w:r>
        <w:rPr>
          <w:spacing w:val="-15"/>
        </w:rPr>
        <w:t>地防止和减轻其危害，保证人畜健康，促进畜牧业生产的可持续发展。恶臭防治</w:t>
      </w:r>
      <w:r>
        <w:t>措施主要包括管理方面措施和技术方面的措施。</w:t>
      </w:r>
    </w:p>
    <w:p>
      <w:pPr>
        <w:pStyle w:val="18"/>
        <w:numPr>
          <w:ilvl w:val="4"/>
          <w:numId w:val="66"/>
        </w:numPr>
        <w:tabs>
          <w:tab w:val="left" w:pos="1621"/>
        </w:tabs>
        <w:spacing w:before="160" w:after="0" w:line="240" w:lineRule="auto"/>
        <w:ind w:left="1621" w:right="0" w:hanging="601"/>
        <w:jc w:val="left"/>
        <w:rPr>
          <w:sz w:val="24"/>
        </w:rPr>
      </w:pPr>
      <w:r>
        <w:rPr>
          <w:sz w:val="24"/>
        </w:rPr>
        <w:t>合理设计通风系统和养殖房舍</w:t>
      </w:r>
    </w:p>
    <w:p>
      <w:pPr>
        <w:pStyle w:val="7"/>
        <w:spacing w:before="161" w:line="364" w:lineRule="auto"/>
        <w:ind w:right="485" w:firstLine="480"/>
      </w:pPr>
      <w:r>
        <w:t>在拟建项目初步设计阶段，应合理对养殖区内的羊舍的通风系统进行设计，尽量选择通风性能较好的设备和设施；对于养殖房舍的设计，应按规模化畜禽养殖场的相关设计要求进行设计。</w:t>
      </w:r>
    </w:p>
    <w:p>
      <w:pPr>
        <w:pStyle w:val="18"/>
        <w:numPr>
          <w:ilvl w:val="4"/>
          <w:numId w:val="66"/>
        </w:numPr>
        <w:tabs>
          <w:tab w:val="left" w:pos="1621"/>
        </w:tabs>
        <w:spacing w:before="2" w:after="0" w:line="240" w:lineRule="auto"/>
        <w:ind w:left="1621" w:right="0" w:hanging="601"/>
        <w:jc w:val="left"/>
        <w:rPr>
          <w:sz w:val="24"/>
        </w:rPr>
      </w:pPr>
      <w:r>
        <w:rPr>
          <w:sz w:val="24"/>
        </w:rPr>
        <w:t>及时清理羊舍</w:t>
      </w:r>
    </w:p>
    <w:p>
      <w:pPr>
        <w:pStyle w:val="7"/>
        <w:spacing w:before="160" w:line="364" w:lineRule="auto"/>
        <w:ind w:right="577" w:firstLine="480"/>
        <w:jc w:val="both"/>
      </w:pPr>
      <w:r>
        <w:rPr>
          <w:spacing w:val="-8"/>
        </w:rPr>
        <w:t>有资料表明，温度高时恶臭气体浓度高，羊粪在</w:t>
      </w:r>
      <w:r>
        <w:rPr>
          <w:rFonts w:ascii="Times New Roman" w:eastAsia="Times New Roman"/>
        </w:rPr>
        <w:t>1-2</w:t>
      </w:r>
      <w:r>
        <w:rPr>
          <w:spacing w:val="-5"/>
        </w:rPr>
        <w:t>周后发酵较快，粪便暴</w:t>
      </w:r>
      <w:r>
        <w:rPr>
          <w:spacing w:val="-11"/>
        </w:rPr>
        <w:t>露面积越大，发酵率越高。因此应尽快从羊舍内清走粪便，并加强羊舍内的通风</w:t>
      </w:r>
      <w:r>
        <w:t>效果，以加速粪便干燥，能较好的减少臭气污染。</w:t>
      </w:r>
    </w:p>
    <w:p>
      <w:pPr>
        <w:pStyle w:val="7"/>
        <w:spacing w:before="2" w:line="364" w:lineRule="auto"/>
        <w:ind w:right="577" w:firstLine="480"/>
      </w:pPr>
      <w:r>
        <w:rPr>
          <w:spacing w:val="-9"/>
        </w:rPr>
        <w:t>为防止蚊蝇孳生，应根据蚊蝇生活习性，采用人工、机械配合喷药的方法预</w:t>
      </w:r>
      <w:r>
        <w:t>防蚊蝇孳生。</w:t>
      </w:r>
    </w:p>
    <w:p>
      <w:pPr>
        <w:pStyle w:val="7"/>
        <w:spacing w:before="1"/>
        <w:ind w:left="1020"/>
      </w:pPr>
      <w:r>
        <w:t>加强羊舍与饲料堆放地的灭鼠工作，预防疾病的传播。</w:t>
      </w:r>
    </w:p>
    <w:p>
      <w:pPr>
        <w:pStyle w:val="18"/>
        <w:numPr>
          <w:ilvl w:val="4"/>
          <w:numId w:val="66"/>
        </w:numPr>
        <w:tabs>
          <w:tab w:val="left" w:pos="1621"/>
        </w:tabs>
        <w:spacing w:before="161" w:after="0" w:line="240" w:lineRule="auto"/>
        <w:ind w:left="1621" w:right="0" w:hanging="601"/>
        <w:jc w:val="left"/>
        <w:rPr>
          <w:sz w:val="24"/>
        </w:rPr>
      </w:pPr>
      <w:r>
        <w:rPr>
          <w:sz w:val="24"/>
        </w:rPr>
        <w:t>强化羊舍消毒措施</w:t>
      </w:r>
    </w:p>
    <w:p>
      <w:pPr>
        <w:pStyle w:val="7"/>
        <w:spacing w:before="160" w:line="364" w:lineRule="auto"/>
        <w:ind w:right="485" w:firstLine="480"/>
      </w:pPr>
      <w:r>
        <w:t>全部羊舍必须配备地面消毒设备，车库、车棚内应设有车辆清洗消毒设施，病畜隔离间必须设车轮、鞋靴消毒池。</w:t>
      </w:r>
    </w:p>
    <w:p>
      <w:pPr>
        <w:pStyle w:val="18"/>
        <w:numPr>
          <w:ilvl w:val="4"/>
          <w:numId w:val="66"/>
        </w:numPr>
        <w:tabs>
          <w:tab w:val="left" w:pos="1621"/>
        </w:tabs>
        <w:spacing w:before="1" w:after="0" w:line="240" w:lineRule="auto"/>
        <w:ind w:left="1621" w:right="0" w:hanging="601"/>
        <w:jc w:val="left"/>
        <w:rPr>
          <w:sz w:val="24"/>
        </w:rPr>
      </w:pPr>
      <w:r>
        <w:rPr>
          <w:sz w:val="24"/>
        </w:rPr>
        <w:t>科学的设计日粮，提高饲料利用率</w:t>
      </w:r>
    </w:p>
    <w:p>
      <w:pPr>
        <w:pStyle w:val="7"/>
        <w:spacing w:before="161" w:line="364" w:lineRule="auto"/>
        <w:ind w:right="485" w:firstLine="480"/>
      </w:pPr>
      <w:r>
        <w:rPr>
          <w:spacing w:val="-8"/>
        </w:rPr>
        <w:t>饲料在消化过程中，因微生物分解而产生臭气，同时这些未被消化的养分排</w:t>
      </w:r>
      <w:r>
        <w:rPr>
          <w:spacing w:val="-9"/>
        </w:rPr>
        <w:t>除体外后被微生物分解产生更多的臭气，其主要成分为氨气、硫化氢、粪臭素、</w:t>
      </w:r>
      <w:r>
        <w:rPr>
          <w:spacing w:val="-10"/>
        </w:rPr>
        <w:t>靛基质、胺及硫醇。因此，提高日粮的消化率，减少干物质，尤其是蛋白质的排</w:t>
      </w:r>
      <w:r>
        <w:rPr>
          <w:spacing w:val="-11"/>
        </w:rPr>
        <w:t>出量，既可减少肠道臭气的产生，又可减少粪便排出后臭气的产生，这是减少粪</w:t>
      </w:r>
      <w:r>
        <w:rPr>
          <w:spacing w:val="-14"/>
        </w:rPr>
        <w:t>便臭味的有效途径。应当指出的是粪便臭味的产生主要是未消化的蛋白质的腐败</w:t>
      </w:r>
      <w:r>
        <w:rPr>
          <w:spacing w:val="-11"/>
        </w:rPr>
        <w:t>降解，故提高日粮蛋白质的消化率对粪便的恶臭控制非常重要。采取的措施包括以下方面：</w:t>
      </w:r>
    </w:p>
    <w:p>
      <w:pPr>
        <w:pStyle w:val="7"/>
        <w:spacing w:before="4"/>
        <w:ind w:left="1020"/>
      </w:pPr>
      <w:r>
        <w:t>①保证饲料的营养成分丰富</w:t>
      </w:r>
    </w:p>
    <w:p>
      <w:pPr>
        <w:pStyle w:val="7"/>
        <w:spacing w:before="160" w:line="364" w:lineRule="auto"/>
        <w:ind w:right="485" w:firstLine="480"/>
      </w:pPr>
      <w:r>
        <w:rPr>
          <w:spacing w:val="-9"/>
        </w:rPr>
        <w:t>一般来讲，饲料的营养成分越低，其消化率越低。羊为满足其营养需要，采</w:t>
      </w:r>
      <w:r>
        <w:rPr>
          <w:spacing w:val="-10"/>
        </w:rPr>
        <w:t>食量增大，导致粪便的排出量增加。因此，应加大营养成分丰富的饲料的比例。</w:t>
      </w:r>
    </w:p>
    <w:p>
      <w:pPr>
        <w:pStyle w:val="7"/>
        <w:spacing w:before="2"/>
        <w:ind w:left="1020"/>
      </w:pPr>
      <w:r>
        <w:t>②提高饲料养分的吸收率</w:t>
      </w:r>
    </w:p>
    <w:p>
      <w:pPr>
        <w:pStyle w:val="7"/>
        <w:spacing w:before="160" w:line="364" w:lineRule="auto"/>
        <w:ind w:right="457" w:firstLine="480"/>
      </w:pPr>
      <w:r>
        <w:rPr>
          <w:spacing w:val="-16"/>
        </w:rPr>
        <w:t>有些饲料虽然被消化，但不一定被机体吸收，如日粮中的氨基酸比例不当时，</w:t>
      </w:r>
      <w:r>
        <w:t>尤其是缺乏限制性氨基酸，其吸收率就降低，因此要满足其限制性氨基酸的量；</w:t>
      </w:r>
    </w:p>
    <w:p>
      <w:pPr>
        <w:spacing w:after="0" w:line="364" w:lineRule="auto"/>
        <w:sectPr>
          <w:footerReference r:id="rId25"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jc w:val="both"/>
      </w:pPr>
      <w:r>
        <w:rPr>
          <w:spacing w:val="-14"/>
        </w:rPr>
        <w:t>又如</w:t>
      </w:r>
      <w:r>
        <w:rPr>
          <w:rFonts w:ascii="Times New Roman" w:eastAsia="Times New Roman"/>
        </w:rPr>
        <w:t>Zn</w:t>
      </w:r>
      <w:r>
        <w:rPr>
          <w:spacing w:val="4"/>
        </w:rPr>
        <w:t>、</w:t>
      </w:r>
      <w:r>
        <w:rPr>
          <w:rFonts w:ascii="Times New Roman" w:eastAsia="Times New Roman"/>
        </w:rPr>
        <w:t>Mn</w:t>
      </w:r>
      <w:r>
        <w:t>、</w:t>
      </w:r>
      <w:r>
        <w:rPr>
          <w:rFonts w:ascii="Times New Roman" w:eastAsia="Times New Roman"/>
        </w:rPr>
        <w:t>Fe</w:t>
      </w:r>
      <w:r>
        <w:t>、</w:t>
      </w:r>
      <w:r>
        <w:rPr>
          <w:rFonts w:ascii="Times New Roman" w:eastAsia="Times New Roman"/>
        </w:rPr>
        <w:t>Co</w:t>
      </w:r>
      <w:r>
        <w:t>等矿物质通常以氧化物或硫酸盐的形式添加到饲料中。</w:t>
      </w:r>
      <w:r>
        <w:rPr>
          <w:spacing w:val="-6"/>
        </w:rPr>
        <w:t>它们在瘤胃的酸性环境下解离为离子，为防止其形成无法吸收的不溶性物质，可</w:t>
      </w:r>
      <w:r>
        <w:rPr>
          <w:spacing w:val="-4"/>
        </w:rPr>
        <w:t>利用它们与某些有机配合基</w:t>
      </w:r>
      <w:r>
        <w:t>（如氨基酸或小肽</w:t>
      </w:r>
      <w:r>
        <w:rPr>
          <w:spacing w:val="-46"/>
        </w:rPr>
        <w:t>）</w:t>
      </w:r>
      <w:r>
        <w:rPr>
          <w:spacing w:val="-2"/>
        </w:rPr>
        <w:t>结合成络合物或螯合物作矿物质</w:t>
      </w:r>
      <w:r>
        <w:t>添加剂，以保证其吸收率。</w:t>
      </w:r>
    </w:p>
    <w:p>
      <w:pPr>
        <w:pStyle w:val="7"/>
        <w:spacing w:before="2"/>
        <w:ind w:left="1020"/>
        <w:jc w:val="both"/>
      </w:pPr>
      <w:r>
        <w:t>③满足日粮中有效中性洗涤纤维的供给量</w:t>
      </w:r>
    </w:p>
    <w:p>
      <w:pPr>
        <w:pStyle w:val="7"/>
        <w:spacing w:before="161" w:line="364" w:lineRule="auto"/>
        <w:ind w:right="577" w:firstLine="480"/>
        <w:jc w:val="both"/>
      </w:pPr>
      <w:r>
        <w:rPr>
          <w:spacing w:val="-7"/>
        </w:rPr>
        <w:t>由于反刍动物的特殊消化生理特点，日粮中必须保证有效中性洗涤纤维的供</w:t>
      </w:r>
      <w:r>
        <w:rPr>
          <w:spacing w:val="-10"/>
        </w:rPr>
        <w:t>给量。随着日粮中粗纤维含量的减少，相应的蛋白质含量会增加，导致粪便中的</w:t>
      </w:r>
      <w:r>
        <w:rPr>
          <w:spacing w:val="-9"/>
        </w:rPr>
        <w:t>吲哚和粪臭素增加，加剧恶臭程度。因此，要根据奶羊的不同生理阶段和生产性</w:t>
      </w:r>
      <w:r>
        <w:t>能及时调整有效中性洗涤纤维的饲喂量。</w:t>
      </w:r>
    </w:p>
    <w:p>
      <w:pPr>
        <w:pStyle w:val="7"/>
        <w:spacing w:before="2"/>
        <w:ind w:left="1020"/>
        <w:jc w:val="both"/>
      </w:pPr>
      <w:r>
        <w:t>④日粮添加剂的使用</w:t>
      </w:r>
    </w:p>
    <w:p>
      <w:pPr>
        <w:pStyle w:val="7"/>
        <w:spacing w:before="161" w:line="364" w:lineRule="auto"/>
        <w:ind w:right="577" w:firstLine="480"/>
        <w:jc w:val="both"/>
      </w:pPr>
      <w:r>
        <w:rPr>
          <w:spacing w:val="-7"/>
        </w:rPr>
        <w:t>日粮中采用某些添加剂后，除提高羊的生产性能外，对控制恶臭也有重要作</w:t>
      </w:r>
      <w:r>
        <w:rPr>
          <w:spacing w:val="-12"/>
        </w:rPr>
        <w:t>用。如酸制剂、酶制剂、抗微生物制剂、活菌制剂等，它们的共同特点是能提高</w:t>
      </w:r>
      <w:r>
        <w:t>饲料的消化率而进一步降低恶臭强度。</w:t>
      </w:r>
    </w:p>
    <w:p>
      <w:pPr>
        <w:pStyle w:val="18"/>
        <w:numPr>
          <w:ilvl w:val="4"/>
          <w:numId w:val="66"/>
        </w:numPr>
        <w:tabs>
          <w:tab w:val="left" w:pos="1621"/>
        </w:tabs>
        <w:spacing w:before="1" w:after="0" w:line="240" w:lineRule="auto"/>
        <w:ind w:left="1621" w:right="0" w:hanging="601"/>
        <w:jc w:val="left"/>
        <w:rPr>
          <w:sz w:val="24"/>
        </w:rPr>
      </w:pPr>
      <w:r>
        <w:rPr>
          <w:sz w:val="24"/>
        </w:rPr>
        <w:t>厂区内绿化隔离</w:t>
      </w:r>
    </w:p>
    <w:p>
      <w:pPr>
        <w:pStyle w:val="7"/>
        <w:spacing w:before="161" w:line="364" w:lineRule="auto"/>
        <w:ind w:right="455" w:firstLine="480"/>
      </w:pPr>
      <w:r>
        <w:rPr>
          <w:spacing w:val="-5"/>
        </w:rPr>
        <w:t>因鼠疫等疾病传染原因，绿化带需距离圈舍一定距离</w:t>
      </w:r>
      <w:r>
        <w:t>（</w:t>
      </w:r>
      <w:r>
        <w:rPr>
          <w:spacing w:val="-20"/>
        </w:rPr>
        <w:t>一般</w:t>
      </w:r>
      <w:r>
        <w:rPr>
          <w:rFonts w:ascii="Times New Roman" w:eastAsia="Times New Roman"/>
          <w:spacing w:val="-11"/>
        </w:rPr>
        <w:t>50m</w:t>
      </w:r>
      <w:r>
        <w:rPr>
          <w:spacing w:val="-11"/>
        </w:rPr>
        <w:t>）</w:t>
      </w:r>
      <w:r>
        <w:rPr>
          <w:spacing w:val="-3"/>
        </w:rPr>
        <w:t>，除此而</w:t>
      </w:r>
      <w:r>
        <w:rPr>
          <w:spacing w:val="-9"/>
        </w:rPr>
        <w:t>外，环评提出将场址内能绿化的地方都绿化，大量栽种当地吸尘、降噪、防毒植</w:t>
      </w:r>
      <w:r>
        <w:rPr>
          <w:spacing w:val="-16"/>
        </w:rPr>
        <w:t>物，例如松树，一方面可以起到隔音、净化空气、杀菌、滞尘的作用，另一方面，</w:t>
      </w:r>
      <w:r>
        <w:rPr>
          <w:spacing w:val="-8"/>
        </w:rPr>
        <w:t>也可以降低风速，减少厂区内的扬尘产生量，在一定程度上起到阻隔传播臭气的作用。</w:t>
      </w:r>
    </w:p>
    <w:p>
      <w:pPr>
        <w:pStyle w:val="18"/>
        <w:numPr>
          <w:ilvl w:val="3"/>
          <w:numId w:val="66"/>
        </w:numPr>
        <w:tabs>
          <w:tab w:val="left" w:pos="1320"/>
        </w:tabs>
        <w:spacing w:before="12" w:after="0" w:line="240" w:lineRule="auto"/>
        <w:ind w:left="1320" w:right="0" w:hanging="780"/>
        <w:jc w:val="left"/>
        <w:rPr>
          <w:sz w:val="24"/>
        </w:rPr>
      </w:pPr>
      <w:bookmarkStart w:id="372" w:name="6.2.1.2 畜禽无害化处理化制废气防治措施"/>
      <w:bookmarkEnd w:id="372"/>
      <w:bookmarkStart w:id="373" w:name="6.2.1.2 畜禽无害化处理化制废气防治措施"/>
      <w:bookmarkEnd w:id="373"/>
      <w:r>
        <w:rPr>
          <w:sz w:val="24"/>
        </w:rPr>
        <w:t>畜禽无害化处理化制废气防治措施</w:t>
      </w:r>
    </w:p>
    <w:p>
      <w:pPr>
        <w:pStyle w:val="7"/>
        <w:spacing w:before="168" w:line="364" w:lineRule="auto"/>
        <w:ind w:right="577" w:firstLine="480"/>
        <w:jc w:val="both"/>
      </w:pPr>
      <w:r>
        <w:rPr>
          <w:spacing w:val="-5"/>
        </w:rPr>
        <w:t>本项目病死羊废物采用干化法畜禽无害化处理方式处理。畜禽无害化处理过</w:t>
      </w:r>
      <w:r>
        <w:rPr>
          <w:spacing w:val="-10"/>
        </w:rPr>
        <w:t>程中，化制工序高温高压杀菌工段会产生废气，主要成分为水蒸气和恶臭，污染</w:t>
      </w:r>
      <w:r>
        <w:rPr>
          <w:spacing w:val="-20"/>
          <w:position w:val="2"/>
        </w:rPr>
        <w:t>物以</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计。</w:t>
      </w:r>
    </w:p>
    <w:p>
      <w:pPr>
        <w:pStyle w:val="7"/>
        <w:spacing w:before="46" w:line="357" w:lineRule="auto"/>
        <w:ind w:right="577" w:firstLine="480"/>
      </w:pPr>
      <w:r>
        <w:rPr>
          <w:spacing w:val="-4"/>
        </w:rPr>
        <w:t>该废气采用集中负压引流，先进行间接冷凝处理，</w:t>
      </w:r>
      <w:r>
        <w:rPr>
          <w:rFonts w:ascii="Times New Roman" w:eastAsia="Times New Roman"/>
          <w:spacing w:val="-7"/>
        </w:rPr>
        <w:t>90%</w:t>
      </w:r>
      <w:r>
        <w:rPr>
          <w:spacing w:val="-2"/>
        </w:rPr>
        <w:t>水蒸气在冷凝器中冷</w:t>
      </w:r>
      <w:r>
        <w:rPr>
          <w:spacing w:val="-9"/>
        </w:rPr>
        <w:t>凝下来成污水排入废水槽，收集后拉运至</w:t>
      </w:r>
      <w:r>
        <w:rPr>
          <w:rFonts w:hint="eastAsia"/>
          <w:spacing w:val="-9"/>
          <w:lang w:eastAsia="zh-CN"/>
        </w:rPr>
        <w:t>莎车</w:t>
      </w:r>
      <w:r>
        <w:rPr>
          <w:spacing w:val="-9"/>
        </w:rPr>
        <w:t>县污水处理站处理，剩余</w:t>
      </w:r>
      <w:r>
        <w:rPr>
          <w:rFonts w:ascii="Times New Roman" w:eastAsia="Times New Roman"/>
        </w:rPr>
        <w:t>10%</w:t>
      </w:r>
      <w:r>
        <w:rPr>
          <w:spacing w:val="-8"/>
        </w:rPr>
        <w:t>以水</w:t>
      </w:r>
      <w:r>
        <w:rPr>
          <w:spacing w:val="-2"/>
        </w:rPr>
        <w:t>蒸气的形式伴随其他废气引至光解除臭装置吸收处理，再经引风机引至</w:t>
      </w:r>
      <w:r>
        <w:rPr>
          <w:rFonts w:ascii="Times New Roman" w:eastAsia="Times New Roman"/>
        </w:rPr>
        <w:t>15m</w:t>
      </w:r>
      <w:r>
        <w:t>高</w:t>
      </w:r>
      <w:r>
        <w:rPr>
          <w:position w:val="2"/>
        </w:rPr>
        <w:t>排气筒集中排放，</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9"/>
          <w:position w:val="2"/>
          <w:vertAlign w:val="baseline"/>
        </w:rPr>
        <w:t>的去除率可达</w:t>
      </w:r>
      <w:r>
        <w:rPr>
          <w:rFonts w:ascii="Times New Roman" w:eastAsia="Times New Roman"/>
          <w:position w:val="2"/>
          <w:vertAlign w:val="baseline"/>
        </w:rPr>
        <w:t>90%</w:t>
      </w:r>
      <w:r>
        <w:rPr>
          <w:spacing w:val="-30"/>
          <w:position w:val="2"/>
          <w:vertAlign w:val="baseline"/>
        </w:rPr>
        <w:t>和</w:t>
      </w:r>
      <w:r>
        <w:rPr>
          <w:rFonts w:ascii="Times New Roman" w:eastAsia="Times New Roman"/>
          <w:position w:val="2"/>
          <w:vertAlign w:val="baseline"/>
        </w:rPr>
        <w:t>95%</w:t>
      </w:r>
      <w:r>
        <w:rPr>
          <w:position w:val="2"/>
          <w:vertAlign w:val="baseline"/>
        </w:rPr>
        <w:t>以上。</w:t>
      </w:r>
    </w:p>
    <w:p>
      <w:pPr>
        <w:pStyle w:val="18"/>
        <w:numPr>
          <w:ilvl w:val="3"/>
          <w:numId w:val="66"/>
        </w:numPr>
        <w:tabs>
          <w:tab w:val="left" w:pos="1320"/>
        </w:tabs>
        <w:spacing w:before="0" w:after="0" w:line="270" w:lineRule="exact"/>
        <w:ind w:left="1320" w:right="0" w:hanging="780"/>
        <w:jc w:val="left"/>
        <w:rPr>
          <w:sz w:val="24"/>
        </w:rPr>
      </w:pPr>
      <w:bookmarkStart w:id="374" w:name="6.2.1.3 光解除臭装置可行性分析"/>
      <w:bookmarkEnd w:id="374"/>
      <w:bookmarkStart w:id="375" w:name="6.2.1.3 光解除臭装置可行性分析"/>
      <w:bookmarkEnd w:id="375"/>
      <w:r>
        <w:rPr>
          <w:sz w:val="24"/>
        </w:rPr>
        <w:t>光解除臭装置可行性分析</w:t>
      </w:r>
    </w:p>
    <w:p>
      <w:pPr>
        <w:pStyle w:val="7"/>
        <w:spacing w:before="167"/>
        <w:ind w:left="1020"/>
      </w:pPr>
      <w:r>
        <w:t>光解除臭装置采用高能高臭氧</w:t>
      </w:r>
      <w:r>
        <w:rPr>
          <w:rFonts w:ascii="Times New Roman" w:eastAsia="Times New Roman"/>
        </w:rPr>
        <w:t>UV</w:t>
      </w:r>
      <w:r>
        <w:t>紫外线光束、氧化反应催化剂、高能离子</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485"/>
      </w:pPr>
      <w:r>
        <w:rPr>
          <w:spacing w:val="-1"/>
        </w:rPr>
        <w:t>发生装置的组合工艺来降解有机废气，改变恶臭、刺激型气体如：氨、三甲胺、</w:t>
      </w:r>
      <w:r>
        <w:rPr>
          <w:spacing w:val="-10"/>
        </w:rPr>
        <w:t>硫化氢、甲硫醇、甲硫醚、二甲二硫、苯、甲苯、二甲苯等的分子链结构，使有</w:t>
      </w:r>
      <w:r>
        <w:rPr>
          <w:spacing w:val="-15"/>
        </w:rPr>
        <w:t>机或无机高分子恶臭化合物分子链，通过高能紫外线光束照射、催化剂的氧化反</w:t>
      </w:r>
      <w:r>
        <w:rPr>
          <w:spacing w:val="-11"/>
          <w:position w:val="2"/>
        </w:rPr>
        <w:t>应、正氧离子的氧化反应，降解转变成低分子化合物，如</w:t>
      </w:r>
      <w:r>
        <w:rPr>
          <w:rFonts w:ascii="Times New Roman" w:eastAsia="Times New Roman"/>
          <w:position w:val="2"/>
        </w:rPr>
        <w:t>CO</w:t>
      </w:r>
      <w:r>
        <w:rPr>
          <w:rFonts w:ascii="Times New Roman" w:eastAsia="Times New Roman"/>
          <w:position w:val="2"/>
          <w:vertAlign w:val="subscript"/>
        </w:rPr>
        <w:t>2</w:t>
      </w:r>
      <w:r>
        <w:rPr>
          <w:spacing w:val="-20"/>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O</w:t>
      </w:r>
      <w:r>
        <w:rPr>
          <w:spacing w:val="-4"/>
          <w:position w:val="2"/>
          <w:vertAlign w:val="baseline"/>
        </w:rPr>
        <w:t>等，再通过</w:t>
      </w:r>
      <w:r>
        <w:rPr>
          <w:spacing w:val="-5"/>
          <w:vertAlign w:val="baseline"/>
        </w:rPr>
        <w:t>排风管道排出，排出的气体对大气环境不造成污染，达到保护大气环境的目的。</w:t>
      </w:r>
    </w:p>
    <w:p>
      <w:pPr>
        <w:pStyle w:val="7"/>
        <w:spacing w:line="306" w:lineRule="exact"/>
        <w:ind w:left="1020"/>
      </w:pPr>
      <w:r>
        <w:t>光解除臭装置处理恶臭气体有以下几方面的优点：</w:t>
      </w:r>
    </w:p>
    <w:p>
      <w:pPr>
        <w:pStyle w:val="7"/>
        <w:spacing w:before="160" w:line="364" w:lineRule="auto"/>
        <w:ind w:right="455" w:firstLine="480"/>
      </w:pPr>
      <w:r>
        <w:rPr>
          <w:rFonts w:ascii="Times New Roman" w:eastAsia="Times New Roman"/>
        </w:rPr>
        <w:t>a</w:t>
      </w:r>
      <w:r>
        <w:rPr>
          <w:spacing w:val="-9"/>
        </w:rPr>
        <w:t>、高效降解有机化学物：能高效去除挥发性有机物</w:t>
      </w:r>
      <w:r>
        <w:rPr>
          <w:spacing w:val="-12"/>
        </w:rPr>
        <w:t>（</w:t>
      </w:r>
      <w:r>
        <w:rPr>
          <w:rFonts w:ascii="Times New Roman" w:eastAsia="Times New Roman"/>
          <w:spacing w:val="-12"/>
        </w:rPr>
        <w:t>VOC</w:t>
      </w:r>
      <w:r>
        <w:rPr>
          <w:spacing w:val="-12"/>
        </w:rPr>
        <w:t>）</w:t>
      </w:r>
      <w:r>
        <w:rPr>
          <w:spacing w:val="-24"/>
        </w:rPr>
        <w:t>、无机物、</w:t>
      </w:r>
      <w:r>
        <w:rPr>
          <w:rFonts w:ascii="Times New Roman" w:eastAsia="Times New Roman"/>
        </w:rPr>
        <w:t>H2S</w:t>
      </w:r>
      <w:r>
        <w:rPr>
          <w:spacing w:val="-14"/>
        </w:rPr>
        <w:t>、</w:t>
      </w:r>
      <w:r>
        <w:rPr>
          <w:rFonts w:ascii="Times New Roman" w:eastAsia="Times New Roman"/>
        </w:rPr>
        <w:t>NH3</w:t>
      </w:r>
      <w:r>
        <w:rPr>
          <w:spacing w:val="-11"/>
        </w:rPr>
        <w:t>、硫醇类等主要污染物，以及各种恶臭味，脱臭效率可达</w:t>
      </w:r>
      <w:r>
        <w:rPr>
          <w:rFonts w:ascii="Times New Roman" w:eastAsia="Times New Roman"/>
        </w:rPr>
        <w:t>75%</w:t>
      </w:r>
      <w:r>
        <w:rPr>
          <w:spacing w:val="-5"/>
        </w:rPr>
        <w:t>以上，使恶臭气体排放浓度能够达到《恶臭污染物排放标准》（</w:t>
      </w:r>
      <w:r>
        <w:rPr>
          <w:rFonts w:ascii="Times New Roman" w:eastAsia="Times New Roman"/>
          <w:spacing w:val="-5"/>
        </w:rPr>
        <w:t>GB14554-93</w:t>
      </w:r>
      <w:r>
        <w:rPr>
          <w:spacing w:val="-5"/>
        </w:rPr>
        <w:t>）要求。</w:t>
      </w:r>
    </w:p>
    <w:p>
      <w:pPr>
        <w:pStyle w:val="7"/>
        <w:spacing w:before="2" w:line="364" w:lineRule="auto"/>
        <w:ind w:right="577" w:firstLine="480"/>
      </w:pPr>
      <w:r>
        <w:rPr>
          <w:rFonts w:ascii="Times New Roman" w:eastAsia="Times New Roman"/>
        </w:rPr>
        <w:t>b</w:t>
      </w:r>
      <w:r>
        <w:t>、无需添加任何物质：只需要设置相应的排风管道和排风动力，使气体通过本设备进行脱臭分解净化，无需添加任何物质参与化学反应。</w:t>
      </w:r>
    </w:p>
    <w:p>
      <w:pPr>
        <w:pStyle w:val="7"/>
        <w:spacing w:before="1" w:line="364" w:lineRule="auto"/>
        <w:ind w:right="457" w:firstLine="480"/>
      </w:pPr>
      <w:r>
        <w:rPr>
          <w:rFonts w:ascii="Times New Roman" w:eastAsia="Times New Roman"/>
        </w:rPr>
        <w:t>c</w:t>
      </w:r>
      <w:r>
        <w:rPr>
          <w:spacing w:val="-10"/>
        </w:rPr>
        <w:t>、适应性强：可适应高浓度，大气量，不同有机化学气体物质的净化处理，</w:t>
      </w:r>
      <w:r>
        <w:rPr>
          <w:spacing w:val="-15"/>
        </w:rPr>
        <w:t>可每天</w:t>
      </w:r>
      <w:r>
        <w:rPr>
          <w:rFonts w:ascii="Times New Roman" w:eastAsia="Times New Roman"/>
        </w:rPr>
        <w:t>24</w:t>
      </w:r>
      <w:r>
        <w:t>小时连续工作，运行稳定可靠。</w:t>
      </w:r>
    </w:p>
    <w:p>
      <w:pPr>
        <w:pStyle w:val="7"/>
        <w:spacing w:before="1" w:line="364" w:lineRule="auto"/>
        <w:ind w:right="575" w:firstLine="480"/>
        <w:jc w:val="both"/>
      </w:pPr>
      <w:r>
        <w:rPr>
          <w:rFonts w:ascii="Times New Roman" w:eastAsia="Times New Roman"/>
        </w:rPr>
        <w:t>d</w:t>
      </w:r>
      <w:r>
        <w:rPr>
          <w:spacing w:val="-1"/>
        </w:rPr>
        <w:t>、运行成本低：本设备无任何机械动作，无噪音，无需专人管理和日常维</w:t>
      </w:r>
      <w:r>
        <w:rPr>
          <w:spacing w:val="-11"/>
        </w:rPr>
        <w:t>护，只需作定期检查，本设备能耗低，</w:t>
      </w:r>
      <w:r>
        <w:rPr>
          <w:spacing w:val="-33"/>
        </w:rPr>
        <w:t>（</w:t>
      </w:r>
      <w:r>
        <w:rPr>
          <w:spacing w:val="-15"/>
        </w:rPr>
        <w:t>每处理</w:t>
      </w:r>
      <w:r>
        <w:rPr>
          <w:rFonts w:ascii="Times New Roman" w:eastAsia="Times New Roman"/>
        </w:rPr>
        <w:t>1000</w:t>
      </w:r>
      <w:r>
        <w:t>立方米</w:t>
      </w:r>
      <w:r>
        <w:rPr>
          <w:rFonts w:ascii="Times New Roman" w:eastAsia="Times New Roman"/>
        </w:rPr>
        <w:t>/</w:t>
      </w:r>
      <w:r>
        <w:rPr>
          <w:spacing w:val="-13"/>
        </w:rPr>
        <w:t>小时，仅耗电约</w:t>
      </w:r>
      <w:r>
        <w:rPr>
          <w:rFonts w:ascii="Times New Roman" w:eastAsia="Times New Roman"/>
          <w:spacing w:val="-5"/>
        </w:rPr>
        <w:t>0.1</w:t>
      </w:r>
      <w:r>
        <w:t>度电能），设备风阻极低＜</w:t>
      </w:r>
      <w:r>
        <w:rPr>
          <w:rFonts w:ascii="Times New Roman" w:eastAsia="Times New Roman"/>
        </w:rPr>
        <w:t>30pa</w:t>
      </w:r>
      <w:r>
        <w:t>，可节约大量排风动力能耗。</w:t>
      </w:r>
    </w:p>
    <w:p>
      <w:pPr>
        <w:pStyle w:val="7"/>
        <w:spacing w:before="2" w:line="364" w:lineRule="auto"/>
        <w:ind w:right="577" w:firstLine="480"/>
        <w:jc w:val="both"/>
      </w:pPr>
      <w:r>
        <w:rPr>
          <w:rFonts w:ascii="Times New Roman" w:hAnsi="Times New Roman" w:eastAsia="Times New Roman"/>
        </w:rPr>
        <w:t>e</w:t>
      </w:r>
      <w:r>
        <w:t>、无需预处理：废气无需进行特殊的预处理，如加温、加湿等，设备工作环境温度在摄氏－</w:t>
      </w:r>
      <w:r>
        <w:rPr>
          <w:rFonts w:ascii="Times New Roman" w:hAnsi="Times New Roman" w:eastAsia="Times New Roman"/>
        </w:rPr>
        <w:t>30</w:t>
      </w:r>
      <w:r>
        <w:t>°～</w:t>
      </w:r>
      <w:r>
        <w:rPr>
          <w:rFonts w:ascii="Times New Roman" w:hAnsi="Times New Roman" w:eastAsia="Times New Roman"/>
        </w:rPr>
        <w:t>95</w:t>
      </w:r>
      <w:r>
        <w:t>°之间，湿度在</w:t>
      </w:r>
      <w:r>
        <w:rPr>
          <w:rFonts w:ascii="Times New Roman" w:hAnsi="Times New Roman" w:eastAsia="Times New Roman"/>
        </w:rPr>
        <w:t>40%</w:t>
      </w:r>
      <w:r>
        <w:t>～</w:t>
      </w:r>
      <w:r>
        <w:rPr>
          <w:rFonts w:ascii="Times New Roman" w:hAnsi="Times New Roman" w:eastAsia="Times New Roman"/>
        </w:rPr>
        <w:t>98%</w:t>
      </w:r>
      <w:r>
        <w:t>之间均可正常工作。</w:t>
      </w:r>
    </w:p>
    <w:p>
      <w:pPr>
        <w:pStyle w:val="7"/>
        <w:spacing w:before="1" w:line="364" w:lineRule="auto"/>
        <w:ind w:left="1020" w:right="577"/>
      </w:pPr>
      <w:r>
        <w:rPr>
          <w:rFonts w:ascii="Times New Roman" w:eastAsia="Times New Roman"/>
        </w:rPr>
        <w:t>f</w:t>
      </w:r>
      <w:r>
        <w:t>、设备占地面积小，自重轻：适合于布置紧凑、场地狭小等特殊条件。</w:t>
      </w:r>
      <w:r>
        <w:rPr>
          <w:spacing w:val="-10"/>
        </w:rPr>
        <w:t>综合分析，光解除臭装置可有效处理羊粪发酵恶臭，减轻恶臭对大气环境的</w:t>
      </w:r>
    </w:p>
    <w:p>
      <w:pPr>
        <w:pStyle w:val="7"/>
        <w:spacing w:before="2"/>
      </w:pPr>
      <w:r>
        <w:t>影响，方案可行。</w:t>
      </w:r>
    </w:p>
    <w:p>
      <w:pPr>
        <w:pStyle w:val="18"/>
        <w:numPr>
          <w:ilvl w:val="3"/>
          <w:numId w:val="66"/>
        </w:numPr>
        <w:tabs>
          <w:tab w:val="left" w:pos="1320"/>
        </w:tabs>
        <w:spacing w:before="170" w:after="0" w:line="240" w:lineRule="auto"/>
        <w:ind w:left="1320" w:right="0" w:hanging="780"/>
        <w:jc w:val="left"/>
        <w:rPr>
          <w:sz w:val="24"/>
        </w:rPr>
      </w:pPr>
      <w:bookmarkStart w:id="376" w:name="6.2.1.4 恶臭污染防治措施"/>
      <w:bookmarkEnd w:id="376"/>
      <w:bookmarkStart w:id="377" w:name="6.2.1.4 恶臭污染防治措施"/>
      <w:bookmarkEnd w:id="377"/>
      <w:r>
        <w:rPr>
          <w:sz w:val="24"/>
        </w:rPr>
        <w:t>恶臭污染防治措施</w:t>
      </w:r>
    </w:p>
    <w:p>
      <w:pPr>
        <w:pStyle w:val="7"/>
        <w:spacing w:before="167" w:line="364" w:lineRule="auto"/>
        <w:ind w:right="575" w:firstLine="480"/>
      </w:pPr>
      <w:r>
        <w:rPr>
          <w:spacing w:val="-9"/>
        </w:rPr>
        <w:t>根据上述要求，为了使项目恶臭对周边环境影响降到最低，针对本项目，环</w:t>
      </w:r>
      <w:r>
        <w:t>评建议项目增加的恶臭污染防治措施如下：</w:t>
      </w:r>
    </w:p>
    <w:p>
      <w:pPr>
        <w:pStyle w:val="18"/>
        <w:numPr>
          <w:ilvl w:val="0"/>
          <w:numId w:val="67"/>
        </w:numPr>
        <w:tabs>
          <w:tab w:val="left" w:pos="1621"/>
        </w:tabs>
        <w:spacing w:before="2" w:after="0" w:line="240" w:lineRule="auto"/>
        <w:ind w:left="1621" w:right="0" w:hanging="601"/>
        <w:jc w:val="left"/>
        <w:rPr>
          <w:sz w:val="24"/>
        </w:rPr>
      </w:pPr>
      <w:r>
        <w:rPr>
          <w:sz w:val="24"/>
        </w:rPr>
        <w:t>项目粪便堆肥间设计为密封形式，并做好防渗。</w:t>
      </w:r>
    </w:p>
    <w:p>
      <w:pPr>
        <w:pStyle w:val="18"/>
        <w:numPr>
          <w:ilvl w:val="0"/>
          <w:numId w:val="67"/>
        </w:numPr>
        <w:tabs>
          <w:tab w:val="left" w:pos="1621"/>
        </w:tabs>
        <w:spacing w:before="160" w:after="0" w:line="364" w:lineRule="auto"/>
        <w:ind w:left="540" w:right="580" w:firstLine="480"/>
        <w:jc w:val="left"/>
        <w:rPr>
          <w:sz w:val="24"/>
        </w:rPr>
      </w:pPr>
      <w:r>
        <w:rPr>
          <w:spacing w:val="-1"/>
          <w:sz w:val="24"/>
        </w:rPr>
        <w:t>项目羊粪堆肥过程，可向粪便投放沸石、锯末、秸秆、泥炭等含纤维</w:t>
      </w:r>
      <w:r>
        <w:rPr>
          <w:sz w:val="24"/>
        </w:rPr>
        <w:t>素和木质素较多的吸附剂以减少羊粪处理过程产生的臭气。</w:t>
      </w:r>
    </w:p>
    <w:p>
      <w:pPr>
        <w:pStyle w:val="18"/>
        <w:numPr>
          <w:ilvl w:val="0"/>
          <w:numId w:val="67"/>
        </w:numPr>
        <w:tabs>
          <w:tab w:val="left" w:pos="1621"/>
        </w:tabs>
        <w:spacing w:before="1" w:after="0" w:line="364" w:lineRule="auto"/>
        <w:ind w:left="540" w:right="580" w:firstLine="480"/>
        <w:jc w:val="left"/>
        <w:rPr>
          <w:sz w:val="24"/>
        </w:rPr>
      </w:pPr>
      <w:r>
        <w:rPr>
          <w:spacing w:val="-1"/>
          <w:sz w:val="24"/>
        </w:rPr>
        <w:t>项目堆肥场卸粪口位置喷淋生化除臭剂，除臭剂可以选择双氧水、次</w:t>
      </w:r>
      <w:r>
        <w:rPr>
          <w:sz w:val="24"/>
        </w:rPr>
        <w:t>氯酸钠、臭氧等。</w:t>
      </w:r>
    </w:p>
    <w:p>
      <w:pPr>
        <w:spacing w:after="0" w:line="364"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18"/>
        <w:numPr>
          <w:ilvl w:val="0"/>
          <w:numId w:val="67"/>
        </w:numPr>
        <w:tabs>
          <w:tab w:val="left" w:pos="1621"/>
        </w:tabs>
        <w:spacing w:before="143" w:after="0" w:line="364" w:lineRule="auto"/>
        <w:ind w:left="540" w:right="457" w:firstLine="480"/>
        <w:jc w:val="left"/>
        <w:rPr>
          <w:sz w:val="24"/>
        </w:rPr>
      </w:pPr>
      <w:r>
        <w:rPr>
          <w:spacing w:val="-12"/>
          <w:sz w:val="24"/>
        </w:rPr>
        <w:t>项目设置</w:t>
      </w:r>
      <w:r>
        <w:rPr>
          <w:rFonts w:ascii="Times New Roman" w:eastAsia="Times New Roman"/>
          <w:sz w:val="24"/>
        </w:rPr>
        <w:t>500m</w:t>
      </w:r>
      <w:r>
        <w:rPr>
          <w:spacing w:val="-5"/>
          <w:sz w:val="24"/>
        </w:rPr>
        <w:t>卫生防护距离，在该卫生防护距离内禁止建设居民区、</w:t>
      </w:r>
      <w:r>
        <w:rPr>
          <w:sz w:val="24"/>
        </w:rPr>
        <w:t>学校等其他敏感点。</w:t>
      </w:r>
    </w:p>
    <w:p>
      <w:pPr>
        <w:pStyle w:val="18"/>
        <w:numPr>
          <w:ilvl w:val="0"/>
          <w:numId w:val="67"/>
        </w:numPr>
        <w:tabs>
          <w:tab w:val="left" w:pos="1621"/>
        </w:tabs>
        <w:spacing w:before="1" w:after="0" w:line="364" w:lineRule="auto"/>
        <w:ind w:left="540" w:right="580" w:firstLine="480"/>
        <w:jc w:val="left"/>
        <w:rPr>
          <w:sz w:val="24"/>
        </w:rPr>
      </w:pPr>
      <w:r>
        <w:rPr>
          <w:spacing w:val="-1"/>
          <w:sz w:val="24"/>
        </w:rPr>
        <w:t>蚊蝇孳生季节喷洒虫卵消灭液，杜绝蚊蝇的生长，避免对附近居民的</w:t>
      </w:r>
      <w:r>
        <w:rPr>
          <w:sz w:val="24"/>
        </w:rPr>
        <w:t>影响。</w:t>
      </w:r>
    </w:p>
    <w:p>
      <w:pPr>
        <w:pStyle w:val="7"/>
        <w:spacing w:before="1" w:line="364" w:lineRule="auto"/>
        <w:ind w:right="577" w:firstLine="480"/>
      </w:pPr>
      <w:r>
        <w:rPr>
          <w:spacing w:val="-5"/>
        </w:rPr>
        <w:t>通过采取项目设计及环评建议的恶臭污染防治措施后，项目运营期产生的恶</w:t>
      </w:r>
      <w:r>
        <w:t>臭气体对周边环境影响不大，采取的措施是可行的。</w:t>
      </w:r>
    </w:p>
    <w:p>
      <w:pPr>
        <w:pStyle w:val="5"/>
        <w:numPr>
          <w:ilvl w:val="2"/>
          <w:numId w:val="62"/>
        </w:numPr>
        <w:tabs>
          <w:tab w:val="left" w:pos="1241"/>
        </w:tabs>
        <w:spacing w:before="115" w:after="0" w:line="240" w:lineRule="auto"/>
        <w:ind w:left="1240" w:right="0" w:hanging="701"/>
        <w:jc w:val="left"/>
        <w:outlineLvl w:val="2"/>
      </w:pPr>
      <w:bookmarkStart w:id="378" w:name="6.2.2 水污染防治措施分析"/>
      <w:bookmarkEnd w:id="378"/>
      <w:bookmarkStart w:id="379" w:name="6.2.2 水污染防治措施分析"/>
      <w:bookmarkEnd w:id="379"/>
      <w:bookmarkStart w:id="380" w:name="_Toc10450"/>
      <w:r>
        <w:t>水污染防治措施分析</w:t>
      </w:r>
      <w:bookmarkEnd w:id="380"/>
    </w:p>
    <w:p>
      <w:pPr>
        <w:pStyle w:val="7"/>
        <w:spacing w:before="2"/>
        <w:ind w:left="0"/>
        <w:rPr>
          <w:b/>
          <w:sz w:val="22"/>
        </w:rPr>
      </w:pPr>
    </w:p>
    <w:p>
      <w:pPr>
        <w:pStyle w:val="18"/>
        <w:numPr>
          <w:ilvl w:val="3"/>
          <w:numId w:val="68"/>
        </w:numPr>
        <w:tabs>
          <w:tab w:val="left" w:pos="1320"/>
        </w:tabs>
        <w:spacing w:before="0" w:after="0" w:line="240" w:lineRule="auto"/>
        <w:ind w:left="1320" w:right="0" w:hanging="780"/>
        <w:jc w:val="left"/>
        <w:rPr>
          <w:sz w:val="24"/>
        </w:rPr>
      </w:pPr>
      <w:bookmarkStart w:id="381" w:name="6.2.2.1 雨水"/>
      <w:bookmarkEnd w:id="381"/>
      <w:bookmarkStart w:id="382" w:name="6.2.2.1 雨水"/>
      <w:bookmarkEnd w:id="382"/>
      <w:r>
        <w:rPr>
          <w:sz w:val="24"/>
        </w:rPr>
        <w:t>雨水</w:t>
      </w:r>
    </w:p>
    <w:p>
      <w:pPr>
        <w:pStyle w:val="7"/>
        <w:spacing w:before="167" w:line="364" w:lineRule="auto"/>
        <w:ind w:right="577" w:firstLine="480"/>
        <w:jc w:val="both"/>
      </w:pPr>
      <w:r>
        <w:rPr>
          <w:spacing w:val="-7"/>
        </w:rPr>
        <w:t>本项目根据养殖场内地形，基地场地排水采用无组织排水。在施工中将场地</w:t>
      </w:r>
      <w:r>
        <w:rPr>
          <w:spacing w:val="-10"/>
        </w:rPr>
        <w:t>适当填方，略高于周围地坪，以使建筑有良好的视角，并为雨水的排放提供便利</w:t>
      </w:r>
      <w:r>
        <w:t>条件，地表雨水均排入周围绿化带。</w:t>
      </w:r>
    </w:p>
    <w:p>
      <w:pPr>
        <w:pStyle w:val="18"/>
        <w:numPr>
          <w:ilvl w:val="3"/>
          <w:numId w:val="68"/>
        </w:numPr>
        <w:tabs>
          <w:tab w:val="left" w:pos="1320"/>
        </w:tabs>
        <w:spacing w:before="12" w:after="0" w:line="240" w:lineRule="auto"/>
        <w:ind w:left="1320" w:right="0" w:hanging="780"/>
        <w:jc w:val="left"/>
        <w:rPr>
          <w:sz w:val="24"/>
        </w:rPr>
      </w:pPr>
      <w:bookmarkStart w:id="383" w:name="6.2.2.2 污水"/>
      <w:bookmarkEnd w:id="383"/>
      <w:bookmarkStart w:id="384" w:name="6.2.2.2 污水"/>
      <w:bookmarkEnd w:id="384"/>
      <w:r>
        <w:rPr>
          <w:sz w:val="24"/>
        </w:rPr>
        <w:t>污水</w:t>
      </w:r>
    </w:p>
    <w:p>
      <w:pPr>
        <w:pStyle w:val="7"/>
        <w:spacing w:before="168"/>
        <w:ind w:left="1020"/>
      </w:pPr>
      <w:r>
        <w:t>（</w:t>
      </w:r>
      <w:r>
        <w:rPr>
          <w:rFonts w:ascii="Times New Roman" w:eastAsia="Times New Roman"/>
        </w:rPr>
        <w:t>1</w:t>
      </w:r>
      <w:r>
        <w:t>）养殖废水</w:t>
      </w:r>
    </w:p>
    <w:p>
      <w:pPr>
        <w:pStyle w:val="7"/>
        <w:spacing w:before="160" w:line="364" w:lineRule="auto"/>
        <w:ind w:right="572" w:firstLine="480"/>
        <w:jc w:val="both"/>
        <w:rPr>
          <w:color w:val="0000FF"/>
        </w:rPr>
      </w:pPr>
      <w:r>
        <w:rPr>
          <w:color w:val="0000FF"/>
          <w:spacing w:val="-8"/>
        </w:rPr>
        <w:t>本项目采用干清粪工艺，不产生圈舍冲洗废水；羊饮水一部分参与羊的新陈</w:t>
      </w:r>
      <w:r>
        <w:rPr>
          <w:color w:val="0000FF"/>
          <w:spacing w:val="-10"/>
        </w:rPr>
        <w:t>代谢，另一部分饮水以尿液的方式排放，根据工程分析章节，本项目羊尿液产生</w:t>
      </w:r>
      <w:r>
        <w:rPr>
          <w:color w:val="0000FF"/>
          <w:spacing w:val="-23"/>
        </w:rPr>
        <w:t>量为</w:t>
      </w:r>
      <w:r>
        <w:rPr>
          <w:rFonts w:hint="eastAsia" w:ascii="Times New Roman" w:eastAsia="宋体"/>
          <w:color w:val="0000FF"/>
          <w:lang w:val="en-US" w:eastAsia="zh-CN"/>
        </w:rPr>
        <w:t>24090</w:t>
      </w:r>
      <w:r>
        <w:rPr>
          <w:rFonts w:ascii="Times New Roman" w:eastAsia="Times New Roman"/>
          <w:color w:val="0000FF"/>
        </w:rPr>
        <w:t>m</w:t>
      </w:r>
      <w:r>
        <w:rPr>
          <w:rFonts w:ascii="Times New Roman" w:eastAsia="Times New Roman"/>
          <w:color w:val="0000FF"/>
          <w:position w:val="8"/>
          <w:sz w:val="15"/>
        </w:rPr>
        <w:t>3</w:t>
      </w:r>
      <w:r>
        <w:rPr>
          <w:rFonts w:ascii="Times New Roman" w:eastAsia="Times New Roman"/>
          <w:color w:val="0000FF"/>
        </w:rPr>
        <w:t>/a</w:t>
      </w:r>
      <w:r>
        <w:rPr>
          <w:color w:val="0000FF"/>
        </w:rPr>
        <w:t>（</w:t>
      </w:r>
      <w:r>
        <w:rPr>
          <w:rFonts w:hint="eastAsia"/>
          <w:color w:val="0000FF"/>
          <w:lang w:val="en-US" w:eastAsia="zh-CN"/>
        </w:rPr>
        <w:t>66</w:t>
      </w:r>
      <w:r>
        <w:rPr>
          <w:rFonts w:ascii="Times New Roman" w:eastAsia="Times New Roman"/>
          <w:color w:val="0000FF"/>
        </w:rPr>
        <w:t>m</w:t>
      </w:r>
      <w:r>
        <w:rPr>
          <w:rFonts w:ascii="Times New Roman" w:eastAsia="Times New Roman"/>
          <w:color w:val="0000FF"/>
          <w:position w:val="8"/>
          <w:sz w:val="15"/>
        </w:rPr>
        <w:t>3</w:t>
      </w:r>
      <w:r>
        <w:rPr>
          <w:rFonts w:ascii="Times New Roman" w:eastAsia="Times New Roman"/>
          <w:color w:val="0000FF"/>
        </w:rPr>
        <w:t>/d</w:t>
      </w:r>
      <w:r>
        <w:rPr>
          <w:color w:val="0000FF"/>
        </w:rPr>
        <w:t>），</w:t>
      </w:r>
      <w:r>
        <w:rPr>
          <w:color w:val="0000FF"/>
          <w:spacing w:val="-2"/>
        </w:rPr>
        <w:t>项目区夏季蒸发量很大，羊尿主要和粪便混合在一</w:t>
      </w:r>
      <w:r>
        <w:rPr>
          <w:color w:val="0000FF"/>
        </w:rPr>
        <w:t>起，每日及时清除，不进入排水系统。</w:t>
      </w:r>
    </w:p>
    <w:p>
      <w:pPr>
        <w:pStyle w:val="7"/>
        <w:spacing w:before="2" w:line="364" w:lineRule="auto"/>
        <w:ind w:right="485" w:firstLine="480"/>
      </w:pPr>
      <w:r>
        <w:rPr>
          <w:spacing w:val="-4"/>
        </w:rPr>
        <w:t>养殖场每栋羊舍地面为混凝土地面，上端覆盖</w:t>
      </w:r>
      <w:r>
        <w:rPr>
          <w:rFonts w:ascii="Times New Roman" w:eastAsia="Times New Roman"/>
        </w:rPr>
        <w:t>35cm</w:t>
      </w:r>
      <w:r>
        <w:rPr>
          <w:spacing w:val="-4"/>
        </w:rPr>
        <w:t>厚垫料，铺设垫床一般</w:t>
      </w:r>
      <w:r>
        <w:rPr>
          <w:spacing w:val="-11"/>
        </w:rPr>
        <w:t>采用废气杂草、农作物秸秆粉、锯末等农业材料，羊排泄的尿液被垫料吸收、蒸</w:t>
      </w:r>
      <w:r>
        <w:rPr>
          <w:spacing w:val="-10"/>
        </w:rPr>
        <w:t>发，项目定期对垫料层和粪便进行清理更换，不需要对畜舍进行冲洗，无冲栏废</w:t>
      </w:r>
      <w:r>
        <w:rPr>
          <w:spacing w:val="-11"/>
        </w:rPr>
        <w:t>水产生。垫料层与羊粪一起进入堆肥厂堆肥发酵，废水实现综合利用，不外排。</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p>
    <w:p>
      <w:pPr>
        <w:pStyle w:val="7"/>
        <w:spacing w:before="3" w:line="364" w:lineRule="auto"/>
        <w:ind w:right="457" w:firstLine="480"/>
      </w:pPr>
      <w:r>
        <w:rPr>
          <w:spacing w:val="-2"/>
        </w:rPr>
        <w:t>项目进场需对车辆进行消毒处理，设置消毒池，每车消毒耗水约为</w:t>
      </w:r>
      <w:r>
        <w:rPr>
          <w:rFonts w:ascii="Times New Roman" w:eastAsia="Times New Roman"/>
          <w:spacing w:val="-3"/>
        </w:rPr>
        <w:t>0.05m</w:t>
      </w:r>
      <w:r>
        <w:rPr>
          <w:rFonts w:ascii="Times New Roman" w:eastAsia="Times New Roman"/>
          <w:spacing w:val="-3"/>
          <w:position w:val="8"/>
          <w:sz w:val="15"/>
        </w:rPr>
        <w:t>3</w:t>
      </w:r>
      <w:r>
        <w:rPr>
          <w:spacing w:val="-3"/>
        </w:rPr>
        <w:t>，</w:t>
      </w:r>
      <w:r>
        <w:rPr>
          <w:spacing w:val="-6"/>
        </w:rPr>
        <w:t>进入厂区车辆平均约</w:t>
      </w:r>
      <w:r>
        <w:rPr>
          <w:rFonts w:ascii="Times New Roman" w:eastAsia="Times New Roman"/>
        </w:rPr>
        <w:t>2</w:t>
      </w:r>
      <w:r>
        <w:t>辆</w:t>
      </w:r>
      <w:r>
        <w:rPr>
          <w:rFonts w:ascii="Times New Roman" w:eastAsia="Times New Roman"/>
        </w:rPr>
        <w:t>/d</w:t>
      </w:r>
      <w:r>
        <w:rPr>
          <w:spacing w:val="-4"/>
        </w:rPr>
        <w:t>，则每天车辆消毒用水量为</w:t>
      </w:r>
      <w:r>
        <w:rPr>
          <w:rFonts w:ascii="Times New Roman" w:eastAsia="Times New Roman"/>
        </w:rPr>
        <w:t>0.1m</w:t>
      </w:r>
      <w:r>
        <w:rPr>
          <w:rFonts w:ascii="Times New Roman" w:eastAsia="Times New Roman"/>
          <w:position w:val="8"/>
          <w:sz w:val="15"/>
        </w:rPr>
        <w:t>3</w:t>
      </w:r>
      <w:r>
        <w:rPr>
          <w:rFonts w:ascii="Times New Roman" w:eastAsia="Times New Roman"/>
        </w:rPr>
        <w:t>/d</w:t>
      </w:r>
      <w:r>
        <w:t>。消毒用水量较小，不会在厂区形成径流，随之蒸发。</w:t>
      </w:r>
    </w:p>
    <w:p>
      <w:pPr>
        <w:pStyle w:val="7"/>
        <w:spacing w:before="2" w:line="364" w:lineRule="auto"/>
        <w:ind w:right="572" w:firstLine="480"/>
        <w:jc w:val="both"/>
        <w:rPr>
          <w:color w:val="0000FF"/>
        </w:rPr>
      </w:pPr>
      <w:r>
        <w:rPr>
          <w:color w:val="0000FF"/>
          <w:spacing w:val="-6"/>
        </w:rPr>
        <w:t>本项目厂内绿化面积为</w:t>
      </w:r>
      <w:r>
        <w:rPr>
          <w:rFonts w:hint="eastAsia" w:ascii="Times New Roman" w:hAnsi="Times New Roman"/>
          <w:color w:val="0000FF"/>
          <w:lang w:val="en-US" w:eastAsia="zh-CN"/>
        </w:rPr>
        <w:t>3109.5</w:t>
      </w:r>
      <w:r>
        <w:rPr>
          <w:rFonts w:ascii="Times New Roman" w:hAnsi="Times New Roman" w:eastAsia="Times New Roman"/>
          <w:color w:val="0000FF"/>
        </w:rPr>
        <w:t>m</w:t>
      </w:r>
      <w:r>
        <w:rPr>
          <w:rFonts w:ascii="Times New Roman" w:hAnsi="Times New Roman" w:eastAsia="Times New Roman"/>
          <w:color w:val="0000FF"/>
          <w:position w:val="8"/>
          <w:sz w:val="15"/>
        </w:rPr>
        <w:t>2</w:t>
      </w:r>
      <w:r>
        <w:rPr>
          <w:color w:val="0000FF"/>
        </w:rPr>
        <w:t>（</w:t>
      </w:r>
      <w:r>
        <w:rPr>
          <w:rFonts w:hint="eastAsia"/>
          <w:color w:val="0000FF"/>
          <w:lang w:val="en-US" w:eastAsia="zh-CN"/>
        </w:rPr>
        <w:t>4.66</w:t>
      </w:r>
      <w:r>
        <w:rPr>
          <w:color w:val="0000FF"/>
        </w:rPr>
        <w:t>亩），</w:t>
      </w:r>
      <w:r>
        <w:rPr>
          <w:color w:val="0000FF"/>
          <w:spacing w:val="-7"/>
        </w:rPr>
        <w:t>绿化用水定额取</w:t>
      </w:r>
      <w:r>
        <w:rPr>
          <w:rFonts w:ascii="Times New Roman" w:hAnsi="Times New Roman" w:eastAsia="Times New Roman"/>
          <w:color w:val="0000FF"/>
        </w:rPr>
        <w:t>500m</w:t>
      </w:r>
      <w:r>
        <w:rPr>
          <w:rFonts w:ascii="Times New Roman" w:hAnsi="Times New Roman" w:eastAsia="Times New Roman"/>
          <w:color w:val="0000FF"/>
          <w:position w:val="8"/>
          <w:sz w:val="15"/>
        </w:rPr>
        <w:t>3</w:t>
      </w:r>
      <w:r>
        <w:rPr>
          <w:rFonts w:ascii="Times New Roman" w:hAnsi="Times New Roman" w:eastAsia="Times New Roman"/>
          <w:color w:val="0000FF"/>
        </w:rPr>
        <w:t>/</w:t>
      </w:r>
      <w:r>
        <w:rPr>
          <w:color w:val="0000FF"/>
        </w:rPr>
        <w:t>（亩</w:t>
      </w:r>
      <w:r>
        <w:rPr>
          <w:rFonts w:ascii="Times New Roman" w:hAnsi="Times New Roman" w:eastAsia="Times New Roman"/>
          <w:color w:val="0000FF"/>
          <w:spacing w:val="-12"/>
        </w:rPr>
        <w:t>•</w:t>
      </w:r>
      <w:r>
        <w:rPr>
          <w:color w:val="0000FF"/>
        </w:rPr>
        <w:t>年），</w:t>
      </w:r>
      <w:r>
        <w:rPr>
          <w:color w:val="0000FF"/>
          <w:spacing w:val="-4"/>
        </w:rPr>
        <w:t>则运营期年用水量约</w:t>
      </w:r>
      <w:r>
        <w:rPr>
          <w:rFonts w:hint="eastAsia" w:ascii="Times New Roman" w:hAnsi="Times New Roman"/>
          <w:color w:val="0000FF"/>
          <w:lang w:val="en-US" w:eastAsia="zh-CN"/>
        </w:rPr>
        <w:t>2330</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/a</w:t>
      </w:r>
      <w:r>
        <w:rPr>
          <w:color w:val="0000FF"/>
        </w:rPr>
        <w:t>（</w:t>
      </w:r>
      <w:r>
        <w:rPr>
          <w:rFonts w:hint="eastAsia" w:ascii="Times New Roman" w:hAnsi="Times New Roman"/>
          <w:color w:val="0000FF"/>
          <w:lang w:val="en-US" w:eastAsia="zh-CN"/>
        </w:rPr>
        <w:t>6.4</w:t>
      </w:r>
      <w:r>
        <w:rPr>
          <w:rFonts w:ascii="Times New Roman" w:hAnsi="Times New Roman" w:eastAsia="Times New Roman"/>
          <w:color w:val="0000FF"/>
        </w:rPr>
        <w:t>m</w:t>
      </w:r>
      <w:r>
        <w:rPr>
          <w:rFonts w:ascii="Times New Roman" w:hAnsi="Times New Roman" w:eastAsia="Times New Roman"/>
          <w:color w:val="0000FF"/>
          <w:position w:val="8"/>
          <w:sz w:val="15"/>
        </w:rPr>
        <w:t>3</w:t>
      </w:r>
      <w:r>
        <w:rPr>
          <w:rFonts w:ascii="Times New Roman" w:hAnsi="Times New Roman" w:eastAsia="Times New Roman"/>
          <w:color w:val="0000FF"/>
        </w:rPr>
        <w:t>/d</w:t>
      </w:r>
      <w:r>
        <w:rPr>
          <w:color w:val="0000FF"/>
        </w:rPr>
        <w:t>），绿化用水全部被植物和土壤吸收。</w:t>
      </w:r>
    </w:p>
    <w:p>
      <w:pPr>
        <w:pStyle w:val="7"/>
        <w:spacing w:before="143" w:line="364" w:lineRule="auto"/>
        <w:ind w:right="485"/>
        <w:rPr>
          <w:vertAlign w:val="baseline"/>
        </w:rPr>
      </w:pPr>
      <w:r>
        <w:t>畜禽无害化处理车间化制废水：病死羊所含水中</w:t>
      </w:r>
      <w:r>
        <w:rPr>
          <w:rFonts w:ascii="Times New Roman" w:eastAsia="Times New Roman"/>
        </w:rPr>
        <w:t>80%</w:t>
      </w:r>
      <w:r>
        <w:t>在化制过程中转化为水</w:t>
      </w:r>
      <w:r>
        <w:rPr>
          <w:color w:val="0000FF"/>
          <w:spacing w:val="-16"/>
        </w:rPr>
        <w:t>蒸气形式，剩余</w:t>
      </w:r>
      <w:r>
        <w:rPr>
          <w:rFonts w:ascii="Times New Roman" w:eastAsia="Times New Roman"/>
          <w:color w:val="0000FF"/>
        </w:rPr>
        <w:t>20%</w:t>
      </w:r>
      <w:r>
        <w:rPr>
          <w:color w:val="0000FF"/>
          <w:spacing w:val="-4"/>
        </w:rPr>
        <w:t>存在于化制所形成的肉骨粉和油脂中；所转化的水蒸气最终</w:t>
      </w:r>
      <w:r>
        <w:rPr>
          <w:color w:val="0000FF"/>
          <w:spacing w:val="-27"/>
        </w:rPr>
        <w:t>有</w:t>
      </w:r>
      <w:r>
        <w:rPr>
          <w:rFonts w:ascii="Times New Roman" w:eastAsia="Times New Roman"/>
          <w:color w:val="0000FF"/>
        </w:rPr>
        <w:t>90%</w:t>
      </w:r>
      <w:r>
        <w:rPr>
          <w:color w:val="0000FF"/>
          <w:spacing w:val="-4"/>
        </w:rPr>
        <w:t>在冷凝器中冷凝下来，剩余</w:t>
      </w:r>
      <w:r>
        <w:rPr>
          <w:rFonts w:ascii="Times New Roman" w:eastAsia="Times New Roman"/>
          <w:color w:val="0000FF"/>
        </w:rPr>
        <w:t>10%</w:t>
      </w:r>
      <w:r>
        <w:rPr>
          <w:color w:val="0000FF"/>
        </w:rPr>
        <w:t>以水蒸气的形式伴随其他废气排出，则</w:t>
      </w:r>
      <w:r>
        <w:rPr>
          <w:color w:val="0000FF"/>
          <w:spacing w:val="-4"/>
        </w:rPr>
        <w:t>本项目化制冷凝废水产生量为</w:t>
      </w:r>
      <w:r>
        <w:rPr>
          <w:rFonts w:hint="eastAsia" w:ascii="Times New Roman" w:eastAsia="宋体"/>
          <w:color w:val="0000FF"/>
          <w:lang w:val="en-US" w:eastAsia="zh-CN"/>
        </w:rPr>
        <w:t>7.2</w:t>
      </w:r>
      <w:r>
        <w:rPr>
          <w:rFonts w:ascii="Times New Roman" w:eastAsia="Times New Roman"/>
          <w:color w:val="0000FF"/>
        </w:rPr>
        <w:t>t/a</w:t>
      </w:r>
      <w:r>
        <w:rPr>
          <w:color w:val="0000FF"/>
        </w:rPr>
        <w:t>。</w:t>
      </w:r>
      <w:r>
        <w:t>通过类比，此类废水主要污染物产生浓</w:t>
      </w:r>
      <w:r>
        <w:rPr>
          <w:spacing w:val="-19"/>
          <w:position w:val="2"/>
        </w:rPr>
        <w:t>度为</w:t>
      </w:r>
      <w:r>
        <w:rPr>
          <w:rFonts w:ascii="Times New Roman" w:eastAsia="Times New Roman"/>
          <w:spacing w:val="-3"/>
          <w:position w:val="2"/>
        </w:rPr>
        <w:t>COD</w:t>
      </w:r>
      <w:r>
        <w:rPr>
          <w:rFonts w:ascii="Times New Roman" w:eastAsia="Times New Roman"/>
          <w:spacing w:val="-3"/>
          <w:position w:val="2"/>
          <w:vertAlign w:val="subscript"/>
        </w:rPr>
        <w:t>cr</w:t>
      </w:r>
      <w:r>
        <w:rPr>
          <w:rFonts w:ascii="Times New Roman" w:eastAsia="Times New Roman"/>
          <w:spacing w:val="-3"/>
          <w:position w:val="2"/>
          <w:vertAlign w:val="baseline"/>
        </w:rPr>
        <w:t>3500mg/L</w:t>
      </w:r>
      <w:r>
        <w:rPr>
          <w:spacing w:val="-3"/>
          <w:position w:val="2"/>
          <w:vertAlign w:val="baseline"/>
        </w:rPr>
        <w:t>，</w:t>
      </w:r>
      <w:r>
        <w:rPr>
          <w:rFonts w:ascii="Times New Roman" w:eastAsia="Times New Roman"/>
          <w:spacing w:val="-3"/>
          <w:position w:val="2"/>
          <w:vertAlign w:val="baseline"/>
        </w:rPr>
        <w:t>BOD</w:t>
      </w:r>
      <w:r>
        <w:rPr>
          <w:rFonts w:ascii="Times New Roman" w:eastAsia="Times New Roman"/>
          <w:spacing w:val="-3"/>
          <w:position w:val="2"/>
          <w:vertAlign w:val="subscript"/>
        </w:rPr>
        <w:t>5</w:t>
      </w:r>
      <w:r>
        <w:rPr>
          <w:rFonts w:ascii="Times New Roman" w:eastAsia="Times New Roman"/>
          <w:spacing w:val="-3"/>
          <w:position w:val="2"/>
          <w:vertAlign w:val="baseline"/>
        </w:rPr>
        <w:t>2500mg/L</w:t>
      </w:r>
      <w:r>
        <w:rPr>
          <w:spacing w:val="-11"/>
          <w:position w:val="2"/>
          <w:vertAlign w:val="baseline"/>
        </w:rPr>
        <w:t>，动植物油</w:t>
      </w:r>
      <w:r>
        <w:rPr>
          <w:rFonts w:ascii="Times New Roman" w:eastAsia="Times New Roman"/>
          <w:position w:val="2"/>
          <w:vertAlign w:val="baseline"/>
        </w:rPr>
        <w:t>220mg/L</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-N300mg/L</w:t>
      </w:r>
      <w:r>
        <w:rPr>
          <w:spacing w:val="-12"/>
          <w:position w:val="2"/>
          <w:vertAlign w:val="baseline"/>
        </w:rPr>
        <w:t>。畜</w:t>
      </w:r>
      <w:r>
        <w:rPr>
          <w:spacing w:val="-13"/>
          <w:vertAlign w:val="baseline"/>
        </w:rPr>
        <w:t>禽无害化处理车间化制废水进入废水槽，收集后拉运至</w:t>
      </w:r>
      <w:r>
        <w:rPr>
          <w:rFonts w:hint="eastAsia"/>
          <w:spacing w:val="-13"/>
          <w:vertAlign w:val="baseline"/>
          <w:lang w:eastAsia="zh-CN"/>
        </w:rPr>
        <w:t>莎车</w:t>
      </w:r>
      <w:r>
        <w:rPr>
          <w:spacing w:val="-13"/>
          <w:vertAlign w:val="baseline"/>
        </w:rPr>
        <w:t>县污水处理站处理，</w:t>
      </w:r>
      <w:r>
        <w:rPr>
          <w:vertAlign w:val="baseline"/>
        </w:rPr>
        <w:t>不外排。</w:t>
      </w:r>
    </w:p>
    <w:p>
      <w:pPr>
        <w:pStyle w:val="7"/>
        <w:numPr>
          <w:ilvl w:val="0"/>
          <w:numId w:val="0"/>
        </w:numPr>
        <w:bidi w:val="0"/>
        <w:ind w:left="-61" w:leftChars="0" w:right="0" w:rightChars="0" w:firstLine="480" w:firstLineChars="200"/>
        <w:rPr>
          <w:rFonts w:hint="default"/>
          <w:lang w:val="en-US" w:eastAsia="zh-CN"/>
        </w:rPr>
      </w:pPr>
      <w:r>
        <w:rPr>
          <w:rFonts w:hint="eastAsia"/>
          <w:lang w:val="en-US" w:eastAsia="zh-CN"/>
        </w:rPr>
        <w:t>（2）生活污水</w:t>
      </w:r>
    </w:p>
    <w:p>
      <w:pPr>
        <w:pStyle w:val="8"/>
        <w:spacing w:line="560" w:lineRule="exact"/>
        <w:ind w:firstLine="480"/>
        <w:rPr>
          <w:rFonts w:hint="default"/>
          <w:lang w:val="en-US" w:eastAsia="zh-CN"/>
        </w:rPr>
      </w:pPr>
      <w:r>
        <w:rPr>
          <w:rFonts w:hint="eastAsia" w:ascii="宋体" w:hAnsi="宋体" w:eastAsia="宋体" w:cs="宋体"/>
          <w:b w:val="0"/>
          <w:bCs/>
          <w:color w:val="FF0000"/>
          <w:kern w:val="0"/>
          <w:sz w:val="24"/>
          <w:szCs w:val="24"/>
          <w:lang w:val="en-US" w:eastAsia="zh-CN" w:bidi="ar"/>
        </w:rPr>
        <w:t>本项目运行人员为 30 人</w:t>
      </w:r>
      <w:r>
        <w:rPr>
          <w:rFonts w:hint="eastAsia" w:ascii="宋体" w:hAnsi="宋体" w:eastAsia="宋体" w:cs="宋体"/>
          <w:color w:val="FF0000"/>
          <w:kern w:val="0"/>
          <w:sz w:val="24"/>
          <w:szCs w:val="24"/>
          <w:lang w:val="en-US" w:eastAsia="zh-CN" w:bidi="ar"/>
        </w:rPr>
        <w:t>，</w:t>
      </w:r>
      <w:r>
        <w:rPr>
          <w:rFonts w:hint="eastAsia" w:ascii="宋体" w:hAnsi="宋体" w:eastAsia="宋体" w:cs="宋体"/>
          <w:bCs/>
          <w:color w:val="FF0000"/>
          <w:sz w:val="24"/>
          <w:szCs w:val="24"/>
        </w:rPr>
        <w:t>生活用水量 0.08 m</w:t>
      </w:r>
      <w:r>
        <w:rPr>
          <w:rFonts w:hint="eastAsia" w:ascii="宋体" w:hAnsi="宋体" w:eastAsia="宋体" w:cs="宋体"/>
          <w:bCs/>
          <w:color w:val="FF0000"/>
          <w:sz w:val="24"/>
          <w:szCs w:val="24"/>
          <w:vertAlign w:val="superscript"/>
        </w:rPr>
        <w:t xml:space="preserve">3 </w:t>
      </w:r>
      <w:r>
        <w:rPr>
          <w:rFonts w:hint="eastAsia" w:ascii="宋体" w:hAnsi="宋体" w:eastAsia="宋体" w:cs="宋体"/>
          <w:bCs/>
          <w:color w:val="FF0000"/>
          <w:sz w:val="24"/>
          <w:szCs w:val="24"/>
        </w:rPr>
        <w:t>/(人·d)计，生活污水排放系数取 0.8，年排放量约</w:t>
      </w:r>
      <w:r>
        <w:rPr>
          <w:rFonts w:hint="eastAsia" w:ascii="宋体" w:hAnsi="宋体" w:eastAsia="宋体" w:cs="宋体"/>
          <w:bCs/>
          <w:color w:val="FF0000"/>
          <w:sz w:val="24"/>
          <w:szCs w:val="24"/>
          <w:lang w:val="en-US" w:eastAsia="zh-CN"/>
        </w:rPr>
        <w:t>700m</w:t>
      </w:r>
      <w:r>
        <w:rPr>
          <w:rFonts w:hint="eastAsia" w:ascii="宋体" w:hAnsi="宋体" w:eastAsia="宋体" w:cs="宋体"/>
          <w:bCs/>
          <w:color w:val="FF0000"/>
          <w:sz w:val="24"/>
          <w:szCs w:val="24"/>
          <w:vertAlign w:val="superscript"/>
          <w:lang w:val="en-US" w:eastAsia="zh-CN"/>
        </w:rPr>
        <w:t>3</w:t>
      </w:r>
      <w:r>
        <w:rPr>
          <w:rFonts w:hint="eastAsia" w:ascii="宋体" w:hAnsi="宋体" w:eastAsia="宋体" w:cs="宋体"/>
          <w:bCs/>
          <w:color w:val="FF0000"/>
          <w:sz w:val="24"/>
          <w:szCs w:val="24"/>
        </w:rPr>
        <w:t xml:space="preserve"> /a，生活污水含有污染物主要为 CODcr、BOD</w:t>
      </w:r>
      <w:r>
        <w:rPr>
          <w:rFonts w:hint="eastAsia" w:ascii="宋体" w:hAnsi="宋体" w:eastAsia="宋体" w:cs="宋体"/>
          <w:bCs/>
          <w:color w:val="FF0000"/>
          <w:sz w:val="24"/>
          <w:szCs w:val="24"/>
          <w:vertAlign w:val="subscript"/>
        </w:rPr>
        <w:t>5</w:t>
      </w:r>
      <w:r>
        <w:rPr>
          <w:rFonts w:hint="eastAsia" w:ascii="宋体" w:hAnsi="宋体" w:eastAsia="宋体" w:cs="宋体"/>
          <w:bCs/>
          <w:color w:val="FF0000"/>
          <w:sz w:val="24"/>
          <w:szCs w:val="24"/>
        </w:rPr>
        <w:t>、SS、氨氮等，</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 xml:space="preserve">冬季储存，夏季用于场区洒水降尘。沉淀物由相关环卫部门抽运。 </w:t>
      </w:r>
    </w:p>
    <w:p>
      <w:pPr>
        <w:pStyle w:val="5"/>
        <w:numPr>
          <w:ilvl w:val="2"/>
          <w:numId w:val="62"/>
        </w:numPr>
        <w:tabs>
          <w:tab w:val="left" w:pos="1241"/>
        </w:tabs>
        <w:spacing w:before="113" w:after="0" w:line="240" w:lineRule="auto"/>
        <w:ind w:left="1240" w:right="0" w:hanging="701"/>
        <w:jc w:val="left"/>
        <w:outlineLvl w:val="2"/>
      </w:pPr>
      <w:bookmarkStart w:id="385" w:name="6.2.3 噪声污染防治措施分析"/>
      <w:bookmarkEnd w:id="385"/>
      <w:bookmarkStart w:id="386" w:name="6.2.3 噪声污染防治措施分析"/>
      <w:bookmarkEnd w:id="386"/>
      <w:bookmarkStart w:id="387" w:name="_Toc9767"/>
      <w:r>
        <w:t>噪声污染防治措施分析</w:t>
      </w:r>
      <w:bookmarkEnd w:id="387"/>
    </w:p>
    <w:p>
      <w:pPr>
        <w:pStyle w:val="7"/>
        <w:spacing w:before="7"/>
        <w:ind w:left="0"/>
        <w:rPr>
          <w:b/>
          <w:sz w:val="21"/>
        </w:rPr>
      </w:pPr>
    </w:p>
    <w:p>
      <w:pPr>
        <w:pStyle w:val="7"/>
        <w:ind w:left="1020"/>
      </w:pPr>
      <w:r>
        <w:t>本项目噪声源主要为养殖区风机设备噪声以及进出车辆噪声等。</w:t>
      </w:r>
    </w:p>
    <w:p>
      <w:pPr>
        <w:pStyle w:val="18"/>
        <w:numPr>
          <w:ilvl w:val="0"/>
          <w:numId w:val="69"/>
        </w:numPr>
        <w:tabs>
          <w:tab w:val="left" w:pos="1621"/>
        </w:tabs>
        <w:spacing w:before="160" w:after="0" w:line="240" w:lineRule="auto"/>
        <w:ind w:left="1621" w:right="0" w:hanging="601"/>
        <w:jc w:val="left"/>
        <w:rPr>
          <w:sz w:val="24"/>
        </w:rPr>
      </w:pPr>
      <w:r>
        <w:rPr>
          <w:sz w:val="24"/>
        </w:rPr>
        <w:t>降低设备噪声源强</w:t>
      </w:r>
    </w:p>
    <w:p>
      <w:pPr>
        <w:pStyle w:val="7"/>
        <w:spacing w:before="161" w:line="364" w:lineRule="auto"/>
        <w:ind w:right="577" w:firstLine="480"/>
        <w:jc w:val="both"/>
      </w:pPr>
      <w:r>
        <w:rPr>
          <w:spacing w:val="-7"/>
        </w:rPr>
        <w:t>对于提升机等噪声较高的设备，从设备选型时提出噪声限值要求，要求供货商提供符合要求的低噪声设备；对风机等气流型噪声源强，采用安装排气口消声</w:t>
      </w:r>
      <w:r>
        <w:rPr>
          <w:spacing w:val="-11"/>
        </w:rPr>
        <w:t>器、进气口消声器、管道接头等措施，减小气体流动或振动的声能；加强设备的</w:t>
      </w:r>
      <w:r>
        <w:t>维护保养，减少不良运行产生的设备噪声。</w:t>
      </w:r>
    </w:p>
    <w:p>
      <w:pPr>
        <w:pStyle w:val="18"/>
        <w:numPr>
          <w:ilvl w:val="0"/>
          <w:numId w:val="69"/>
        </w:numPr>
        <w:tabs>
          <w:tab w:val="left" w:pos="1621"/>
        </w:tabs>
        <w:spacing w:before="2" w:after="0" w:line="240" w:lineRule="auto"/>
        <w:ind w:left="1621" w:right="0" w:hanging="601"/>
        <w:jc w:val="left"/>
        <w:rPr>
          <w:sz w:val="24"/>
        </w:rPr>
      </w:pPr>
      <w:r>
        <w:rPr>
          <w:sz w:val="24"/>
        </w:rPr>
        <w:t>合理布局</w:t>
      </w:r>
    </w:p>
    <w:p>
      <w:pPr>
        <w:pStyle w:val="7"/>
        <w:spacing w:before="161" w:line="364" w:lineRule="auto"/>
        <w:ind w:right="577" w:firstLine="480"/>
      </w:pPr>
      <w:r>
        <w:rPr>
          <w:spacing w:val="-9"/>
        </w:rPr>
        <w:t>在总平面布置时，高噪声源尽可能远离厂界，减轻生产噪声对外界环境的影</w:t>
      </w:r>
      <w:r>
        <w:t>响。羊舍采用双层隔声窗。</w:t>
      </w:r>
    </w:p>
    <w:p>
      <w:pPr>
        <w:pStyle w:val="18"/>
        <w:numPr>
          <w:ilvl w:val="0"/>
          <w:numId w:val="69"/>
        </w:numPr>
        <w:tabs>
          <w:tab w:val="left" w:pos="1621"/>
        </w:tabs>
        <w:spacing w:before="1" w:after="0" w:line="240" w:lineRule="auto"/>
        <w:ind w:left="1621" w:right="0" w:hanging="601"/>
        <w:jc w:val="left"/>
        <w:rPr>
          <w:sz w:val="24"/>
        </w:rPr>
      </w:pPr>
      <w:r>
        <w:rPr>
          <w:sz w:val="24"/>
        </w:rPr>
        <w:t>控制噪声传播途径</w:t>
      </w:r>
    </w:p>
    <w:p>
      <w:pPr>
        <w:pStyle w:val="7"/>
        <w:spacing w:before="161" w:line="364" w:lineRule="auto"/>
        <w:ind w:right="457" w:firstLine="480"/>
      </w:pPr>
      <w:r>
        <w:t>在生产运行噪声对局部外环境产生不利影响、噪声源也无法再进一步降低</w:t>
      </w:r>
      <w:r>
        <w:rPr>
          <w:spacing w:val="-9"/>
        </w:rPr>
        <w:t>时，可以从声传播途径上采取控制措施，减轻噪声的影响。如在噪声源与外环境</w:t>
      </w:r>
      <w:r>
        <w:rPr>
          <w:spacing w:val="-19"/>
        </w:rPr>
        <w:t>的保护目标之间，或建造隔声屏障、或建造声反射板、或采用建筑物隔声等方式，</w:t>
      </w:r>
      <w:r>
        <w:rPr>
          <w:spacing w:val="-5"/>
        </w:rPr>
        <w:t>使局部保护目标减少受噪声的影响，也可以采取在噪声源与保护目标之间，增加</w:t>
      </w:r>
      <w:r>
        <w:rPr>
          <w:spacing w:val="-12"/>
        </w:rPr>
        <w:t>阔叶绿化林带的宽度，增加绿化树木对噪声能量的吸收和反射，减轻保护目标的受影响程度。</w:t>
      </w:r>
    </w:p>
    <w:p>
      <w:pPr>
        <w:pStyle w:val="7"/>
        <w:spacing w:before="3" w:line="364" w:lineRule="auto"/>
        <w:ind w:right="577" w:firstLine="480"/>
      </w:pPr>
      <w:r>
        <w:rPr>
          <w:spacing w:val="-9"/>
        </w:rPr>
        <w:t>根据预测结果，采取上述治理措施后，场界噪声预测值能够达标，降噪措施</w:t>
      </w:r>
      <w:r>
        <w:t>可行。</w:t>
      </w:r>
    </w:p>
    <w:p>
      <w:pPr>
        <w:pStyle w:val="7"/>
        <w:spacing w:before="1"/>
        <w:ind w:left="1020"/>
      </w:pPr>
      <w:r>
        <w:t>建议采取的降噪措施如下：</w:t>
      </w:r>
    </w:p>
    <w:p>
      <w:pPr>
        <w:pStyle w:val="7"/>
        <w:spacing w:before="161"/>
        <w:ind w:left="1020"/>
      </w:pPr>
      <w:r>
        <w:t>①在设备的基础与地面之间安装减振垫，减少机械振动产生的噪声污染。</w:t>
      </w:r>
    </w:p>
    <w:p>
      <w:pPr>
        <w:pStyle w:val="7"/>
        <w:spacing w:before="160"/>
        <w:ind w:left="1020"/>
      </w:pPr>
      <w:r>
        <w:t>②加强车间的隔音措施，适当增加机房墙壁厚度，并安装隔声门窗。</w:t>
      </w:r>
    </w:p>
    <w:p>
      <w:pPr>
        <w:pStyle w:val="7"/>
        <w:spacing w:before="161"/>
        <w:ind w:left="1020"/>
      </w:pPr>
      <w:r>
        <w:t>③铲车及提升机等，除须对其定期检修外，还应合理安排工作时间，避免</w:t>
      </w:r>
    </w:p>
    <w:p>
      <w:pPr>
        <w:pStyle w:val="7"/>
        <w:spacing w:before="143"/>
      </w:pPr>
      <w:r>
        <w:t>在夜间或无间休息时间运行。</w:t>
      </w:r>
    </w:p>
    <w:p>
      <w:pPr>
        <w:pStyle w:val="7"/>
        <w:spacing w:before="160" w:line="364" w:lineRule="auto"/>
        <w:ind w:right="455" w:firstLine="480"/>
      </w:pPr>
      <w:r>
        <w:t>④采用“闹静分开”合理布局的设施原则，在车间、场区周围建设一定高</w:t>
      </w:r>
      <w:r>
        <w:rPr>
          <w:spacing w:val="-17"/>
        </w:rPr>
        <w:t>度的隔声屏障，如围墙，减少对车间外或场区外声环境的影响，种植一定的乔木、</w:t>
      </w:r>
      <w:r>
        <w:t>灌木林，亦有利于减少噪声污染。</w:t>
      </w:r>
    </w:p>
    <w:p>
      <w:pPr>
        <w:pStyle w:val="7"/>
        <w:spacing w:before="2" w:line="364" w:lineRule="auto"/>
        <w:ind w:right="580" w:firstLine="480"/>
      </w:pPr>
      <w:r>
        <w:t>⑤加强设备的维护，确保设备处于良好的运转状态，杜绝因设备不正常运转时产生的高噪声现象。</w:t>
      </w:r>
    </w:p>
    <w:p>
      <w:pPr>
        <w:pStyle w:val="7"/>
        <w:spacing w:before="1" w:line="364" w:lineRule="auto"/>
        <w:ind w:right="577" w:firstLine="480"/>
      </w:pPr>
      <w:r>
        <w:rPr>
          <w:spacing w:val="-11"/>
        </w:rPr>
        <w:t>本项目周边</w:t>
      </w:r>
      <w:r>
        <w:rPr>
          <w:rFonts w:ascii="Times New Roman" w:eastAsia="Times New Roman"/>
        </w:rPr>
        <w:t>500m</w:t>
      </w:r>
      <w:r>
        <w:rPr>
          <w:spacing w:val="-6"/>
        </w:rPr>
        <w:t>范围内无居民、医院、学校等声环境敏感点，主要噪声源</w:t>
      </w:r>
      <w:r>
        <w:rPr>
          <w:spacing w:val="-3"/>
        </w:rPr>
        <w:t>在采取以上措施后，设备噪声源强均可控制在</w:t>
      </w:r>
      <w:r>
        <w:rPr>
          <w:rFonts w:ascii="Times New Roman" w:eastAsia="Times New Roman"/>
        </w:rPr>
        <w:t>60dB</w:t>
      </w:r>
      <w:r>
        <w:t>（</w:t>
      </w:r>
      <w:r>
        <w:rPr>
          <w:rFonts w:ascii="Times New Roman" w:eastAsia="Times New Roman"/>
        </w:rPr>
        <w:t>A</w:t>
      </w:r>
      <w:r>
        <w:t>）以下，项目厂界声环境能满足《工业企业厂界环境噪声排放标准》（</w:t>
      </w:r>
      <w:r>
        <w:rPr>
          <w:rFonts w:ascii="Times New Roman" w:eastAsia="Times New Roman"/>
        </w:rPr>
        <w:t>GB12348-2008</w:t>
      </w:r>
      <w:r>
        <w:t>）</w:t>
      </w:r>
      <w:r>
        <w:rPr>
          <w:spacing w:val="-16"/>
        </w:rPr>
        <w:t>厂界外</w:t>
      </w:r>
      <w:r>
        <w:rPr>
          <w:rFonts w:ascii="Times New Roman" w:eastAsia="Times New Roman"/>
        </w:rPr>
        <w:t>2</w:t>
      </w:r>
      <w:r>
        <w:t>类声环境功能区排放限值要求，对周围环境影响较小。</w:t>
      </w:r>
    </w:p>
    <w:p>
      <w:pPr>
        <w:pStyle w:val="5"/>
        <w:numPr>
          <w:ilvl w:val="2"/>
          <w:numId w:val="62"/>
        </w:numPr>
        <w:tabs>
          <w:tab w:val="left" w:pos="1241"/>
        </w:tabs>
        <w:spacing w:before="116" w:after="0" w:line="240" w:lineRule="auto"/>
        <w:ind w:left="1240" w:right="0" w:hanging="701"/>
        <w:jc w:val="left"/>
        <w:outlineLvl w:val="2"/>
      </w:pPr>
      <w:bookmarkStart w:id="388" w:name="6.2.4 固体废物污染防治措施分析"/>
      <w:bookmarkEnd w:id="388"/>
      <w:bookmarkStart w:id="389" w:name="6.2.4 固体废物污染防治措施分析"/>
      <w:bookmarkEnd w:id="389"/>
      <w:bookmarkStart w:id="390" w:name="_Toc16943"/>
      <w:r>
        <w:rPr>
          <w:spacing w:val="-1"/>
          <w:w w:val="95"/>
        </w:rPr>
        <w:t>固体废物污染防治措施分析</w:t>
      </w:r>
      <w:bookmarkEnd w:id="390"/>
    </w:p>
    <w:p>
      <w:pPr>
        <w:pStyle w:val="7"/>
        <w:spacing w:before="2"/>
        <w:ind w:left="0"/>
        <w:rPr>
          <w:b/>
          <w:sz w:val="22"/>
        </w:rPr>
      </w:pPr>
    </w:p>
    <w:p>
      <w:pPr>
        <w:pStyle w:val="18"/>
        <w:numPr>
          <w:ilvl w:val="3"/>
          <w:numId w:val="70"/>
        </w:numPr>
        <w:tabs>
          <w:tab w:val="left" w:pos="1320"/>
        </w:tabs>
        <w:spacing w:before="0" w:after="0" w:line="240" w:lineRule="auto"/>
        <w:ind w:left="1320" w:right="0" w:hanging="780"/>
        <w:jc w:val="left"/>
        <w:rPr>
          <w:sz w:val="24"/>
        </w:rPr>
      </w:pPr>
      <w:bookmarkStart w:id="391" w:name="6.2.4.1 粪污治理措施"/>
      <w:bookmarkEnd w:id="391"/>
      <w:bookmarkStart w:id="392" w:name="6.2.4.1 粪污治理措施"/>
      <w:bookmarkEnd w:id="392"/>
      <w:r>
        <w:rPr>
          <w:sz w:val="24"/>
        </w:rPr>
        <w:t>粪污治理措施</w:t>
      </w:r>
    </w:p>
    <w:p>
      <w:pPr>
        <w:pStyle w:val="7"/>
        <w:spacing w:before="168" w:line="364" w:lineRule="auto"/>
        <w:ind w:right="577" w:firstLine="480"/>
      </w:pPr>
      <w:r>
        <w:rPr>
          <w:spacing w:val="-6"/>
        </w:rPr>
        <w:t>本项目羊舍粪便采用机械干清粪为主，人工辅助干清粪，清理的干鲜粪集中</w:t>
      </w:r>
      <w:r>
        <w:t>在堆肥厂处置，经腐熟发酵后，达到无害化标准后还田。</w:t>
      </w:r>
    </w:p>
    <w:p>
      <w:pPr>
        <w:pStyle w:val="7"/>
        <w:spacing w:before="1" w:line="364" w:lineRule="auto"/>
        <w:ind w:right="457" w:firstLine="480"/>
      </w:pPr>
      <w:r>
        <w:rPr>
          <w:spacing w:val="-15"/>
        </w:rPr>
        <w:t>堆肥场地的设计应满足《畜禽养殖业污染治理工程技术规范》有关规定要求：</w:t>
      </w:r>
      <w:r>
        <w:rPr>
          <w:spacing w:val="-6"/>
        </w:rPr>
        <w:t>堆肥场地一般应由粪便贮存池、堆肥场地以及成品堆肥存放场地等组成；采用间</w:t>
      </w:r>
      <w:r>
        <w:rPr>
          <w:spacing w:val="-3"/>
        </w:rPr>
        <w:t>歇式堆肥处理时，粪便贮存池的有效体积应按至少能容纳</w:t>
      </w:r>
      <w:r>
        <w:rPr>
          <w:rFonts w:ascii="Times New Roman" w:eastAsia="Times New Roman"/>
        </w:rPr>
        <w:t>6</w:t>
      </w:r>
      <w:r>
        <w:rPr>
          <w:spacing w:val="2"/>
        </w:rPr>
        <w:t>个月粪便产生量计</w:t>
      </w:r>
      <w:r>
        <w:rPr>
          <w:spacing w:val="-9"/>
        </w:rPr>
        <w:t>算；场内应建立收集堆肥渗滤液的贮存池；应考虑防渗漏措施，不得对地下水造成污染；应配置防雨淋设施和雨水排水系统。</w:t>
      </w:r>
    </w:p>
    <w:p>
      <w:pPr>
        <w:pStyle w:val="7"/>
        <w:spacing w:before="3" w:line="364" w:lineRule="auto"/>
        <w:ind w:right="575" w:firstLine="480"/>
        <w:jc w:val="both"/>
      </w:pPr>
      <w:r>
        <w:rPr>
          <w:spacing w:val="3"/>
        </w:rPr>
        <w:t>本项目堆肥厂设计平面占地</w:t>
      </w:r>
      <w:r>
        <w:rPr>
          <w:rFonts w:ascii="Times New Roman" w:hAnsi="Times New Roman" w:eastAsia="Times New Roman"/>
          <w:spacing w:val="5"/>
        </w:rPr>
        <w:t>80m</w:t>
      </w:r>
      <w:r>
        <w:rPr>
          <w:spacing w:val="5"/>
        </w:rPr>
        <w:t>×</w:t>
      </w:r>
      <w:r>
        <w:rPr>
          <w:rFonts w:ascii="Times New Roman" w:hAnsi="Times New Roman" w:eastAsia="Times New Roman"/>
          <w:spacing w:val="5"/>
        </w:rPr>
        <w:t>50m</w:t>
      </w:r>
      <w:r>
        <w:rPr>
          <w:spacing w:val="-1"/>
        </w:rPr>
        <w:t>，按粪堆高度</w:t>
      </w:r>
      <w:r>
        <w:rPr>
          <w:rFonts w:ascii="Times New Roman" w:hAnsi="Times New Roman" w:eastAsia="Times New Roman"/>
        </w:rPr>
        <w:t>1.5m</w:t>
      </w:r>
      <w:r>
        <w:rPr>
          <w:spacing w:val="6"/>
        </w:rPr>
        <w:t>计算，可堆放</w:t>
      </w:r>
      <w:r>
        <w:rPr>
          <w:rFonts w:ascii="Times New Roman" w:hAnsi="Times New Roman" w:eastAsia="Times New Roman"/>
        </w:rPr>
        <w:t>6000m</w:t>
      </w:r>
      <w:r>
        <w:rPr>
          <w:rFonts w:ascii="Times New Roman" w:hAnsi="Times New Roman" w:eastAsia="Times New Roman"/>
          <w:position w:val="8"/>
          <w:sz w:val="15"/>
        </w:rPr>
        <w:t>3</w:t>
      </w:r>
      <w:r>
        <w:rPr>
          <w:spacing w:val="-3"/>
        </w:rPr>
        <w:t>的粪污。好氧堆肥发酵时间一般为</w:t>
      </w:r>
      <w:r>
        <w:rPr>
          <w:rFonts w:ascii="Times New Roman" w:hAnsi="Times New Roman" w:eastAsia="Times New Roman"/>
        </w:rPr>
        <w:t>15-20d</w:t>
      </w:r>
      <w:r>
        <w:t>，加入发酵菌后腐熟无害化的</w:t>
      </w:r>
      <w:r>
        <w:rPr>
          <w:spacing w:val="-11"/>
        </w:rPr>
        <w:t>日期更短。按照日产日清原则，腐熟发酵无害化后的粪便及时拉走还田不占用堆</w:t>
      </w:r>
      <w:r>
        <w:t>肥场，实现滚动式循环。</w:t>
      </w:r>
    </w:p>
    <w:p>
      <w:pPr>
        <w:pStyle w:val="7"/>
        <w:spacing w:before="2" w:line="364" w:lineRule="auto"/>
        <w:ind w:right="577" w:firstLine="480"/>
      </w:pPr>
      <w:r>
        <w:rPr>
          <w:spacing w:val="-7"/>
        </w:rPr>
        <w:t>建议堆肥场可设计成封闭式的，不仅增大容纳量，臭气集中收集处置，更满</w:t>
      </w:r>
      <w:r>
        <w:t>足环保防臭要求。堆肥场的设计具体内容如下：</w:t>
      </w:r>
    </w:p>
    <w:p>
      <w:pPr>
        <w:pStyle w:val="7"/>
        <w:spacing w:before="2"/>
        <w:ind w:left="1020"/>
      </w:pPr>
      <w:r>
        <w:rPr>
          <w:rFonts w:ascii="Times New Roman" w:eastAsia="Times New Roman"/>
        </w:rPr>
        <w:t>a</w:t>
      </w:r>
      <w:r>
        <w:t>、采用混凝土地坪，用水泥砂浆进行防渗处理；</w:t>
      </w:r>
    </w:p>
    <w:p>
      <w:pPr>
        <w:pStyle w:val="7"/>
        <w:spacing w:before="160" w:line="364" w:lineRule="auto"/>
        <w:ind w:right="577" w:firstLine="480"/>
      </w:pPr>
      <w:r>
        <w:rPr>
          <w:rFonts w:ascii="Times New Roman" w:eastAsia="Times New Roman"/>
        </w:rPr>
        <w:t>b</w:t>
      </w:r>
      <w:r>
        <w:rPr>
          <w:spacing w:val="-8"/>
        </w:rPr>
        <w:t>、沿堆肥场地四周修建挡水墙，挡水墙高度</w:t>
      </w:r>
      <w:r>
        <w:rPr>
          <w:rFonts w:ascii="Times New Roman" w:eastAsia="Times New Roman"/>
          <w:spacing w:val="-3"/>
        </w:rPr>
        <w:t>0.5m</w:t>
      </w:r>
      <w:r>
        <w:rPr>
          <w:spacing w:val="-4"/>
        </w:rPr>
        <w:t>，避免场外雨雪水流入堆</w:t>
      </w:r>
      <w:r>
        <w:t>肥场内，同时也可避免粪污外流散落；</w:t>
      </w:r>
    </w:p>
    <w:p>
      <w:pPr>
        <w:pStyle w:val="7"/>
        <w:spacing w:before="143"/>
      </w:pPr>
      <w:r>
        <w:rPr>
          <w:rFonts w:ascii="Times New Roman" w:eastAsia="Times New Roman"/>
        </w:rPr>
        <w:t>c</w:t>
      </w:r>
      <w:r>
        <w:t>、沿挡水墙内侧修建导流沟并设置收集池，雨雪水及堆肥场内形成的渗水</w:t>
      </w:r>
    </w:p>
    <w:p>
      <w:pPr>
        <w:pStyle w:val="7"/>
        <w:spacing w:before="143"/>
      </w:pPr>
      <w:r>
        <w:t>随导流沟汇入收集池，通过吸粪车将收集到的水污运至项目污水处理系统；</w:t>
      </w:r>
    </w:p>
    <w:p>
      <w:pPr>
        <w:pStyle w:val="7"/>
        <w:spacing w:before="160"/>
        <w:ind w:left="1020"/>
      </w:pPr>
      <w:r>
        <w:rPr>
          <w:rFonts w:ascii="Times New Roman" w:eastAsia="Times New Roman"/>
        </w:rPr>
        <w:t>d</w:t>
      </w:r>
      <w:r>
        <w:t>、设置彩钢顶棚，避免雨水的淋漓。</w:t>
      </w:r>
    </w:p>
    <w:p>
      <w:pPr>
        <w:pStyle w:val="7"/>
        <w:spacing w:before="161"/>
        <w:ind w:left="1020"/>
      </w:pPr>
      <w:r>
        <w:rPr>
          <w:spacing w:val="27"/>
        </w:rPr>
        <w:t>本项目羊粪最终经堆存发酵处置后应满足《粪便无害化卫生标准》</w:t>
      </w:r>
    </w:p>
    <w:p>
      <w:pPr>
        <w:pStyle w:val="7"/>
        <w:spacing w:before="160"/>
      </w:pPr>
      <w:r>
        <w:t>（</w:t>
      </w:r>
      <w:r>
        <w:rPr>
          <w:rFonts w:ascii="Times New Roman" w:eastAsia="Times New Roman"/>
        </w:rPr>
        <w:t>GB7959-2012</w:t>
      </w:r>
      <w:r>
        <w:t>）</w:t>
      </w:r>
      <w:r>
        <w:rPr>
          <w:spacing w:val="23"/>
        </w:rPr>
        <w:t>中污染物排放标准及《畜禽养殖业污染物排放标准》</w:t>
      </w:r>
    </w:p>
    <w:p>
      <w:pPr>
        <w:pStyle w:val="7"/>
        <w:spacing w:before="161"/>
      </w:pPr>
      <w:r>
        <w:t>（</w:t>
      </w:r>
      <w:r>
        <w:rPr>
          <w:rFonts w:ascii="Times New Roman" w:eastAsia="Times New Roman"/>
        </w:rPr>
        <w:t>GB18596-2001</w:t>
      </w:r>
      <w:r>
        <w:t>）表</w:t>
      </w:r>
      <w:r>
        <w:rPr>
          <w:rFonts w:ascii="Times New Roman" w:eastAsia="Times New Roman"/>
        </w:rPr>
        <w:t>6</w:t>
      </w:r>
      <w:r>
        <w:t>中畜禽养殖业废渣无害化环境标准要求。</w:t>
      </w:r>
    </w:p>
    <w:p>
      <w:pPr>
        <w:pStyle w:val="18"/>
        <w:numPr>
          <w:ilvl w:val="3"/>
          <w:numId w:val="70"/>
        </w:numPr>
        <w:tabs>
          <w:tab w:val="left" w:pos="1320"/>
        </w:tabs>
        <w:spacing w:before="170" w:after="0" w:line="240" w:lineRule="auto"/>
        <w:ind w:left="1320" w:right="0" w:hanging="780"/>
        <w:jc w:val="left"/>
        <w:rPr>
          <w:sz w:val="24"/>
        </w:rPr>
      </w:pPr>
      <w:bookmarkStart w:id="393" w:name="6.2.4.2 病死羊及分娩物处置措施"/>
      <w:bookmarkEnd w:id="393"/>
      <w:bookmarkStart w:id="394" w:name="6.2.4.2 病死羊及分娩物处置措施"/>
      <w:bookmarkEnd w:id="394"/>
      <w:r>
        <w:rPr>
          <w:sz w:val="24"/>
        </w:rPr>
        <w:t>病死羊及分娩物处置措施</w:t>
      </w:r>
    </w:p>
    <w:p>
      <w:pPr>
        <w:pStyle w:val="7"/>
        <w:spacing w:before="168"/>
        <w:ind w:left="1020"/>
      </w:pPr>
      <w:r>
        <w:t>（</w:t>
      </w:r>
      <w:r>
        <w:rPr>
          <w:rFonts w:ascii="Times New Roman" w:eastAsia="Times New Roman"/>
        </w:rPr>
        <w:t>1</w:t>
      </w:r>
      <w:r>
        <w:t>）病害动物处置方案比选</w:t>
      </w:r>
    </w:p>
    <w:p>
      <w:pPr>
        <w:pStyle w:val="7"/>
        <w:spacing w:before="160" w:line="364" w:lineRule="auto"/>
        <w:ind w:right="577" w:firstLine="480"/>
        <w:jc w:val="both"/>
      </w:pPr>
      <w:r>
        <w:rPr>
          <w:spacing w:val="-9"/>
        </w:rPr>
        <w:t>病死动物无害化处理，是指用物理、化学等方法处理病死动物尸体及相关动</w:t>
      </w:r>
      <w:r>
        <w:rPr>
          <w:spacing w:val="-10"/>
        </w:rPr>
        <w:t>物产品，消灭其所携带的病原体，消除动物尸体危害的过程。目前处理病死动物</w:t>
      </w:r>
      <w:r>
        <w:t>的方法主要包括以下几种：一是焚烧法，二是高温化制法，三是填埋法。</w:t>
      </w:r>
    </w:p>
    <w:p>
      <w:pPr>
        <w:pStyle w:val="7"/>
        <w:spacing w:before="2"/>
        <w:ind w:left="1020"/>
        <w:jc w:val="both"/>
      </w:pPr>
      <w:r>
        <w:t>①焚烧法</w:t>
      </w:r>
    </w:p>
    <w:p>
      <w:pPr>
        <w:pStyle w:val="7"/>
        <w:spacing w:before="160" w:line="364" w:lineRule="auto"/>
        <w:ind w:right="457" w:firstLine="480"/>
      </w:pPr>
      <w:r>
        <w:rPr>
          <w:spacing w:val="-8"/>
        </w:rPr>
        <w:t>焚烧法是指在焚烧容器内，使动物尸体及相关动物产品在富氧或无氧条件下</w:t>
      </w:r>
      <w:r>
        <w:rPr>
          <w:spacing w:val="-13"/>
        </w:rPr>
        <w:t>进行氧化反应或热解反应的方法，主要有直接焚烧法和碳化焚烧法。直接焚烧法</w:t>
      </w:r>
      <w:r>
        <w:rPr>
          <w:spacing w:val="-21"/>
        </w:rPr>
        <w:t>是将动物尸体及相关动物产品或破碎产物，投至焚烧炉本体燃烧室，经充分氧化、</w:t>
      </w:r>
      <w:r>
        <w:rPr>
          <w:spacing w:val="-9"/>
        </w:rPr>
        <w:t>热解，产生的高温烟气进入二燃室继续燃烧，产生的炉渣经出渣机排出。炭化焚烧法是将动物尸体及相关动物产品投至热解炭化室，在无氧情况下经充分热解，</w:t>
      </w:r>
      <w:r>
        <w:rPr>
          <w:spacing w:val="-12"/>
        </w:rPr>
        <w:t>产生的热解烟气进入燃烧</w:t>
      </w:r>
      <w:r>
        <w:t>（二燃</w:t>
      </w:r>
      <w:r>
        <w:rPr>
          <w:spacing w:val="-32"/>
        </w:rPr>
        <w:t>）</w:t>
      </w:r>
      <w:r>
        <w:rPr>
          <w:spacing w:val="-6"/>
        </w:rPr>
        <w:t>室继续燃烧，产生的固体炭化物残渣经热解炭化室排出。</w:t>
      </w:r>
    </w:p>
    <w:p>
      <w:pPr>
        <w:pStyle w:val="7"/>
        <w:spacing w:before="5" w:line="364" w:lineRule="auto"/>
        <w:ind w:right="455" w:firstLine="480"/>
        <w:jc w:val="both"/>
      </w:pPr>
      <w:r>
        <w:t>焚烧法无害化程度高，适合大批量处理动物尸体，但由于焚烧设备成本高，</w:t>
      </w:r>
      <w:r>
        <w:rPr>
          <w:spacing w:val="-15"/>
        </w:rPr>
        <w:t>燃油费用高，投资大，且处理过程中还会产生大量灰尘、一氧化碳、氮氧化合物、</w:t>
      </w:r>
      <w:r>
        <w:t>硫化物等污染物，因而没有得到广泛的应用。</w:t>
      </w:r>
    </w:p>
    <w:p>
      <w:pPr>
        <w:pStyle w:val="7"/>
        <w:spacing w:before="1"/>
        <w:ind w:left="1020"/>
        <w:jc w:val="both"/>
      </w:pPr>
      <w:r>
        <w:t>②高温化制法</w:t>
      </w:r>
    </w:p>
    <w:p>
      <w:pPr>
        <w:pStyle w:val="7"/>
        <w:spacing w:before="143" w:line="364" w:lineRule="auto"/>
        <w:ind w:right="577"/>
      </w:pPr>
      <w:r>
        <w:rPr>
          <w:spacing w:val="-7"/>
        </w:rPr>
        <w:t>高温化制法是指在密闭的高压容器内，通过向容器夹层或容器通入高温饱和</w:t>
      </w:r>
      <w:r>
        <w:rPr>
          <w:spacing w:val="-11"/>
        </w:rPr>
        <w:t>蒸汽，在干热、压力或高温、压力的作用下，处理动物尸体及相关动物产品的方法，主要为干化法和湿化法。干化法是将动物尸体及相关动物产品或破碎产物输</w:t>
      </w:r>
      <w:r>
        <w:rPr>
          <w:spacing w:val="-9"/>
        </w:rPr>
        <w:t>送入高温高压容器，加热烘干产生的热蒸汽经废气处理系统后排出，加热烘干产</w:t>
      </w:r>
      <w:r>
        <w:rPr>
          <w:spacing w:val="-7"/>
        </w:rPr>
        <w:t>生的动物尸体残渣传输至压榨系统处理。湿化法是将动物尸体及相关动物产品或</w:t>
      </w:r>
      <w:r>
        <w:rPr>
          <w:spacing w:val="-2"/>
        </w:rPr>
        <w:t>破碎产物送入高温高压容器，总质量不得超过容器总承受力的</w:t>
      </w:r>
      <w:r>
        <w:rPr>
          <w:rFonts w:ascii="Times New Roman" w:eastAsia="Times New Roman"/>
        </w:rPr>
        <w:t>4/5</w:t>
      </w:r>
      <w:r>
        <w:rPr>
          <w:spacing w:val="-3"/>
        </w:rPr>
        <w:t>，高温高压结</w:t>
      </w:r>
      <w:r>
        <w:rPr>
          <w:spacing w:val="-10"/>
        </w:rPr>
        <w:t>束后，对处理物进行初次固液分离，固体物经破碎处理后，送入烘干系统；液体</w:t>
      </w:r>
      <w:r>
        <w:t>部分送入油水分离系统处理。</w:t>
      </w:r>
    </w:p>
    <w:p>
      <w:pPr>
        <w:pStyle w:val="7"/>
        <w:spacing w:before="1" w:line="364" w:lineRule="auto"/>
        <w:ind w:right="577" w:firstLine="480"/>
        <w:jc w:val="both"/>
      </w:pPr>
      <w:r>
        <w:rPr>
          <w:spacing w:val="-7"/>
        </w:rPr>
        <w:t>高温化制法无害化程度高，处理量大，一次可处理数吨至数十吨，减量化可</w:t>
      </w:r>
      <w:r>
        <w:rPr>
          <w:spacing w:val="-13"/>
        </w:rPr>
        <w:t>达到</w:t>
      </w:r>
      <w:r>
        <w:rPr>
          <w:rFonts w:ascii="Times New Roman" w:eastAsia="Times New Roman"/>
        </w:rPr>
        <w:t>80%</w:t>
      </w:r>
      <w:r>
        <w:t>。处理后安全排放，对环境无污染。但设备投入成本很大，每套至少</w:t>
      </w:r>
      <w:r>
        <w:rPr>
          <w:rFonts w:ascii="Times New Roman" w:eastAsia="Times New Roman"/>
        </w:rPr>
        <w:t>40</w:t>
      </w:r>
      <w:r>
        <w:t>万以上，且规模养殖场无法满足处理的数量，而设备无论多少都需要相同的</w:t>
      </w:r>
    </w:p>
    <w:p>
      <w:pPr>
        <w:pStyle w:val="7"/>
        <w:spacing w:before="2" w:line="364" w:lineRule="auto"/>
        <w:ind w:right="577"/>
        <w:jc w:val="both"/>
      </w:pPr>
      <w:r>
        <w:rPr>
          <w:spacing w:val="-9"/>
        </w:rPr>
        <w:t>加温与发酵成本，处理成本很高。处理一次需要</w:t>
      </w:r>
      <w:r>
        <w:rPr>
          <w:rFonts w:ascii="Times New Roman" w:eastAsia="Times New Roman"/>
        </w:rPr>
        <w:t>3</w:t>
      </w:r>
      <w:r>
        <w:rPr>
          <w:spacing w:val="-7"/>
        </w:rPr>
        <w:t>天左右，无法将每天随时的病</w:t>
      </w:r>
      <w:r>
        <w:t>死动物随时处理，还需要建设配套冷库。</w:t>
      </w:r>
    </w:p>
    <w:p>
      <w:pPr>
        <w:pStyle w:val="7"/>
        <w:spacing w:before="1"/>
        <w:ind w:left="1020"/>
        <w:jc w:val="both"/>
      </w:pPr>
      <w:r>
        <w:t>③填埋法</w:t>
      </w:r>
    </w:p>
    <w:p>
      <w:pPr>
        <w:pStyle w:val="7"/>
        <w:spacing w:before="160" w:line="364" w:lineRule="auto"/>
        <w:ind w:right="577" w:firstLine="480"/>
        <w:jc w:val="both"/>
      </w:pPr>
      <w:r>
        <w:rPr>
          <w:spacing w:val="2"/>
        </w:rPr>
        <w:t>填埋法是指按照相关规定，将动物尸体及相关动物产品投入填埋井中并覆</w:t>
      </w:r>
      <w:r>
        <w:rPr>
          <w:spacing w:val="-10"/>
        </w:rPr>
        <w:t>盖、消毒，发酵或分解动物尸体及相关动物产品的方法。填埋井必须采用防渗结</w:t>
      </w:r>
      <w:r>
        <w:rPr>
          <w:spacing w:val="-11"/>
        </w:rPr>
        <w:t>构，井口加盖密闭，进行填埋时，在每次投入动物尸体后，覆盖一层熟石灰，从</w:t>
      </w:r>
      <w:r>
        <w:t>而达到杀菌效果，填埋井填满后，用粘土填埋压实并封口。</w:t>
      </w:r>
    </w:p>
    <w:p>
      <w:pPr>
        <w:pStyle w:val="7"/>
        <w:spacing w:before="3" w:line="364" w:lineRule="auto"/>
        <w:ind w:right="455" w:firstLine="480"/>
      </w:pPr>
      <w:r>
        <w:rPr>
          <w:spacing w:val="-5"/>
        </w:rPr>
        <w:t>本项目采用干化法畜禽无害化处理方式处理。场区病羊进入隔离场进行注射</w:t>
      </w:r>
      <w:r>
        <w:rPr>
          <w:spacing w:val="-11"/>
        </w:rPr>
        <w:t>治疗，治理康复后继续饲养，疫病羊按照《病害动物和病害动物产品生物安全处</w:t>
      </w:r>
      <w:r>
        <w:rPr>
          <w:spacing w:val="-12"/>
        </w:rPr>
        <w:t>理规程》</w:t>
      </w:r>
      <w:r>
        <w:t>（</w:t>
      </w:r>
      <w:r>
        <w:rPr>
          <w:rFonts w:ascii="Times New Roman" w:eastAsia="Times New Roman"/>
        </w:rPr>
        <w:t>GB16548-2006</w:t>
      </w:r>
      <w:r>
        <w:t>）</w:t>
      </w:r>
      <w:r>
        <w:rPr>
          <w:spacing w:val="-3"/>
        </w:rPr>
        <w:t>的相关要求，采用干化法畜禽无害化处理方式处理。</w:t>
      </w:r>
      <w:r>
        <w:t>胎盘将进入畜禽无害化处理车间进行无害化处理。</w:t>
      </w:r>
    </w:p>
    <w:p>
      <w:pPr>
        <w:pStyle w:val="7"/>
        <w:spacing w:before="2" w:line="364" w:lineRule="auto"/>
        <w:ind w:right="485" w:firstLine="480"/>
      </w:pPr>
      <w:r>
        <w:rPr>
          <w:spacing w:val="-6"/>
        </w:rPr>
        <w:t>计划项目区拟建畜禽无害化处理车间，面积</w:t>
      </w:r>
      <w:r>
        <w:rPr>
          <w:rFonts w:ascii="Times New Roman" w:hAnsi="Times New Roman" w:eastAsia="Times New Roman"/>
          <w:spacing w:val="-5"/>
        </w:rPr>
        <w:t>300m</w:t>
      </w:r>
      <w:r>
        <w:rPr>
          <w:rFonts w:ascii="Times New Roman" w:hAnsi="Times New Roman" w:eastAsia="Times New Roman"/>
          <w:spacing w:val="-5"/>
          <w:position w:val="8"/>
          <w:sz w:val="15"/>
        </w:rPr>
        <w:t>2</w:t>
      </w:r>
      <w:r>
        <w:rPr>
          <w:spacing w:val="-2"/>
        </w:rPr>
        <w:t>，并且购进畜禽无害化处</w:t>
      </w:r>
      <w:r>
        <w:rPr>
          <w:spacing w:val="-22"/>
        </w:rPr>
        <w:t>理</w:t>
      </w:r>
      <w:r>
        <w:rPr>
          <w:rFonts w:ascii="Times New Roman" w:hAnsi="Times New Roman" w:eastAsia="Times New Roman"/>
        </w:rPr>
        <w:t>1</w:t>
      </w:r>
      <w:r>
        <w:t>吨</w:t>
      </w:r>
      <w:r>
        <w:rPr>
          <w:rFonts w:ascii="Times New Roman" w:hAnsi="Times New Roman" w:eastAsia="Times New Roman"/>
        </w:rPr>
        <w:t>/</w:t>
      </w:r>
      <w:r>
        <w:t>次成套设备，适用于病死畜禽无害化处理，处理设备采用高温高压灭菌</w:t>
      </w:r>
      <w:r>
        <w:rPr>
          <w:spacing w:val="-1"/>
        </w:rPr>
        <w:t>技术，大型动物无需肢解，可直接进行处理。废弃畜禽是一种极好的生物资源，</w:t>
      </w:r>
      <w:r>
        <w:rPr>
          <w:spacing w:val="-6"/>
        </w:rPr>
        <w:t>蛋白质和脂肪含量为</w:t>
      </w:r>
      <w:r>
        <w:rPr>
          <w:rFonts w:ascii="Times New Roman" w:hAnsi="Times New Roman" w:eastAsia="Times New Roman"/>
        </w:rPr>
        <w:t>12%-20%</w:t>
      </w:r>
      <w:r>
        <w:rPr>
          <w:spacing w:val="-8"/>
        </w:rPr>
        <w:t>，矿物质含量</w:t>
      </w:r>
      <w:r>
        <w:rPr>
          <w:rFonts w:ascii="Times New Roman" w:hAnsi="Times New Roman" w:eastAsia="Times New Roman"/>
        </w:rPr>
        <w:t>3%-5%</w:t>
      </w:r>
      <w:r>
        <w:t>。因此处理后的产物（肉骨粉干品和工业用油脂</w:t>
      </w:r>
      <w:r>
        <w:rPr>
          <w:spacing w:val="-24"/>
        </w:rPr>
        <w:t>）</w:t>
      </w:r>
      <w:r>
        <w:rPr>
          <w:spacing w:val="-9"/>
        </w:rPr>
        <w:t>可出售，综合利用，符合国家防疫法规要求。主设备使用寿命≥</w:t>
      </w:r>
      <w:r>
        <w:rPr>
          <w:rFonts w:ascii="Times New Roman" w:hAnsi="Times New Roman" w:eastAsia="Times New Roman"/>
          <w:spacing w:val="-9"/>
        </w:rPr>
        <w:t>8</w:t>
      </w:r>
      <w:r>
        <w:rPr>
          <w:spacing w:val="-9"/>
        </w:rPr>
        <w:t>年，维护费用低。</w:t>
      </w:r>
    </w:p>
    <w:p>
      <w:pPr>
        <w:pStyle w:val="7"/>
        <w:spacing w:before="4" w:line="364" w:lineRule="auto"/>
        <w:ind w:right="577" w:firstLine="480"/>
        <w:jc w:val="both"/>
      </w:pPr>
      <w:r>
        <w:rPr>
          <w:rFonts w:ascii="Times New Roman" w:eastAsia="Times New Roman"/>
        </w:rPr>
        <w:t>A</w:t>
      </w:r>
      <w:r>
        <w:rPr>
          <w:spacing w:val="-6"/>
        </w:rPr>
        <w:t>、无害化处理原理：干化法畜禽无害化处理方式是将病死动物尸体碎化处</w:t>
      </w:r>
      <w:r>
        <w:rPr>
          <w:spacing w:val="-9"/>
        </w:rPr>
        <w:t>理后输送至密闭容器内，在不断搅拌的同时，通过在夹层导入高温循环热源对病</w:t>
      </w:r>
      <w:r>
        <w:rPr>
          <w:spacing w:val="-6"/>
        </w:rPr>
        <w:t>死畜禽尸肉进行高温高压灭菌处理的工艺技术，处理工程中热源不直接接触病死</w:t>
      </w:r>
      <w:r>
        <w:rPr>
          <w:spacing w:val="-10"/>
        </w:rPr>
        <w:t>动物尸肉，利用动物体内水分加热汽化产生压力，化制完成后通过真空干燥、脱</w:t>
      </w:r>
      <w:r>
        <w:rPr>
          <w:spacing w:val="-11"/>
        </w:rPr>
        <w:t>脂、冷却、粉碎等工序，最终得到肉骨粉干品和工业用油脂，是目前国际上最被</w:t>
      </w:r>
      <w:r>
        <w:t>认可的处理方式。</w:t>
      </w:r>
    </w:p>
    <w:p>
      <w:pPr>
        <w:pStyle w:val="7"/>
        <w:spacing w:before="143" w:line="364" w:lineRule="auto"/>
        <w:ind w:right="572"/>
        <w:rPr>
          <w:rFonts w:ascii="Times New Roman" w:hAnsi="Times New Roman" w:eastAsia="Times New Roman"/>
        </w:rPr>
      </w:pPr>
      <w:r>
        <w:rPr>
          <w:rFonts w:ascii="Times New Roman" w:hAnsi="Times New Roman" w:eastAsia="Times New Roman"/>
        </w:rPr>
        <w:t>B</w:t>
      </w:r>
      <w:r>
        <w:t>、工艺参数：处理物中心温度≥</w:t>
      </w:r>
      <w:r>
        <w:rPr>
          <w:rFonts w:ascii="Times New Roman" w:hAnsi="Times New Roman" w:eastAsia="Times New Roman"/>
        </w:rPr>
        <w:t>135</w:t>
      </w:r>
      <w:r>
        <w:t>℃，压力≥</w:t>
      </w:r>
      <w:r>
        <w:rPr>
          <w:rFonts w:ascii="Times New Roman" w:hAnsi="Times New Roman" w:eastAsia="Times New Roman"/>
        </w:rPr>
        <w:t>0.35MPa</w:t>
      </w:r>
      <w:r>
        <w:t>（绝对压力），保时间≥</w:t>
      </w:r>
      <w:r>
        <w:rPr>
          <w:rFonts w:ascii="Times New Roman" w:hAnsi="Times New Roman" w:eastAsia="Times New Roman"/>
        </w:rPr>
        <w:t>30min</w:t>
      </w:r>
      <w:r>
        <w:t>（欧美灭菌标准，也可根据不同物料调整压力和温度），真空干燥</w:t>
      </w:r>
      <w:r>
        <w:rPr>
          <w:spacing w:val="-16"/>
        </w:rPr>
        <w:t>时间</w:t>
      </w:r>
      <w:r>
        <w:rPr>
          <w:rFonts w:ascii="Times New Roman" w:hAnsi="Times New Roman" w:eastAsia="Times New Roman"/>
          <w:spacing w:val="2"/>
        </w:rPr>
        <w:t>120min</w:t>
      </w:r>
      <w:r>
        <w:rPr>
          <w:spacing w:val="2"/>
        </w:rPr>
        <w:t>（</w:t>
      </w:r>
      <w:r>
        <w:rPr>
          <w:rFonts w:ascii="Times New Roman" w:hAnsi="Times New Roman" w:eastAsia="Times New Roman"/>
          <w:spacing w:val="2"/>
        </w:rPr>
        <w:t>2h</w:t>
      </w:r>
      <w:r>
        <w:rPr>
          <w:spacing w:val="2"/>
        </w:rPr>
        <w:t>）</w:t>
      </w:r>
      <w:r>
        <w:rPr>
          <w:spacing w:val="-3"/>
        </w:rPr>
        <w:t>，完整化制时间约</w:t>
      </w:r>
      <w:r>
        <w:rPr>
          <w:rFonts w:ascii="Times New Roman" w:hAnsi="Times New Roman" w:eastAsia="Times New Roman"/>
          <w:spacing w:val="2"/>
        </w:rPr>
        <w:t>240min</w:t>
      </w:r>
      <w:r>
        <w:rPr>
          <w:spacing w:val="2"/>
        </w:rPr>
        <w:t>（</w:t>
      </w:r>
      <w:r>
        <w:rPr>
          <w:rFonts w:ascii="Times New Roman" w:hAnsi="Times New Roman" w:eastAsia="Times New Roman"/>
          <w:spacing w:val="2"/>
        </w:rPr>
        <w:t>4h</w:t>
      </w:r>
      <w:r>
        <w:rPr>
          <w:spacing w:val="2"/>
        </w:rPr>
        <w:t>）</w:t>
      </w:r>
      <w:r>
        <w:rPr>
          <w:spacing w:val="-3"/>
        </w:rPr>
        <w:t>，全部处理过程约</w:t>
      </w:r>
      <w:r>
        <w:rPr>
          <w:rFonts w:ascii="Times New Roman" w:hAnsi="Times New Roman" w:eastAsia="Times New Roman"/>
        </w:rPr>
        <w:t>480min</w:t>
      </w:r>
    </w:p>
    <w:p>
      <w:pPr>
        <w:pStyle w:val="7"/>
        <w:spacing w:before="1"/>
        <w:rPr>
          <w:rFonts w:ascii="Times New Roman" w:eastAsia="Times New Roman"/>
        </w:rPr>
      </w:pPr>
      <w:r>
        <w:t>（</w:t>
      </w:r>
      <w:r>
        <w:rPr>
          <w:rFonts w:ascii="Times New Roman" w:eastAsia="Times New Roman"/>
        </w:rPr>
        <w:t>8h</w:t>
      </w:r>
      <w:r>
        <w:t>）</w:t>
      </w:r>
      <w:r>
        <w:rPr>
          <w:spacing w:val="-3"/>
        </w:rPr>
        <w:t>。每处理一吨病死动物，产出肉骨粉</w:t>
      </w:r>
      <w:r>
        <w:rPr>
          <w:rFonts w:ascii="Times New Roman" w:eastAsia="Times New Roman"/>
        </w:rPr>
        <w:t>270kg</w:t>
      </w:r>
      <w:r>
        <w:rPr>
          <w:spacing w:val="-5"/>
        </w:rPr>
        <w:t>左右、产出工业用油脂</w:t>
      </w:r>
      <w:r>
        <w:rPr>
          <w:rFonts w:ascii="Times New Roman" w:eastAsia="Times New Roman"/>
        </w:rPr>
        <w:t>70kg</w:t>
      </w:r>
    </w:p>
    <w:p>
      <w:pPr>
        <w:pStyle w:val="7"/>
        <w:spacing w:before="160"/>
      </w:pPr>
      <w:r>
        <w:t>左右。</w:t>
      </w:r>
    </w:p>
    <w:p>
      <w:pPr>
        <w:pStyle w:val="7"/>
        <w:spacing w:before="161" w:line="364" w:lineRule="auto"/>
        <w:ind w:right="455" w:firstLine="480"/>
      </w:pPr>
      <w:r>
        <w:rPr>
          <w:rFonts w:ascii="Times New Roman" w:eastAsia="Times New Roman"/>
        </w:rPr>
        <w:t>C</w:t>
      </w:r>
      <w:r>
        <w:rPr>
          <w:spacing w:val="-13"/>
        </w:rPr>
        <w:t>、工艺特点：干化法畜禽无害化处理方式具有处理速度快，杀菌完全彻底，</w:t>
      </w:r>
      <w:r>
        <w:rPr>
          <w:spacing w:val="-16"/>
        </w:rPr>
        <w:t>不产生二次污染，高度自动化，劳动强度低，成品纯度高，处理过程环保等特点，</w:t>
      </w:r>
      <w:r>
        <w:rPr>
          <w:spacing w:val="-5"/>
        </w:rPr>
        <w:t>有传统的发酵式处理工艺无法比拟的优点，是发酵式处理方式和湿化法处理方式</w:t>
      </w:r>
      <w:r>
        <w:rPr>
          <w:spacing w:val="-11"/>
        </w:rPr>
        <w:t>理想的替代方案。填埋法处理成本低，运行维护费用低，适合少量动物尸体的处理，如不做好防渗，动物尸体腐烂释放出的物质会污染地下水。</w:t>
      </w:r>
    </w:p>
    <w:p>
      <w:pPr>
        <w:pStyle w:val="7"/>
        <w:spacing w:before="3" w:line="364" w:lineRule="auto"/>
        <w:ind w:right="457" w:firstLine="480"/>
        <w:rPr>
          <w:color w:val="0000FF"/>
        </w:rPr>
      </w:pPr>
      <w:r>
        <w:rPr>
          <w:color w:val="0000FF"/>
          <w:spacing w:val="-16"/>
        </w:rPr>
        <w:t>综合分析，在焚烧、高温化制和填埋三种处理方法中，焚烧法一次性投资大、</w:t>
      </w:r>
      <w:r>
        <w:rPr>
          <w:color w:val="0000FF"/>
        </w:rPr>
        <w:t>运行成本高、能源消耗大，会产生烟尘、恶臭等污染物，需配套烟气净化措施，</w:t>
      </w:r>
      <w:r>
        <w:rPr>
          <w:color w:val="0000FF"/>
          <w:spacing w:val="-10"/>
        </w:rPr>
        <w:t>投资高昂。高温化制法一次性处理量大，本项目病死羊及分娩物的年产生总量为</w:t>
      </w:r>
      <w:r>
        <w:rPr>
          <w:rFonts w:ascii="Times New Roman" w:eastAsia="Times New Roman"/>
          <w:color w:val="0000FF"/>
          <w:spacing w:val="-9"/>
        </w:rPr>
        <w:t>8t</w:t>
      </w:r>
      <w:r>
        <w:rPr>
          <w:color w:val="0000FF"/>
          <w:spacing w:val="-8"/>
        </w:rPr>
        <w:t>，能满足其数量要求，病死畜禽无害化处理最终得到肉骨粉干品和工业用油</w:t>
      </w:r>
      <w:r>
        <w:rPr>
          <w:color w:val="0000FF"/>
          <w:spacing w:val="-9"/>
        </w:rPr>
        <w:t>脂。肉骨粉可出售给肉骨粉干品生产厂；油脂出售给工业用油脂厂。因此，本评</w:t>
      </w:r>
      <w:r>
        <w:rPr>
          <w:color w:val="0000FF"/>
          <w:spacing w:val="-12"/>
        </w:rPr>
        <w:t>价认为，建设单位在严格落实防渗措施的条件下采用高温化制法处理病死羊及分娩物，从经济和环保角度上看，方案可行。</w:t>
      </w:r>
    </w:p>
    <w:p>
      <w:pPr>
        <w:pStyle w:val="18"/>
        <w:numPr>
          <w:ilvl w:val="3"/>
          <w:numId w:val="70"/>
        </w:numPr>
        <w:tabs>
          <w:tab w:val="left" w:pos="1320"/>
        </w:tabs>
        <w:spacing w:before="14" w:after="0" w:line="240" w:lineRule="auto"/>
        <w:ind w:left="1320" w:right="0" w:hanging="780"/>
        <w:jc w:val="left"/>
        <w:rPr>
          <w:sz w:val="24"/>
        </w:rPr>
      </w:pPr>
      <w:bookmarkStart w:id="395" w:name="6.2.4.3 医疗废弃物处置措施"/>
      <w:bookmarkEnd w:id="395"/>
      <w:bookmarkStart w:id="396" w:name="6.2.4.3 医疗废弃物处置措施"/>
      <w:bookmarkEnd w:id="396"/>
      <w:r>
        <w:rPr>
          <w:sz w:val="24"/>
        </w:rPr>
        <w:t>医疗废弃物处置措施</w:t>
      </w:r>
    </w:p>
    <w:p>
      <w:pPr>
        <w:pStyle w:val="7"/>
        <w:spacing w:before="167" w:line="364" w:lineRule="auto"/>
        <w:ind w:right="365" w:firstLine="480"/>
      </w:pPr>
      <w:r>
        <w:rPr>
          <w:spacing w:val="-4"/>
        </w:rPr>
        <w:t>肉羊在生长过程接种免疫或发病期接受治疗产生的少量医疗废物</w:t>
      </w:r>
      <w:r>
        <w:t>（包括各种</w:t>
      </w:r>
      <w:r>
        <w:rPr>
          <w:spacing w:val="-12"/>
        </w:rPr>
        <w:t>疫</w:t>
      </w:r>
      <w:r>
        <w:t>（菌</w:t>
      </w:r>
      <w:r>
        <w:rPr>
          <w:spacing w:val="-12"/>
        </w:rPr>
        <w:t>）</w:t>
      </w:r>
      <w:r>
        <w:rPr>
          <w:spacing w:val="-4"/>
        </w:rPr>
        <w:t>苗空瓶、抗生药物的瓶</w:t>
      </w:r>
      <w:r>
        <w:t>（袋</w:t>
      </w:r>
      <w:r>
        <w:rPr>
          <w:spacing w:val="-12"/>
        </w:rPr>
        <w:t>）</w:t>
      </w:r>
      <w:r>
        <w:rPr>
          <w:spacing w:val="-5"/>
        </w:rPr>
        <w:t>、动物药物废弃瓶</w:t>
      </w:r>
      <w:r>
        <w:t>（袋</w:t>
      </w:r>
      <w:r>
        <w:rPr>
          <w:spacing w:val="-12"/>
        </w:rPr>
        <w:t>）</w:t>
      </w:r>
      <w:r>
        <w:rPr>
          <w:spacing w:val="-3"/>
        </w:rPr>
        <w:t>、过期药物等</w:t>
      </w:r>
      <w:r>
        <w:rPr>
          <w:spacing w:val="-16"/>
        </w:rPr>
        <w:t>），</w:t>
      </w:r>
      <w:r>
        <w:t>属于危险废物（废物类别：</w:t>
      </w:r>
      <w:r>
        <w:rPr>
          <w:rFonts w:ascii="Times New Roman" w:eastAsia="Times New Roman"/>
        </w:rPr>
        <w:t>HW01</w:t>
      </w:r>
      <w:r>
        <w:t>医疗废物，废物代码：</w:t>
      </w:r>
      <w:r>
        <w:rPr>
          <w:rFonts w:ascii="Times New Roman" w:eastAsia="Times New Roman"/>
        </w:rPr>
        <w:t>900-001-01</w:t>
      </w:r>
      <w:r>
        <w:t>），本项目充分发挥</w:t>
      </w:r>
      <w:r>
        <w:rPr>
          <w:rFonts w:hint="eastAsia"/>
          <w:lang w:eastAsia="zh-CN"/>
        </w:rPr>
        <w:t>莎车</w:t>
      </w:r>
      <w:r>
        <w:t>县农业农村局和</w:t>
      </w:r>
      <w:r>
        <w:rPr>
          <w:rFonts w:hint="eastAsia"/>
          <w:lang w:eastAsia="zh-CN"/>
        </w:rPr>
        <w:t>莎车</w:t>
      </w:r>
      <w:r>
        <w:t>乡镇兽医站以及村级防疫中心在养殖工作的</w:t>
      </w:r>
      <w:r>
        <w:rPr>
          <w:spacing w:val="-9"/>
        </w:rPr>
        <w:t>作用，负责标准化羊产业养殖场的日常防疫工作；</w:t>
      </w:r>
      <w:r>
        <w:rPr>
          <w:rFonts w:hint="eastAsia"/>
          <w:spacing w:val="-9"/>
          <w:lang w:eastAsia="zh-CN"/>
        </w:rPr>
        <w:t>莎车</w:t>
      </w:r>
      <w:r>
        <w:rPr>
          <w:spacing w:val="-9"/>
        </w:rPr>
        <w:t>县农业农村局作为技术指</w:t>
      </w:r>
      <w:r>
        <w:rPr>
          <w:spacing w:val="-11"/>
        </w:rPr>
        <w:t>导单位，负责羊产业养殖场的全局防疫工作。由项目所在乡镇</w:t>
      </w:r>
      <w:r>
        <w:rPr>
          <w:rFonts w:hint="eastAsia"/>
          <w:spacing w:val="-11"/>
          <w:lang w:eastAsia="zh-CN"/>
        </w:rPr>
        <w:t>莎车</w:t>
      </w:r>
      <w:r>
        <w:rPr>
          <w:spacing w:val="-11"/>
        </w:rPr>
        <w:t>乡兽医站以及</w:t>
      </w:r>
      <w:r>
        <w:rPr>
          <w:spacing w:val="-16"/>
        </w:rPr>
        <w:t>村级防疫中心委托有资质的单位处理处置。该类危废处置单位的经营范围应包含</w:t>
      </w:r>
      <w:r>
        <w:rPr>
          <w:spacing w:val="-14"/>
        </w:rPr>
        <w:t>处置医疗废物</w:t>
      </w:r>
      <w:r>
        <w:t>（</w:t>
      </w:r>
      <w:r>
        <w:rPr>
          <w:rFonts w:ascii="Times New Roman" w:eastAsia="Times New Roman"/>
        </w:rPr>
        <w:t>HW01</w:t>
      </w:r>
      <w:r>
        <w:t>）</w:t>
      </w:r>
      <w:r>
        <w:rPr>
          <w:spacing w:val="-3"/>
        </w:rPr>
        <w:t>。与危废处置单位签订危险废物委托处置合同，并委托危废处置单位代为处理本项目的医疗废物。</w:t>
      </w:r>
    </w:p>
    <w:p>
      <w:pPr>
        <w:pStyle w:val="18"/>
        <w:numPr>
          <w:ilvl w:val="3"/>
          <w:numId w:val="70"/>
        </w:numPr>
        <w:tabs>
          <w:tab w:val="left" w:pos="1320"/>
        </w:tabs>
        <w:spacing w:before="13" w:after="0" w:line="240" w:lineRule="auto"/>
        <w:ind w:left="1320" w:right="0" w:hanging="780"/>
        <w:jc w:val="left"/>
        <w:rPr>
          <w:sz w:val="24"/>
        </w:rPr>
      </w:pPr>
      <w:bookmarkStart w:id="397" w:name="6.2.4.4 固废管理措施"/>
      <w:bookmarkEnd w:id="397"/>
      <w:bookmarkStart w:id="398" w:name="6.2.4.4 固废管理措施"/>
      <w:bookmarkEnd w:id="398"/>
      <w:r>
        <w:rPr>
          <w:sz w:val="24"/>
        </w:rPr>
        <w:t>固废管理措施</w:t>
      </w:r>
    </w:p>
    <w:p>
      <w:pPr>
        <w:pStyle w:val="7"/>
        <w:spacing w:before="168" w:line="364" w:lineRule="auto"/>
        <w:ind w:right="577" w:firstLine="480"/>
      </w:pPr>
      <w:r>
        <w:rPr>
          <w:spacing w:val="-7"/>
        </w:rPr>
        <w:t>建设项目采取以上处理措施后，固体废物均得到合理处置，同时固体废物在</w:t>
      </w:r>
      <w:r>
        <w:t>厂内收集及储存过程中应加强管理，尽量减少或消除固体废物对环境的影响。</w:t>
      </w:r>
    </w:p>
    <w:p>
      <w:pPr>
        <w:spacing w:after="0" w:line="36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18"/>
        <w:numPr>
          <w:ilvl w:val="4"/>
          <w:numId w:val="70"/>
        </w:numPr>
        <w:tabs>
          <w:tab w:val="left" w:pos="1621"/>
        </w:tabs>
        <w:spacing w:before="143" w:after="0" w:line="240" w:lineRule="auto"/>
        <w:ind w:left="1621" w:right="0" w:hanging="601"/>
        <w:jc w:val="left"/>
        <w:rPr>
          <w:sz w:val="24"/>
        </w:rPr>
      </w:pPr>
      <w:r>
        <w:rPr>
          <w:sz w:val="24"/>
        </w:rPr>
        <w:t>一般固废管理措施</w:t>
      </w:r>
    </w:p>
    <w:p>
      <w:pPr>
        <w:pStyle w:val="7"/>
        <w:spacing w:before="160" w:line="364" w:lineRule="auto"/>
        <w:ind w:right="577" w:firstLine="480"/>
        <w:jc w:val="both"/>
      </w:pPr>
      <w:r>
        <w:rPr>
          <w:spacing w:val="-1"/>
        </w:rPr>
        <w:t>①对固体废物实行从产生、收集、运输、贮存直至最终处理实行全过程管</w:t>
      </w:r>
      <w:r>
        <w:rPr>
          <w:spacing w:val="-12"/>
        </w:rPr>
        <w:t>理，按照有关法律、法规的要求，对固体废弃物全过程管理应报当地环保行政主</w:t>
      </w:r>
      <w:r>
        <w:t>管部门等批准；</w:t>
      </w:r>
    </w:p>
    <w:p>
      <w:pPr>
        <w:pStyle w:val="7"/>
        <w:spacing w:before="2" w:line="364" w:lineRule="auto"/>
        <w:ind w:right="577" w:firstLine="480"/>
        <w:jc w:val="both"/>
      </w:pPr>
      <w:r>
        <w:rPr>
          <w:spacing w:val="-1"/>
        </w:rPr>
        <w:t>②加强固体废物规范化管理，固体废物分类定点堆放，堆放场所远离办公</w:t>
      </w:r>
      <w:r>
        <w:rPr>
          <w:spacing w:val="-8"/>
        </w:rPr>
        <w:t>区和周围环境敏感点。本项目一般固废主要为羊粪，收集后立即利用，不在场内</w:t>
      </w:r>
      <w:r>
        <w:t>长期堆放；</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w:t>
      </w:r>
      <w:r>
        <w:t>；</w:t>
      </w:r>
    </w:p>
    <w:p>
      <w:pPr>
        <w:pStyle w:val="7"/>
        <w:spacing w:before="2"/>
        <w:ind w:left="1020"/>
        <w:jc w:val="both"/>
      </w:pPr>
      <w:r>
        <w:t>③固体废物及时清运，避免产生二次污染；</w:t>
      </w:r>
    </w:p>
    <w:p>
      <w:pPr>
        <w:pStyle w:val="7"/>
        <w:spacing w:before="160"/>
        <w:ind w:left="1020"/>
        <w:jc w:val="both"/>
      </w:pPr>
      <w:r>
        <w:t>④固体废物运输过程中应做到密闭运输，防治固废的泄露，减少污染。</w:t>
      </w:r>
    </w:p>
    <w:p>
      <w:pPr>
        <w:pStyle w:val="18"/>
        <w:numPr>
          <w:ilvl w:val="4"/>
          <w:numId w:val="70"/>
        </w:numPr>
        <w:tabs>
          <w:tab w:val="left" w:pos="1621"/>
        </w:tabs>
        <w:spacing w:before="161" w:after="0" w:line="240" w:lineRule="auto"/>
        <w:ind w:left="1621" w:right="0" w:hanging="601"/>
        <w:jc w:val="left"/>
        <w:rPr>
          <w:sz w:val="24"/>
        </w:rPr>
      </w:pPr>
      <w:r>
        <w:rPr>
          <w:sz w:val="24"/>
        </w:rPr>
        <w:t>危险固废管理措施</w:t>
      </w:r>
    </w:p>
    <w:p>
      <w:pPr>
        <w:pStyle w:val="7"/>
        <w:spacing w:before="160" w:line="364" w:lineRule="auto"/>
        <w:ind w:right="405" w:firstLine="480"/>
      </w:pPr>
      <w:r>
        <w:t>危险废物的管理严格执行《危险废物贮存污染控制标准》（</w:t>
      </w:r>
      <w:r>
        <w:rPr>
          <w:rFonts w:ascii="Times New Roman" w:eastAsia="Times New Roman"/>
        </w:rPr>
        <w:t>GB18597-2001</w:t>
      </w:r>
      <w:r>
        <w:t>）中相关规定。</w:t>
      </w:r>
    </w:p>
    <w:p>
      <w:pPr>
        <w:pStyle w:val="7"/>
        <w:spacing w:before="2" w:line="364" w:lineRule="auto"/>
        <w:ind w:right="580" w:firstLine="480"/>
      </w:pPr>
      <w:r>
        <w:t>①采取室内贮存方式，设置环境保护图形标志和警示标志，并清楚地标明废物类别、数量、危险特性等；</w:t>
      </w:r>
    </w:p>
    <w:p>
      <w:pPr>
        <w:pStyle w:val="7"/>
        <w:spacing w:before="1"/>
        <w:ind w:left="1020"/>
      </w:pPr>
      <w:r>
        <w:t>②按类别放入相应的容器内，不同的危险废物分开存放并设有隔离间隔断；</w:t>
      </w:r>
    </w:p>
    <w:p>
      <w:pPr>
        <w:pStyle w:val="7"/>
        <w:spacing w:before="160" w:line="364" w:lineRule="auto"/>
        <w:ind w:right="577" w:firstLine="480"/>
        <w:jc w:val="both"/>
      </w:pPr>
      <w:r>
        <w:rPr>
          <w:spacing w:val="-1"/>
        </w:rPr>
        <w:t>③堆放场为封闭砖混构筑物，室内地面为水泥地，具有耐腐蚀性，基础设</w:t>
      </w:r>
      <w:r>
        <w:rPr>
          <w:spacing w:val="-15"/>
        </w:rPr>
        <w:t>置至少</w:t>
      </w:r>
      <w:r>
        <w:rPr>
          <w:rFonts w:ascii="Times New Roman" w:hAnsi="Times New Roman" w:eastAsia="Times New Roman"/>
        </w:rPr>
        <w:t>0.5m</w:t>
      </w:r>
      <w:r>
        <w:rPr>
          <w:spacing w:val="-1"/>
        </w:rPr>
        <w:t>厚粘土层作为防渗层，室内四周设置围堰，具有防渗、防晒、防雨</w:t>
      </w:r>
      <w:r>
        <w:t>和防风的效果；</w:t>
      </w:r>
    </w:p>
    <w:p>
      <w:pPr>
        <w:pStyle w:val="7"/>
        <w:spacing w:before="2" w:line="364" w:lineRule="auto"/>
        <w:ind w:right="580" w:firstLine="480"/>
        <w:jc w:val="both"/>
      </w:pPr>
      <w:r>
        <w:rPr>
          <w:spacing w:val="-1"/>
        </w:rPr>
        <w:t>④废物运输过程中应做好危废的密闭储存措施，防止运输时危废的泄漏，</w:t>
      </w:r>
      <w:r>
        <w:t>造成环境污染；</w:t>
      </w:r>
    </w:p>
    <w:p>
      <w:pPr>
        <w:pStyle w:val="7"/>
        <w:spacing w:before="1" w:line="364" w:lineRule="auto"/>
        <w:ind w:right="580" w:firstLine="480"/>
        <w:jc w:val="both"/>
      </w:pPr>
      <w:r>
        <w:t>⑤建立档案制度，对暂存的废物种类、数量、特性、包装容器类别、存放库位、存入日期、运出日期等详细记录在案并长期保存；</w:t>
      </w:r>
    </w:p>
    <w:p>
      <w:pPr>
        <w:pStyle w:val="7"/>
        <w:spacing w:before="1"/>
        <w:ind w:left="1020"/>
        <w:jc w:val="both"/>
      </w:pPr>
      <w:r>
        <w:t>⑥建立定期巡查、维护制度。</w:t>
      </w:r>
    </w:p>
    <w:p>
      <w:pPr>
        <w:pStyle w:val="7"/>
        <w:spacing w:before="161" w:line="364" w:lineRule="auto"/>
        <w:ind w:right="577" w:firstLine="480"/>
      </w:pPr>
      <w:r>
        <w:rPr>
          <w:spacing w:val="-10"/>
        </w:rPr>
        <w:t>综上所述，本项目对产生的固体废物均采取了妥善的处理或处置措施，不会</w:t>
      </w:r>
      <w:r>
        <w:t>对环境产生二次污染。</w:t>
      </w:r>
    </w:p>
    <w:p>
      <w:pPr>
        <w:pStyle w:val="5"/>
        <w:numPr>
          <w:ilvl w:val="2"/>
          <w:numId w:val="62"/>
        </w:numPr>
        <w:tabs>
          <w:tab w:val="left" w:pos="1241"/>
        </w:tabs>
        <w:spacing w:before="115" w:after="0" w:line="240" w:lineRule="auto"/>
        <w:ind w:left="1240" w:right="0" w:hanging="701"/>
        <w:jc w:val="left"/>
        <w:outlineLvl w:val="2"/>
      </w:pPr>
      <w:bookmarkStart w:id="399" w:name="6.2.5 地下水污染防治措施分析"/>
      <w:bookmarkEnd w:id="399"/>
      <w:bookmarkStart w:id="400" w:name="6.2.5 地下水污染防治措施分析"/>
      <w:bookmarkEnd w:id="400"/>
      <w:bookmarkStart w:id="401" w:name="_Toc32365"/>
      <w:r>
        <w:t>地下水污染防治措施分析</w:t>
      </w:r>
      <w:bookmarkEnd w:id="401"/>
    </w:p>
    <w:p>
      <w:pPr>
        <w:pStyle w:val="7"/>
        <w:spacing w:before="1"/>
        <w:ind w:left="0"/>
        <w:rPr>
          <w:b/>
          <w:sz w:val="22"/>
        </w:rPr>
      </w:pPr>
    </w:p>
    <w:p>
      <w:pPr>
        <w:pStyle w:val="18"/>
        <w:numPr>
          <w:ilvl w:val="3"/>
          <w:numId w:val="71"/>
        </w:numPr>
        <w:tabs>
          <w:tab w:val="left" w:pos="1320"/>
        </w:tabs>
        <w:spacing w:before="1" w:after="0" w:line="240" w:lineRule="auto"/>
        <w:ind w:left="1320" w:right="0" w:hanging="780"/>
        <w:jc w:val="left"/>
        <w:rPr>
          <w:sz w:val="24"/>
        </w:rPr>
      </w:pPr>
      <w:bookmarkStart w:id="402" w:name="6.2.5.1 污染防治措施"/>
      <w:bookmarkEnd w:id="402"/>
      <w:bookmarkStart w:id="403" w:name="6.2.5.1 污染防治措施"/>
      <w:bookmarkEnd w:id="403"/>
      <w:r>
        <w:rPr>
          <w:sz w:val="24"/>
        </w:rPr>
        <w:t>污染防治措施</w:t>
      </w:r>
    </w:p>
    <w:p>
      <w:pPr>
        <w:pStyle w:val="18"/>
        <w:numPr>
          <w:ilvl w:val="4"/>
          <w:numId w:val="71"/>
        </w:numPr>
        <w:tabs>
          <w:tab w:val="left" w:pos="1621"/>
        </w:tabs>
        <w:spacing w:before="143" w:after="0" w:line="240" w:lineRule="auto"/>
        <w:ind w:left="1621" w:right="0" w:hanging="601"/>
        <w:jc w:val="left"/>
        <w:rPr>
          <w:sz w:val="24"/>
          <w:szCs w:val="24"/>
        </w:rPr>
      </w:pPr>
      <w:r>
        <w:rPr>
          <w:spacing w:val="-10"/>
          <w:sz w:val="24"/>
          <w:szCs w:val="24"/>
        </w:rPr>
        <w:t>根据主要影响环节分析，评价认为项目在采取相关措施后可避免评价区地下</w:t>
      </w:r>
      <w:r>
        <w:rPr>
          <w:sz w:val="24"/>
          <w:szCs w:val="24"/>
        </w:rPr>
        <w:t>水的影响：</w:t>
      </w:r>
    </w:p>
    <w:p>
      <w:pPr>
        <w:pStyle w:val="18"/>
        <w:numPr>
          <w:ilvl w:val="4"/>
          <w:numId w:val="71"/>
        </w:numPr>
        <w:tabs>
          <w:tab w:val="left" w:pos="1621"/>
        </w:tabs>
        <w:spacing w:before="143" w:after="0" w:line="240" w:lineRule="auto"/>
        <w:ind w:left="1621" w:right="0" w:hanging="601"/>
        <w:jc w:val="left"/>
        <w:rPr>
          <w:sz w:val="24"/>
        </w:rPr>
      </w:pPr>
      <w:r>
        <w:rPr>
          <w:sz w:val="24"/>
        </w:rPr>
        <w:t>对堆肥厂和无害化处理车间等采取严格的防渗措施；</w:t>
      </w:r>
    </w:p>
    <w:p>
      <w:pPr>
        <w:pStyle w:val="18"/>
        <w:numPr>
          <w:ilvl w:val="4"/>
          <w:numId w:val="71"/>
        </w:numPr>
        <w:tabs>
          <w:tab w:val="left" w:pos="1621"/>
        </w:tabs>
        <w:spacing w:before="160" w:after="0" w:line="364" w:lineRule="auto"/>
        <w:ind w:left="540" w:right="581" w:firstLine="480"/>
        <w:jc w:val="both"/>
        <w:rPr>
          <w:sz w:val="24"/>
        </w:rPr>
      </w:pPr>
      <w:r>
        <w:rPr>
          <w:sz w:val="24"/>
        </w:rPr>
        <w:t>本项目废气污染源均采取了有效地治理措施，使排入环境空气中的污</w:t>
      </w:r>
      <w:r>
        <w:rPr>
          <w:spacing w:val="-8"/>
          <w:sz w:val="24"/>
        </w:rPr>
        <w:t>染物得到了较好的控制，均可做到达标排放。因此，本项目排放的废气不会对地</w:t>
      </w:r>
      <w:r>
        <w:rPr>
          <w:sz w:val="24"/>
        </w:rPr>
        <w:t>下水造成明显不利影响。</w:t>
      </w:r>
    </w:p>
    <w:p>
      <w:pPr>
        <w:pStyle w:val="18"/>
        <w:numPr>
          <w:ilvl w:val="4"/>
          <w:numId w:val="71"/>
        </w:numPr>
        <w:tabs>
          <w:tab w:val="left" w:pos="1621"/>
        </w:tabs>
        <w:spacing w:before="2" w:after="0" w:line="364" w:lineRule="auto"/>
        <w:ind w:left="540" w:right="605" w:firstLine="480"/>
        <w:jc w:val="left"/>
        <w:rPr>
          <w:sz w:val="24"/>
        </w:rPr>
      </w:pPr>
      <w:r>
        <w:rPr>
          <w:spacing w:val="-1"/>
          <w:sz w:val="24"/>
        </w:rPr>
        <w:t>本项目建设区无不良地质现象，也无采矿等形成的采空区，因相关自</w:t>
      </w:r>
      <w:r>
        <w:rPr>
          <w:sz w:val="24"/>
        </w:rPr>
        <w:t>然等原因导致的废水渗漏因素也较小。</w:t>
      </w:r>
    </w:p>
    <w:p>
      <w:pPr>
        <w:pStyle w:val="18"/>
        <w:numPr>
          <w:ilvl w:val="4"/>
          <w:numId w:val="71"/>
        </w:numPr>
        <w:tabs>
          <w:tab w:val="left" w:pos="1621"/>
        </w:tabs>
        <w:spacing w:before="1" w:after="0" w:line="240" w:lineRule="auto"/>
        <w:ind w:left="1621" w:right="0" w:hanging="601"/>
        <w:jc w:val="left"/>
        <w:rPr>
          <w:sz w:val="24"/>
        </w:rPr>
      </w:pPr>
      <w:r>
        <w:rPr>
          <w:sz w:val="24"/>
        </w:rPr>
        <w:t>地下水污染监控</w:t>
      </w:r>
    </w:p>
    <w:p>
      <w:pPr>
        <w:pStyle w:val="7"/>
        <w:spacing w:before="161" w:line="364" w:lineRule="auto"/>
        <w:ind w:right="577" w:firstLine="480"/>
        <w:jc w:val="both"/>
      </w:pPr>
      <w:r>
        <w:rPr>
          <w:spacing w:val="-5"/>
        </w:rPr>
        <w:t>建设单位应定期委托有资质机构对基地内的土壤和地下水进行分析，以了解</w:t>
      </w:r>
      <w:r>
        <w:rPr>
          <w:spacing w:val="-8"/>
        </w:rPr>
        <w:t>基地地下水的水质情况。具体监测要求见环境管理与监测计划章节相关内容。同</w:t>
      </w:r>
      <w:r>
        <w:rPr>
          <w:spacing w:val="-10"/>
        </w:rPr>
        <w:t>时，应对各污染防治区域进行定期检查，如发现泄漏或发生事故，应及时确定泄</w:t>
      </w:r>
      <w:r>
        <w:t>漏污染源，并采取应急措施。</w:t>
      </w:r>
    </w:p>
    <w:p>
      <w:pPr>
        <w:pStyle w:val="18"/>
        <w:numPr>
          <w:ilvl w:val="3"/>
          <w:numId w:val="71"/>
        </w:numPr>
        <w:tabs>
          <w:tab w:val="left" w:pos="1320"/>
        </w:tabs>
        <w:spacing w:before="12" w:after="0" w:line="240" w:lineRule="auto"/>
        <w:ind w:left="1320" w:right="0" w:hanging="780"/>
        <w:jc w:val="both"/>
        <w:rPr>
          <w:sz w:val="24"/>
        </w:rPr>
      </w:pPr>
      <w:bookmarkStart w:id="404" w:name="6.2.5.2 地下水分区防控措施"/>
      <w:bookmarkEnd w:id="404"/>
      <w:bookmarkStart w:id="405" w:name="6.2.5.2 地下水分区防控措施"/>
      <w:bookmarkEnd w:id="405"/>
      <w:r>
        <w:rPr>
          <w:sz w:val="24"/>
        </w:rPr>
        <w:t>地下水分区防控措施</w:t>
      </w:r>
    </w:p>
    <w:p>
      <w:pPr>
        <w:pStyle w:val="18"/>
        <w:numPr>
          <w:ilvl w:val="0"/>
          <w:numId w:val="72"/>
        </w:numPr>
        <w:tabs>
          <w:tab w:val="left" w:pos="1621"/>
        </w:tabs>
        <w:spacing w:before="167" w:after="0" w:line="240" w:lineRule="auto"/>
        <w:ind w:left="1621" w:right="0" w:hanging="601"/>
        <w:jc w:val="left"/>
        <w:rPr>
          <w:sz w:val="24"/>
        </w:rPr>
      </w:pPr>
      <w:r>
        <w:rPr>
          <w:sz w:val="24"/>
        </w:rPr>
        <w:t>源头防控</w:t>
      </w:r>
    </w:p>
    <w:p>
      <w:pPr>
        <w:pStyle w:val="7"/>
        <w:spacing w:before="161" w:line="364" w:lineRule="auto"/>
        <w:ind w:right="577" w:firstLine="480"/>
        <w:jc w:val="both"/>
      </w:pPr>
      <w:r>
        <w:rPr>
          <w:spacing w:val="-7"/>
        </w:rPr>
        <w:t>主要通过清洁生产减少项目废水、废物产生量；对污水收集管道、污水收集</w:t>
      </w:r>
      <w:r>
        <w:t>池体及其余相关建构筑物采取污染可控制措施，将污染物跑冒滴漏降到最低限度。</w:t>
      </w:r>
    </w:p>
    <w:p>
      <w:pPr>
        <w:pStyle w:val="18"/>
        <w:numPr>
          <w:ilvl w:val="0"/>
          <w:numId w:val="72"/>
        </w:numPr>
        <w:tabs>
          <w:tab w:val="left" w:pos="1621"/>
        </w:tabs>
        <w:spacing w:before="2" w:after="0" w:line="240" w:lineRule="auto"/>
        <w:ind w:left="1621" w:right="0" w:hanging="601"/>
        <w:jc w:val="left"/>
        <w:rPr>
          <w:sz w:val="24"/>
        </w:rPr>
      </w:pPr>
      <w:r>
        <w:rPr>
          <w:sz w:val="24"/>
        </w:rPr>
        <w:t>分区防渗</w:t>
      </w:r>
    </w:p>
    <w:p>
      <w:pPr>
        <w:pStyle w:val="7"/>
        <w:spacing w:before="160" w:line="364" w:lineRule="auto"/>
        <w:ind w:right="577" w:firstLine="480"/>
      </w:pPr>
      <w:r>
        <w:t>根据《环境影响评价技术导则</w:t>
      </w:r>
      <w:r>
        <w:rPr>
          <w:rFonts w:ascii="Times New Roman" w:hAnsi="Times New Roman" w:eastAsia="Times New Roman"/>
        </w:rPr>
        <w:t>·</w:t>
      </w:r>
      <w:r>
        <w:t>地下水环境》（</w:t>
      </w:r>
      <w:r>
        <w:rPr>
          <w:rFonts w:ascii="Times New Roman" w:hAnsi="Times New Roman" w:eastAsia="Times New Roman"/>
        </w:rPr>
        <w:t>HJ610-2016</w:t>
      </w:r>
      <w:r>
        <w:t>），以及本项目平面布局，环评要求厂区采用分区防渗，将厂区分为不同等级防渗区域：</w:t>
      </w:r>
    </w:p>
    <w:p>
      <w:pPr>
        <w:pStyle w:val="7"/>
        <w:spacing w:before="1"/>
        <w:ind w:left="1020"/>
      </w:pPr>
      <w:r>
        <w:t>①重点防渗区</w:t>
      </w:r>
    </w:p>
    <w:p>
      <w:pPr>
        <w:pStyle w:val="7"/>
        <w:spacing w:before="161" w:line="364" w:lineRule="auto"/>
        <w:ind w:right="452" w:firstLine="480"/>
      </w:pPr>
      <w:r>
        <w:rPr>
          <w:spacing w:val="-5"/>
        </w:rPr>
        <w:t>病死尸体无害化处理车间为重点防渗区。污染区防渗措施：地面采取粘土铺</w:t>
      </w:r>
      <w:r>
        <w:rPr>
          <w:spacing w:val="-2"/>
        </w:rPr>
        <w:t>底，再在上层铺</w:t>
      </w:r>
      <w:r>
        <w:rPr>
          <w:rFonts w:ascii="Times New Roman" w:hAnsi="Times New Roman" w:eastAsia="Times New Roman"/>
        </w:rPr>
        <w:t>10</w:t>
      </w:r>
      <w:r>
        <w:t>～</w:t>
      </w:r>
      <w:r>
        <w:rPr>
          <w:rFonts w:ascii="Times New Roman" w:hAnsi="Times New Roman" w:eastAsia="Times New Roman"/>
        </w:rPr>
        <w:t>15cm</w:t>
      </w:r>
      <w:r>
        <w:t>的水泥进行硬化，并涂覆环氧树脂防腐防渗。通过上述措施可使污染区各单元防渗达到等效黏土防渗层</w:t>
      </w:r>
      <w:r>
        <w:rPr>
          <w:rFonts w:ascii="Times New Roman" w:hAnsi="Times New Roman" w:eastAsia="Times New Roman"/>
          <w:spacing w:val="-1"/>
        </w:rPr>
        <w:t>M</w:t>
      </w:r>
      <w:r>
        <w:rPr>
          <w:rFonts w:ascii="Times New Roman" w:hAnsi="Times New Roman" w:eastAsia="Times New Roman"/>
          <w:spacing w:val="-2"/>
        </w:rPr>
        <w:t>b</w:t>
      </w:r>
      <w:r>
        <w:rPr>
          <w:spacing w:val="-1"/>
        </w:rPr>
        <w:t>≥</w:t>
      </w:r>
      <w:r>
        <w:rPr>
          <w:rFonts w:ascii="Times New Roman" w:hAnsi="Times New Roman" w:eastAsia="Times New Roman"/>
          <w:spacing w:val="-1"/>
        </w:rPr>
        <w:t>6.0m</w:t>
      </w:r>
      <w:r>
        <w:rPr>
          <w:spacing w:val="-66"/>
        </w:rPr>
        <w:t>，</w:t>
      </w:r>
      <w:r>
        <w:rPr>
          <w:rFonts w:ascii="Times New Roman" w:hAnsi="Times New Roman" w:eastAsia="Times New Roman"/>
          <w:spacing w:val="-2"/>
        </w:rPr>
        <w:t>K</w:t>
      </w:r>
      <w:r>
        <w:rPr>
          <w:spacing w:val="-1"/>
        </w:rPr>
        <w:t>≤</w:t>
      </w:r>
      <w:r>
        <w:rPr>
          <w:rFonts w:ascii="Times New Roman" w:hAnsi="Times New Roman" w:eastAsia="Times New Roman"/>
          <w:spacing w:val="-1"/>
        </w:rPr>
        <w:t>1.0</w:t>
      </w:r>
      <w:r>
        <w:rPr>
          <w:rFonts w:ascii="Times New Roman" w:hAnsi="Times New Roman" w:eastAsia="Times New Roman"/>
          <w:spacing w:val="-2"/>
        </w:rPr>
        <w:t>×</w:t>
      </w:r>
      <w:r>
        <w:rPr>
          <w:rFonts w:ascii="Times New Roman" w:hAnsi="Times New Roman" w:eastAsia="Times New Roman"/>
          <w:spacing w:val="-1"/>
        </w:rPr>
        <w:t>10</w:t>
      </w:r>
      <w:r>
        <w:rPr>
          <w:rFonts w:ascii="Times New Roman" w:hAnsi="Times New Roman" w:eastAsia="Times New Roman"/>
          <w:spacing w:val="-3"/>
          <w:w w:val="104"/>
          <w:position w:val="8"/>
          <w:sz w:val="15"/>
        </w:rPr>
        <w:t>-</w:t>
      </w:r>
      <w:r>
        <w:rPr>
          <w:rFonts w:ascii="Times New Roman" w:hAnsi="Times New Roman" w:eastAsia="Times New Roman"/>
          <w:spacing w:val="0"/>
          <w:w w:val="104"/>
          <w:position w:val="8"/>
          <w:sz w:val="15"/>
        </w:rPr>
        <w:t>7</w:t>
      </w:r>
      <w:r>
        <w:rPr>
          <w:rFonts w:ascii="Times New Roman" w:hAnsi="Times New Roman" w:eastAsia="Times New Roman"/>
          <w:spacing w:val="-2"/>
        </w:rPr>
        <w:t>c</w:t>
      </w:r>
      <w:r>
        <w:rPr>
          <w:rFonts w:ascii="Times New Roman" w:hAnsi="Times New Roman" w:eastAsia="Times New Roman"/>
          <w:spacing w:val="-1"/>
        </w:rPr>
        <w:t>m/s</w:t>
      </w:r>
      <w:r>
        <w:rPr>
          <w:spacing w:val="-1"/>
        </w:rPr>
        <w:t>；</w:t>
      </w:r>
      <w:r>
        <w:t>或参照</w:t>
      </w:r>
      <w:r>
        <w:rPr>
          <w:rFonts w:ascii="Times New Roman" w:hAnsi="Times New Roman" w:eastAsia="Times New Roman"/>
        </w:rPr>
        <w:t>GB18598</w:t>
      </w:r>
      <w:r>
        <w:t>执行。</w:t>
      </w:r>
    </w:p>
    <w:p>
      <w:pPr>
        <w:pStyle w:val="7"/>
        <w:spacing w:before="2"/>
        <w:ind w:left="1020"/>
      </w:pPr>
      <w:r>
        <w:t>②一般防渗区</w:t>
      </w:r>
    </w:p>
    <w:p>
      <w:pPr>
        <w:pStyle w:val="7"/>
        <w:spacing w:before="161" w:line="364" w:lineRule="auto"/>
        <w:ind w:right="577" w:firstLine="480"/>
      </w:pPr>
      <w:r>
        <w:rPr>
          <w:spacing w:val="-11"/>
        </w:rPr>
        <w:t>项目羊舍、堆肥厂、和青储池地面等为一般防渗区。污染区防渗措施：地面</w:t>
      </w:r>
      <w:r>
        <w:t>采取粘土铺底，再在上层铺</w:t>
      </w:r>
      <w:r>
        <w:rPr>
          <w:rFonts w:ascii="Times New Roman" w:hAnsi="Times New Roman" w:eastAsia="Times New Roman"/>
        </w:rPr>
        <w:t>10</w:t>
      </w:r>
      <w:r>
        <w:t>～</w:t>
      </w:r>
      <w:r>
        <w:rPr>
          <w:rFonts w:ascii="Times New Roman" w:hAnsi="Times New Roman" w:eastAsia="Times New Roman"/>
        </w:rPr>
        <w:t>15cm</w:t>
      </w:r>
      <w:r>
        <w:t>的水泥进行硬化。通过上述措施可使污染区各单元防渗达到等效黏土防渗层</w:t>
      </w:r>
      <w:r>
        <w:rPr>
          <w:rFonts w:ascii="Times New Roman" w:hAnsi="Times New Roman" w:eastAsia="Times New Roman"/>
        </w:rPr>
        <w:t>Mb</w:t>
      </w:r>
      <w:r>
        <w:t>≥</w:t>
      </w:r>
      <w:r>
        <w:rPr>
          <w:rFonts w:ascii="Times New Roman" w:hAnsi="Times New Roman" w:eastAsia="Times New Roman"/>
        </w:rPr>
        <w:t>1.5m</w:t>
      </w:r>
      <w:r>
        <w:rPr>
          <w:spacing w:val="-82"/>
        </w:rPr>
        <w:t>，</w:t>
      </w:r>
      <w:r>
        <w:rPr>
          <w:rFonts w:ascii="Times New Roman" w:hAnsi="Times New Roman" w:eastAsia="Times New Roman"/>
          <w:spacing w:val="1"/>
        </w:rPr>
        <w:t>K</w:t>
      </w:r>
      <w:r>
        <w:t>≤</w:t>
      </w:r>
      <w:r>
        <w:rPr>
          <w:rFonts w:ascii="Times New Roman" w:hAnsi="Times New Roman" w:eastAsia="Times New Roman"/>
        </w:rPr>
        <w:t>1.0</w:t>
      </w:r>
      <w:r>
        <w:rPr>
          <w:rFonts w:ascii="Times New Roman" w:hAnsi="Times New Roman" w:eastAsia="Times New Roman"/>
          <w:spacing w:val="-1"/>
        </w:rPr>
        <w:t>×</w:t>
      </w:r>
      <w:r>
        <w:rPr>
          <w:rFonts w:ascii="Times New Roman" w:hAnsi="Times New Roman" w:eastAsia="Times New Roman"/>
        </w:rPr>
        <w:t>10</w:t>
      </w:r>
      <w:r>
        <w:rPr>
          <w:rFonts w:ascii="Times New Roman" w:hAnsi="Times New Roman" w:eastAsia="Times New Roman"/>
          <w:spacing w:val="-2"/>
          <w:w w:val="104"/>
          <w:position w:val="8"/>
          <w:sz w:val="15"/>
        </w:rPr>
        <w:t>-</w:t>
      </w:r>
      <w:r>
        <w:rPr>
          <w:rFonts w:ascii="Times New Roman" w:hAnsi="Times New Roman" w:eastAsia="Times New Roman"/>
          <w:spacing w:val="1"/>
          <w:w w:val="104"/>
          <w:position w:val="8"/>
          <w:sz w:val="15"/>
        </w:rPr>
        <w:t>7</w:t>
      </w:r>
      <w:r>
        <w:rPr>
          <w:rFonts w:ascii="Times New Roman" w:hAnsi="Times New Roman" w:eastAsia="Times New Roman"/>
          <w:spacing w:val="-1"/>
        </w:rPr>
        <w:t>c</w:t>
      </w:r>
      <w:r>
        <w:rPr>
          <w:rFonts w:ascii="Times New Roman" w:hAnsi="Times New Roman" w:eastAsia="Times New Roman"/>
        </w:rPr>
        <w:t>m/s</w:t>
      </w:r>
      <w:r>
        <w:rPr>
          <w:spacing w:val="-21"/>
        </w:rPr>
        <w:t>；或参照</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rPr>
        <w:t>16899</w:t>
      </w:r>
      <w:r>
        <w:t>执行。</w:t>
      </w:r>
    </w:p>
    <w:p>
      <w:pPr>
        <w:spacing w:after="0" w:line="364" w:lineRule="auto"/>
        <w:sectPr>
          <w:footerReference r:id="rId26"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ind w:left="1020"/>
        <w:jc w:val="both"/>
      </w:pPr>
      <w:r>
        <w:t>③简单防渗区</w:t>
      </w:r>
    </w:p>
    <w:p>
      <w:pPr>
        <w:pStyle w:val="7"/>
        <w:spacing w:before="160" w:line="364" w:lineRule="auto"/>
        <w:ind w:right="577" w:firstLine="480"/>
        <w:jc w:val="both"/>
      </w:pPr>
      <w:r>
        <w:rPr>
          <w:spacing w:val="-11"/>
        </w:rPr>
        <w:t>项目管理区、库房、道路和空地等区域为简单防渗区。对于基本上不产生污</w:t>
      </w:r>
      <w:r>
        <w:rPr>
          <w:spacing w:val="-9"/>
        </w:rPr>
        <w:t>染物的非污染防治区，仅进行一般地面硬化，不采取专门针对地下水污染的防治</w:t>
      </w:r>
      <w:r>
        <w:t>措施。</w:t>
      </w:r>
    </w:p>
    <w:p>
      <w:pPr>
        <w:pStyle w:val="7"/>
        <w:spacing w:before="2" w:line="364" w:lineRule="auto"/>
        <w:ind w:right="577" w:firstLine="480"/>
      </w:pPr>
      <w:r>
        <w:t>地下水防渗分区参照表</w:t>
      </w:r>
      <w:r>
        <w:rPr>
          <w:rFonts w:ascii="Times New Roman" w:eastAsia="Times New Roman"/>
        </w:rPr>
        <w:t>6.2-1</w:t>
      </w:r>
      <w:r>
        <w:t>，本项目地下水防渗分区情况见表</w:t>
      </w:r>
      <w:r>
        <w:rPr>
          <w:rFonts w:ascii="Times New Roman" w:eastAsia="Times New Roman"/>
        </w:rPr>
        <w:t>6.2-2</w:t>
      </w:r>
      <w:r>
        <w:t>，分区防渗图见图</w:t>
      </w:r>
      <w:r>
        <w:rPr>
          <w:rFonts w:ascii="Times New Roman" w:eastAsia="Times New Roman"/>
        </w:rPr>
        <w:t>6.2-3</w:t>
      </w:r>
      <w:r>
        <w:t>。</w:t>
      </w:r>
    </w:p>
    <w:p>
      <w:pPr>
        <w:pStyle w:val="7"/>
        <w:bidi w:val="0"/>
        <w:jc w:val="center"/>
      </w:pPr>
      <w:r>
        <w:t>表</w:t>
      </w:r>
      <w:r>
        <w:rPr>
          <w:rFonts w:ascii="Times New Roman" w:eastAsia="Times New Roman"/>
        </w:rPr>
        <w:t>6.2-1</w:t>
      </w:r>
      <w:r>
        <w:rPr>
          <w:rFonts w:ascii="Times New Roman" w:eastAsia="Times New Roman"/>
        </w:rPr>
        <w:tab/>
      </w:r>
      <w:r>
        <w:t>地下水防渗分区参照表</w:t>
      </w:r>
    </w:p>
    <w:tbl>
      <w:tblPr>
        <w:tblStyle w:val="15"/>
        <w:tblW w:w="0" w:type="auto"/>
        <w:tblInd w:w="4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3"/>
        <w:gridCol w:w="1320"/>
        <w:gridCol w:w="1185"/>
        <w:gridCol w:w="1710"/>
        <w:gridCol w:w="30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83" w:type="dxa"/>
          </w:tcPr>
          <w:p>
            <w:pPr>
              <w:pStyle w:val="19"/>
              <w:spacing w:before="103"/>
              <w:ind w:left="94" w:right="84"/>
              <w:rPr>
                <w:b/>
                <w:sz w:val="21"/>
              </w:rPr>
            </w:pPr>
            <w:r>
              <w:rPr>
                <w:b/>
                <w:sz w:val="21"/>
              </w:rPr>
              <w:t>防渗分区</w:t>
            </w:r>
          </w:p>
        </w:tc>
        <w:tc>
          <w:tcPr>
            <w:tcW w:w="1320" w:type="dxa"/>
          </w:tcPr>
          <w:p>
            <w:pPr>
              <w:pStyle w:val="19"/>
              <w:spacing w:before="1" w:line="240" w:lineRule="exact"/>
              <w:ind w:left="240" w:right="121" w:hanging="106"/>
              <w:jc w:val="left"/>
              <w:rPr>
                <w:b/>
                <w:sz w:val="21"/>
              </w:rPr>
            </w:pPr>
            <w:r>
              <w:rPr>
                <w:b/>
                <w:sz w:val="21"/>
              </w:rPr>
              <w:t>天然包气带防污性能</w:t>
            </w:r>
          </w:p>
        </w:tc>
        <w:tc>
          <w:tcPr>
            <w:tcW w:w="1185" w:type="dxa"/>
          </w:tcPr>
          <w:p>
            <w:pPr>
              <w:pStyle w:val="19"/>
              <w:spacing w:before="1" w:line="240" w:lineRule="exact"/>
              <w:ind w:left="171" w:right="159"/>
              <w:jc w:val="left"/>
              <w:rPr>
                <w:b/>
                <w:sz w:val="21"/>
              </w:rPr>
            </w:pPr>
            <w:r>
              <w:rPr>
                <w:b/>
                <w:sz w:val="21"/>
              </w:rPr>
              <w:t>污染控制难易程度</w:t>
            </w:r>
          </w:p>
        </w:tc>
        <w:tc>
          <w:tcPr>
            <w:tcW w:w="1710" w:type="dxa"/>
          </w:tcPr>
          <w:p>
            <w:pPr>
              <w:pStyle w:val="19"/>
              <w:spacing w:before="103"/>
              <w:ind w:left="308" w:right="297"/>
              <w:rPr>
                <w:b/>
                <w:sz w:val="21"/>
              </w:rPr>
            </w:pPr>
            <w:r>
              <w:rPr>
                <w:b/>
                <w:sz w:val="21"/>
              </w:rPr>
              <w:t>污染物类型</w:t>
            </w:r>
          </w:p>
        </w:tc>
        <w:tc>
          <w:tcPr>
            <w:tcW w:w="3024" w:type="dxa"/>
          </w:tcPr>
          <w:p>
            <w:pPr>
              <w:pStyle w:val="19"/>
              <w:spacing w:before="103"/>
              <w:ind w:left="859" w:right="849"/>
              <w:rPr>
                <w:b/>
                <w:sz w:val="21"/>
              </w:rPr>
            </w:pPr>
            <w:r>
              <w:rPr>
                <w:b/>
                <w:sz w:val="21"/>
              </w:rPr>
              <w:t>防渗技术要求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283" w:type="dxa"/>
            <w:vMerge w:val="restart"/>
          </w:tcPr>
          <w:p>
            <w:pPr>
              <w:pStyle w:val="19"/>
              <w:spacing w:before="5"/>
              <w:jc w:val="left"/>
              <w:rPr>
                <w:b/>
                <w:sz w:val="25"/>
              </w:rPr>
            </w:pPr>
          </w:p>
          <w:p>
            <w:pPr>
              <w:pStyle w:val="19"/>
              <w:spacing w:line="213" w:lineRule="auto"/>
              <w:ind w:left="534" w:right="107" w:hanging="420"/>
              <w:jc w:val="left"/>
              <w:rPr>
                <w:sz w:val="21"/>
              </w:rPr>
            </w:pPr>
            <w:r>
              <w:rPr>
                <w:sz w:val="21"/>
              </w:rPr>
              <w:t>重点防渗分区</w:t>
            </w:r>
          </w:p>
        </w:tc>
        <w:tc>
          <w:tcPr>
            <w:tcW w:w="1320" w:type="dxa"/>
          </w:tcPr>
          <w:p>
            <w:pPr>
              <w:pStyle w:val="19"/>
              <w:spacing w:before="46"/>
              <w:ind w:left="9"/>
              <w:rPr>
                <w:sz w:val="21"/>
              </w:rPr>
            </w:pPr>
            <w:r>
              <w:rPr>
                <w:w w:val="99"/>
                <w:sz w:val="21"/>
              </w:rPr>
              <w:t>弱</w:t>
            </w:r>
          </w:p>
        </w:tc>
        <w:tc>
          <w:tcPr>
            <w:tcW w:w="1185" w:type="dxa"/>
          </w:tcPr>
          <w:p>
            <w:pPr>
              <w:pStyle w:val="19"/>
              <w:spacing w:before="46"/>
              <w:ind w:left="5"/>
              <w:rPr>
                <w:sz w:val="21"/>
              </w:rPr>
            </w:pPr>
            <w:r>
              <w:rPr>
                <w:w w:val="99"/>
                <w:sz w:val="21"/>
              </w:rPr>
              <w:t>难</w:t>
            </w:r>
          </w:p>
        </w:tc>
        <w:tc>
          <w:tcPr>
            <w:tcW w:w="1710" w:type="dxa"/>
            <w:vMerge w:val="restart"/>
          </w:tcPr>
          <w:p>
            <w:pPr>
              <w:pStyle w:val="19"/>
              <w:spacing w:before="5"/>
              <w:jc w:val="left"/>
              <w:rPr>
                <w:b/>
                <w:sz w:val="25"/>
              </w:rPr>
            </w:pPr>
          </w:p>
          <w:p>
            <w:pPr>
              <w:pStyle w:val="19"/>
              <w:spacing w:line="213" w:lineRule="auto"/>
              <w:ind w:left="224" w:right="110" w:hanging="106"/>
              <w:jc w:val="left"/>
              <w:rPr>
                <w:sz w:val="21"/>
              </w:rPr>
            </w:pPr>
            <w:r>
              <w:rPr>
                <w:sz w:val="21"/>
              </w:rPr>
              <w:t>重金属、持久性有机物污染物</w:t>
            </w:r>
          </w:p>
        </w:tc>
        <w:tc>
          <w:tcPr>
            <w:tcW w:w="3024" w:type="dxa"/>
            <w:vMerge w:val="restart"/>
          </w:tcPr>
          <w:p>
            <w:pPr>
              <w:pStyle w:val="19"/>
              <w:spacing w:before="183" w:line="255" w:lineRule="exact"/>
              <w:ind w:left="108"/>
              <w:jc w:val="left"/>
              <w:rPr>
                <w:rFonts w:ascii="Times New Roman" w:hAnsi="Times New Roman" w:eastAsia="Times New Roman"/>
                <w:sz w:val="21"/>
              </w:rPr>
            </w:pPr>
            <w:r>
              <w:rPr>
                <w:spacing w:val="-9"/>
                <w:sz w:val="21"/>
              </w:rPr>
              <w:t>等效黏土防渗层</w:t>
            </w:r>
            <w:r>
              <w:rPr>
                <w:rFonts w:ascii="Times New Roman" w:hAnsi="Times New Roman" w:eastAsia="Times New Roman"/>
                <w:sz w:val="21"/>
              </w:rPr>
              <w:t>Mb</w:t>
            </w:r>
            <w:r>
              <w:rPr>
                <w:sz w:val="21"/>
              </w:rPr>
              <w:t>≥</w:t>
            </w:r>
            <w:r>
              <w:rPr>
                <w:rFonts w:ascii="Times New Roman" w:hAnsi="Times New Roman" w:eastAsia="Times New Roman"/>
                <w:sz w:val="21"/>
              </w:rPr>
              <w:t>6.0m</w:t>
            </w:r>
            <w:r>
              <w:rPr>
                <w:sz w:val="21"/>
              </w:rPr>
              <w:t>，</w:t>
            </w:r>
            <w:r>
              <w:rPr>
                <w:rFonts w:ascii="Times New Roman" w:hAnsi="Times New Roman" w:eastAsia="Times New Roman"/>
                <w:sz w:val="21"/>
              </w:rPr>
              <w:t>K</w:t>
            </w:r>
          </w:p>
          <w:p>
            <w:pPr>
              <w:pStyle w:val="19"/>
              <w:spacing w:line="240" w:lineRule="exact"/>
              <w:ind w:left="108"/>
              <w:jc w:val="left"/>
              <w:rPr>
                <w:rFonts w:ascii="Times New Roman" w:hAnsi="Times New Roman" w:eastAsia="Times New Roman"/>
                <w:sz w:val="21"/>
              </w:rPr>
            </w:pPr>
            <w:r>
              <w:rPr>
                <w:spacing w:val="-1"/>
                <w:w w:val="99"/>
                <w:sz w:val="21"/>
              </w:rPr>
              <w:t>≤</w:t>
            </w:r>
            <w:r>
              <w:rPr>
                <w:rFonts w:ascii="Times New Roman" w:hAnsi="Times New Roman" w:eastAsia="Times New Roman"/>
                <w:spacing w:val="1"/>
                <w:w w:val="99"/>
                <w:sz w:val="21"/>
              </w:rPr>
              <w:t>1</w:t>
            </w:r>
            <w:r>
              <w:rPr>
                <w:rFonts w:ascii="Times New Roman" w:hAnsi="Times New Roman" w:eastAsia="Times New Roman"/>
                <w:spacing w:val="-1"/>
                <w:w w:val="99"/>
                <w:sz w:val="21"/>
              </w:rPr>
              <w:t>×</w:t>
            </w:r>
            <w:r>
              <w:rPr>
                <w:rFonts w:ascii="Times New Roman" w:hAnsi="Times New Roman" w:eastAsia="Times New Roman"/>
                <w:spacing w:val="1"/>
                <w:w w:val="99"/>
                <w:sz w:val="21"/>
              </w:rPr>
              <w:t>10</w:t>
            </w:r>
            <w:r>
              <w:rPr>
                <w:rFonts w:ascii="Times New Roman" w:hAnsi="Times New Roman" w:eastAsia="Times New Roman"/>
                <w:spacing w:val="-3"/>
                <w:w w:val="105"/>
                <w:position w:val="7"/>
                <w:sz w:val="13"/>
              </w:rPr>
              <w:t>-</w:t>
            </w:r>
            <w:r>
              <w:rPr>
                <w:rFonts w:ascii="Times New Roman" w:hAnsi="Times New Roman" w:eastAsia="Times New Roman"/>
                <w:spacing w:val="1"/>
                <w:w w:val="105"/>
                <w:position w:val="7"/>
                <w:sz w:val="13"/>
              </w:rPr>
              <w:t>7</w:t>
            </w:r>
            <w:r>
              <w:rPr>
                <w:rFonts w:ascii="Times New Roman" w:hAnsi="Times New Roman" w:eastAsia="Times New Roman"/>
                <w:w w:val="99"/>
                <w:sz w:val="21"/>
              </w:rPr>
              <w:t>c</w:t>
            </w:r>
            <w:r>
              <w:rPr>
                <w:rFonts w:ascii="Times New Roman" w:hAnsi="Times New Roman" w:eastAsia="Times New Roman"/>
                <w:spacing w:val="-2"/>
                <w:w w:val="99"/>
                <w:sz w:val="21"/>
              </w:rPr>
              <w:t>m</w:t>
            </w:r>
            <w:r>
              <w:rPr>
                <w:rFonts w:ascii="Times New Roman" w:hAnsi="Times New Roman" w:eastAsia="Times New Roman"/>
                <w:spacing w:val="1"/>
                <w:w w:val="99"/>
                <w:sz w:val="21"/>
              </w:rPr>
              <w:t>/</w:t>
            </w:r>
            <w:r>
              <w:rPr>
                <w:rFonts w:ascii="Times New Roman" w:hAnsi="Times New Roman" w:eastAsia="Times New Roman"/>
                <w:w w:val="99"/>
                <w:sz w:val="21"/>
              </w:rPr>
              <w:t>s</w:t>
            </w:r>
            <w:r>
              <w:rPr>
                <w:spacing w:val="-14"/>
                <w:w w:val="99"/>
                <w:sz w:val="21"/>
              </w:rPr>
              <w:t>；或参照</w:t>
            </w:r>
            <w:r>
              <w:rPr>
                <w:rFonts w:ascii="Times New Roman" w:hAnsi="Times New Roman" w:eastAsia="Times New Roman"/>
                <w:w w:val="99"/>
                <w:sz w:val="21"/>
              </w:rPr>
              <w:t>G</w:t>
            </w:r>
            <w:r>
              <w:rPr>
                <w:rFonts w:ascii="Times New Roman" w:hAnsi="Times New Roman" w:eastAsia="Times New Roman"/>
                <w:spacing w:val="-1"/>
                <w:w w:val="99"/>
                <w:sz w:val="21"/>
              </w:rPr>
              <w:t>B</w:t>
            </w:r>
            <w:r>
              <w:rPr>
                <w:rFonts w:ascii="Times New Roman" w:hAnsi="Times New Roman" w:eastAsia="Times New Roman"/>
                <w:spacing w:val="1"/>
                <w:w w:val="99"/>
                <w:sz w:val="21"/>
              </w:rPr>
              <w:t>1859</w:t>
            </w:r>
            <w:r>
              <w:rPr>
                <w:rFonts w:ascii="Times New Roman" w:hAnsi="Times New Roman" w:eastAsia="Times New Roman"/>
                <w:w w:val="99"/>
                <w:sz w:val="21"/>
              </w:rPr>
              <w:t>8</w:t>
            </w:r>
          </w:p>
          <w:p>
            <w:pPr>
              <w:pStyle w:val="19"/>
              <w:spacing w:line="255" w:lineRule="exact"/>
              <w:ind w:left="108"/>
              <w:jc w:val="left"/>
              <w:rPr>
                <w:sz w:val="21"/>
              </w:rPr>
            </w:pPr>
            <w:r>
              <w:rPr>
                <w:sz w:val="21"/>
              </w:rPr>
              <w:t>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83" w:type="dxa"/>
            <w:vMerge w:val="continue"/>
            <w:tcBorders>
              <w:top w:val="nil"/>
            </w:tcBorders>
          </w:tcPr>
          <w:p>
            <w:pPr>
              <w:rPr>
                <w:sz w:val="2"/>
                <w:szCs w:val="2"/>
              </w:rPr>
            </w:pPr>
          </w:p>
        </w:tc>
        <w:tc>
          <w:tcPr>
            <w:tcW w:w="1320" w:type="dxa"/>
          </w:tcPr>
          <w:p>
            <w:pPr>
              <w:pStyle w:val="19"/>
              <w:spacing w:before="45"/>
              <w:ind w:left="113" w:right="106"/>
              <w:rPr>
                <w:sz w:val="21"/>
              </w:rPr>
            </w:pPr>
            <w:r>
              <w:rPr>
                <w:sz w:val="21"/>
              </w:rPr>
              <w:t>中</w:t>
            </w:r>
            <w:r>
              <w:rPr>
                <w:rFonts w:ascii="Times New Roman" w:eastAsia="Times New Roman"/>
                <w:sz w:val="21"/>
              </w:rPr>
              <w:t>-</w:t>
            </w:r>
            <w:r>
              <w:rPr>
                <w:sz w:val="21"/>
              </w:rPr>
              <w:t>强</w:t>
            </w:r>
          </w:p>
        </w:tc>
        <w:tc>
          <w:tcPr>
            <w:tcW w:w="1185" w:type="dxa"/>
          </w:tcPr>
          <w:p>
            <w:pPr>
              <w:pStyle w:val="19"/>
              <w:spacing w:before="45"/>
              <w:ind w:left="5"/>
              <w:rPr>
                <w:sz w:val="21"/>
              </w:rPr>
            </w:pPr>
            <w:r>
              <w:rPr>
                <w:w w:val="99"/>
                <w:sz w:val="21"/>
              </w:rPr>
              <w:t>难</w:t>
            </w:r>
          </w:p>
        </w:tc>
        <w:tc>
          <w:tcPr>
            <w:tcW w:w="1710" w:type="dxa"/>
            <w:vMerge w:val="continue"/>
            <w:tcBorders>
              <w:top w:val="nil"/>
            </w:tcBorders>
          </w:tcPr>
          <w:p>
            <w:pPr>
              <w:rPr>
                <w:sz w:val="2"/>
                <w:szCs w:val="2"/>
              </w:rPr>
            </w:pPr>
          </w:p>
        </w:tc>
        <w:tc>
          <w:tcPr>
            <w:tcW w:w="30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83" w:type="dxa"/>
            <w:vMerge w:val="continue"/>
            <w:tcBorders>
              <w:top w:val="nil"/>
            </w:tcBorders>
          </w:tcPr>
          <w:p>
            <w:pPr>
              <w:rPr>
                <w:sz w:val="2"/>
                <w:szCs w:val="2"/>
              </w:rPr>
            </w:pPr>
          </w:p>
        </w:tc>
        <w:tc>
          <w:tcPr>
            <w:tcW w:w="1320" w:type="dxa"/>
          </w:tcPr>
          <w:p>
            <w:pPr>
              <w:pStyle w:val="19"/>
              <w:spacing w:before="45"/>
              <w:ind w:left="9"/>
              <w:rPr>
                <w:sz w:val="21"/>
              </w:rPr>
            </w:pPr>
            <w:r>
              <w:rPr>
                <w:w w:val="99"/>
                <w:sz w:val="21"/>
              </w:rPr>
              <w:t>弱</w:t>
            </w:r>
          </w:p>
        </w:tc>
        <w:tc>
          <w:tcPr>
            <w:tcW w:w="1185" w:type="dxa"/>
          </w:tcPr>
          <w:p>
            <w:pPr>
              <w:pStyle w:val="19"/>
              <w:spacing w:before="45"/>
              <w:ind w:left="5"/>
              <w:rPr>
                <w:sz w:val="21"/>
              </w:rPr>
            </w:pPr>
            <w:r>
              <w:rPr>
                <w:w w:val="99"/>
                <w:sz w:val="21"/>
              </w:rPr>
              <w:t>易</w:t>
            </w:r>
          </w:p>
        </w:tc>
        <w:tc>
          <w:tcPr>
            <w:tcW w:w="1710" w:type="dxa"/>
            <w:vMerge w:val="continue"/>
            <w:tcBorders>
              <w:top w:val="nil"/>
            </w:tcBorders>
          </w:tcPr>
          <w:p>
            <w:pPr>
              <w:rPr>
                <w:sz w:val="2"/>
                <w:szCs w:val="2"/>
              </w:rPr>
            </w:pPr>
          </w:p>
        </w:tc>
        <w:tc>
          <w:tcPr>
            <w:tcW w:w="30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83" w:type="dxa"/>
            <w:vMerge w:val="restart"/>
          </w:tcPr>
          <w:p>
            <w:pPr>
              <w:pStyle w:val="19"/>
              <w:jc w:val="left"/>
              <w:rPr>
                <w:b/>
                <w:sz w:val="20"/>
              </w:rPr>
            </w:pPr>
          </w:p>
          <w:p>
            <w:pPr>
              <w:pStyle w:val="19"/>
              <w:spacing w:before="12"/>
              <w:jc w:val="left"/>
              <w:rPr>
                <w:b/>
                <w:sz w:val="27"/>
              </w:rPr>
            </w:pPr>
          </w:p>
          <w:p>
            <w:pPr>
              <w:pStyle w:val="19"/>
              <w:ind w:left="114"/>
              <w:jc w:val="left"/>
              <w:rPr>
                <w:sz w:val="21"/>
              </w:rPr>
            </w:pPr>
            <w:r>
              <w:rPr>
                <w:sz w:val="21"/>
              </w:rPr>
              <w:t>一般防渗区</w:t>
            </w:r>
          </w:p>
        </w:tc>
        <w:tc>
          <w:tcPr>
            <w:tcW w:w="1320" w:type="dxa"/>
          </w:tcPr>
          <w:p>
            <w:pPr>
              <w:pStyle w:val="19"/>
              <w:spacing w:before="45"/>
              <w:ind w:left="9"/>
              <w:rPr>
                <w:sz w:val="21"/>
              </w:rPr>
            </w:pPr>
            <w:r>
              <w:rPr>
                <w:w w:val="99"/>
                <w:sz w:val="21"/>
              </w:rPr>
              <w:t>弱</w:t>
            </w:r>
          </w:p>
        </w:tc>
        <w:tc>
          <w:tcPr>
            <w:tcW w:w="1185" w:type="dxa"/>
          </w:tcPr>
          <w:p>
            <w:pPr>
              <w:pStyle w:val="19"/>
              <w:spacing w:before="45"/>
              <w:ind w:left="327" w:right="317"/>
              <w:rPr>
                <w:sz w:val="21"/>
              </w:rPr>
            </w:pPr>
            <w:r>
              <w:rPr>
                <w:sz w:val="21"/>
              </w:rPr>
              <w:t>易</w:t>
            </w:r>
            <w:r>
              <w:rPr>
                <w:rFonts w:ascii="Times New Roman" w:eastAsia="Times New Roman"/>
                <w:sz w:val="21"/>
              </w:rPr>
              <w:t>-</w:t>
            </w:r>
            <w:r>
              <w:rPr>
                <w:sz w:val="21"/>
              </w:rPr>
              <w:t>难</w:t>
            </w:r>
          </w:p>
        </w:tc>
        <w:tc>
          <w:tcPr>
            <w:tcW w:w="1710" w:type="dxa"/>
            <w:vMerge w:val="restart"/>
          </w:tcPr>
          <w:p>
            <w:pPr>
              <w:pStyle w:val="19"/>
              <w:spacing w:before="4"/>
              <w:jc w:val="left"/>
              <w:rPr>
                <w:b/>
                <w:sz w:val="18"/>
              </w:rPr>
            </w:pPr>
          </w:p>
          <w:p>
            <w:pPr>
              <w:pStyle w:val="19"/>
              <w:ind w:left="435"/>
              <w:jc w:val="left"/>
              <w:rPr>
                <w:sz w:val="21"/>
              </w:rPr>
            </w:pPr>
            <w:r>
              <w:rPr>
                <w:sz w:val="21"/>
              </w:rPr>
              <w:t>其他类型</w:t>
            </w:r>
          </w:p>
        </w:tc>
        <w:tc>
          <w:tcPr>
            <w:tcW w:w="3024" w:type="dxa"/>
            <w:vMerge w:val="restart"/>
          </w:tcPr>
          <w:p>
            <w:pPr>
              <w:pStyle w:val="19"/>
              <w:spacing w:before="2"/>
              <w:jc w:val="left"/>
              <w:rPr>
                <w:b/>
                <w:sz w:val="29"/>
              </w:rPr>
            </w:pPr>
          </w:p>
          <w:p>
            <w:pPr>
              <w:pStyle w:val="19"/>
              <w:spacing w:line="255" w:lineRule="exact"/>
              <w:ind w:left="108"/>
              <w:jc w:val="left"/>
              <w:rPr>
                <w:rFonts w:ascii="Times New Roman" w:hAnsi="Times New Roman" w:eastAsia="Times New Roman"/>
                <w:sz w:val="21"/>
              </w:rPr>
            </w:pPr>
            <w:r>
              <w:rPr>
                <w:spacing w:val="-9"/>
                <w:sz w:val="21"/>
              </w:rPr>
              <w:t>等效黏土防渗层</w:t>
            </w:r>
            <w:r>
              <w:rPr>
                <w:rFonts w:ascii="Times New Roman" w:hAnsi="Times New Roman" w:eastAsia="Times New Roman"/>
                <w:sz w:val="21"/>
              </w:rPr>
              <w:t>Mb</w:t>
            </w:r>
            <w:r>
              <w:rPr>
                <w:sz w:val="21"/>
              </w:rPr>
              <w:t>≥</w:t>
            </w:r>
            <w:r>
              <w:rPr>
                <w:rFonts w:ascii="Times New Roman" w:hAnsi="Times New Roman" w:eastAsia="Times New Roman"/>
                <w:sz w:val="21"/>
              </w:rPr>
              <w:t>1.5m</w:t>
            </w:r>
            <w:r>
              <w:rPr>
                <w:sz w:val="21"/>
              </w:rPr>
              <w:t>，</w:t>
            </w:r>
            <w:r>
              <w:rPr>
                <w:rFonts w:ascii="Times New Roman" w:hAnsi="Times New Roman" w:eastAsia="Times New Roman"/>
                <w:sz w:val="21"/>
              </w:rPr>
              <w:t>K</w:t>
            </w:r>
          </w:p>
          <w:p>
            <w:pPr>
              <w:pStyle w:val="19"/>
              <w:spacing w:line="240" w:lineRule="exact"/>
              <w:ind w:left="108"/>
              <w:jc w:val="left"/>
              <w:rPr>
                <w:rFonts w:ascii="Times New Roman" w:hAnsi="Times New Roman" w:eastAsia="Times New Roman"/>
                <w:sz w:val="21"/>
              </w:rPr>
            </w:pPr>
            <w:r>
              <w:rPr>
                <w:spacing w:val="-1"/>
                <w:w w:val="99"/>
                <w:sz w:val="21"/>
              </w:rPr>
              <w:t>≤</w:t>
            </w:r>
            <w:r>
              <w:rPr>
                <w:rFonts w:ascii="Times New Roman" w:hAnsi="Times New Roman" w:eastAsia="Times New Roman"/>
                <w:spacing w:val="1"/>
                <w:w w:val="99"/>
                <w:sz w:val="21"/>
              </w:rPr>
              <w:t>1</w:t>
            </w:r>
            <w:r>
              <w:rPr>
                <w:rFonts w:ascii="Times New Roman" w:hAnsi="Times New Roman" w:eastAsia="Times New Roman"/>
                <w:spacing w:val="-1"/>
                <w:w w:val="99"/>
                <w:sz w:val="21"/>
              </w:rPr>
              <w:t>×</w:t>
            </w:r>
            <w:r>
              <w:rPr>
                <w:rFonts w:ascii="Times New Roman" w:hAnsi="Times New Roman" w:eastAsia="Times New Roman"/>
                <w:spacing w:val="1"/>
                <w:w w:val="99"/>
                <w:sz w:val="21"/>
              </w:rPr>
              <w:t>10</w:t>
            </w:r>
            <w:r>
              <w:rPr>
                <w:rFonts w:ascii="Times New Roman" w:hAnsi="Times New Roman" w:eastAsia="Times New Roman"/>
                <w:spacing w:val="-3"/>
                <w:w w:val="105"/>
                <w:position w:val="7"/>
                <w:sz w:val="13"/>
              </w:rPr>
              <w:t>-</w:t>
            </w:r>
            <w:r>
              <w:rPr>
                <w:rFonts w:ascii="Times New Roman" w:hAnsi="Times New Roman" w:eastAsia="Times New Roman"/>
                <w:spacing w:val="1"/>
                <w:w w:val="105"/>
                <w:position w:val="7"/>
                <w:sz w:val="13"/>
              </w:rPr>
              <w:t>7</w:t>
            </w:r>
            <w:r>
              <w:rPr>
                <w:rFonts w:ascii="Times New Roman" w:hAnsi="Times New Roman" w:eastAsia="Times New Roman"/>
                <w:w w:val="99"/>
                <w:sz w:val="21"/>
              </w:rPr>
              <w:t>c</w:t>
            </w:r>
            <w:r>
              <w:rPr>
                <w:rFonts w:ascii="Times New Roman" w:hAnsi="Times New Roman" w:eastAsia="Times New Roman"/>
                <w:spacing w:val="-2"/>
                <w:w w:val="99"/>
                <w:sz w:val="21"/>
              </w:rPr>
              <w:t>m</w:t>
            </w:r>
            <w:r>
              <w:rPr>
                <w:rFonts w:ascii="Times New Roman" w:hAnsi="Times New Roman" w:eastAsia="Times New Roman"/>
                <w:spacing w:val="1"/>
                <w:w w:val="99"/>
                <w:sz w:val="21"/>
              </w:rPr>
              <w:t>/</w:t>
            </w:r>
            <w:r>
              <w:rPr>
                <w:rFonts w:ascii="Times New Roman" w:hAnsi="Times New Roman" w:eastAsia="Times New Roman"/>
                <w:w w:val="99"/>
                <w:sz w:val="21"/>
              </w:rPr>
              <w:t>s</w:t>
            </w:r>
            <w:r>
              <w:rPr>
                <w:spacing w:val="-14"/>
                <w:w w:val="99"/>
                <w:sz w:val="21"/>
              </w:rPr>
              <w:t>；或参照</w:t>
            </w:r>
            <w:r>
              <w:rPr>
                <w:rFonts w:ascii="Times New Roman" w:hAnsi="Times New Roman" w:eastAsia="Times New Roman"/>
                <w:w w:val="99"/>
                <w:sz w:val="21"/>
              </w:rPr>
              <w:t>G</w:t>
            </w:r>
            <w:r>
              <w:rPr>
                <w:rFonts w:ascii="Times New Roman" w:hAnsi="Times New Roman" w:eastAsia="Times New Roman"/>
                <w:spacing w:val="-1"/>
                <w:w w:val="99"/>
                <w:sz w:val="21"/>
              </w:rPr>
              <w:t>B</w:t>
            </w:r>
            <w:r>
              <w:rPr>
                <w:rFonts w:ascii="Times New Roman" w:hAnsi="Times New Roman" w:eastAsia="Times New Roman"/>
                <w:spacing w:val="1"/>
                <w:w w:val="99"/>
                <w:sz w:val="21"/>
              </w:rPr>
              <w:t>1688</w:t>
            </w:r>
            <w:r>
              <w:rPr>
                <w:rFonts w:ascii="Times New Roman" w:hAnsi="Times New Roman" w:eastAsia="Times New Roman"/>
                <w:w w:val="99"/>
                <w:sz w:val="21"/>
              </w:rPr>
              <w:t>9</w:t>
            </w:r>
          </w:p>
          <w:p>
            <w:pPr>
              <w:pStyle w:val="19"/>
              <w:spacing w:line="255" w:lineRule="exact"/>
              <w:ind w:left="108"/>
              <w:jc w:val="left"/>
              <w:rPr>
                <w:sz w:val="21"/>
              </w:rPr>
            </w:pPr>
            <w:r>
              <w:rPr>
                <w:sz w:val="21"/>
              </w:rPr>
              <w:t>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83" w:type="dxa"/>
            <w:vMerge w:val="continue"/>
            <w:tcBorders>
              <w:top w:val="nil"/>
            </w:tcBorders>
          </w:tcPr>
          <w:p>
            <w:pPr>
              <w:rPr>
                <w:sz w:val="2"/>
                <w:szCs w:val="2"/>
              </w:rPr>
            </w:pPr>
          </w:p>
        </w:tc>
        <w:tc>
          <w:tcPr>
            <w:tcW w:w="1320" w:type="dxa"/>
          </w:tcPr>
          <w:p>
            <w:pPr>
              <w:pStyle w:val="19"/>
              <w:spacing w:before="48"/>
              <w:ind w:left="113" w:right="106"/>
              <w:rPr>
                <w:sz w:val="21"/>
              </w:rPr>
            </w:pPr>
            <w:r>
              <w:rPr>
                <w:sz w:val="21"/>
              </w:rPr>
              <w:t>中</w:t>
            </w:r>
            <w:r>
              <w:rPr>
                <w:rFonts w:ascii="Times New Roman" w:eastAsia="Times New Roman"/>
                <w:sz w:val="21"/>
              </w:rPr>
              <w:t>-</w:t>
            </w:r>
            <w:r>
              <w:rPr>
                <w:sz w:val="21"/>
              </w:rPr>
              <w:t>强</w:t>
            </w:r>
          </w:p>
        </w:tc>
        <w:tc>
          <w:tcPr>
            <w:tcW w:w="1185" w:type="dxa"/>
          </w:tcPr>
          <w:p>
            <w:pPr>
              <w:pStyle w:val="19"/>
              <w:spacing w:before="48"/>
              <w:ind w:left="5"/>
              <w:rPr>
                <w:sz w:val="21"/>
              </w:rPr>
            </w:pPr>
            <w:r>
              <w:rPr>
                <w:w w:val="99"/>
                <w:sz w:val="21"/>
              </w:rPr>
              <w:t>难</w:t>
            </w:r>
          </w:p>
        </w:tc>
        <w:tc>
          <w:tcPr>
            <w:tcW w:w="1710" w:type="dxa"/>
            <w:vMerge w:val="continue"/>
            <w:tcBorders>
              <w:top w:val="nil"/>
            </w:tcBorders>
          </w:tcPr>
          <w:p>
            <w:pPr>
              <w:rPr>
                <w:sz w:val="2"/>
                <w:szCs w:val="2"/>
              </w:rPr>
            </w:pPr>
          </w:p>
        </w:tc>
        <w:tc>
          <w:tcPr>
            <w:tcW w:w="30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83" w:type="dxa"/>
            <w:vMerge w:val="continue"/>
            <w:tcBorders>
              <w:top w:val="nil"/>
            </w:tcBorders>
          </w:tcPr>
          <w:p>
            <w:pPr>
              <w:rPr>
                <w:sz w:val="2"/>
                <w:szCs w:val="2"/>
              </w:rPr>
            </w:pPr>
          </w:p>
        </w:tc>
        <w:tc>
          <w:tcPr>
            <w:tcW w:w="1320" w:type="dxa"/>
          </w:tcPr>
          <w:p>
            <w:pPr>
              <w:pStyle w:val="19"/>
              <w:spacing w:before="48"/>
              <w:ind w:left="9"/>
              <w:rPr>
                <w:sz w:val="21"/>
              </w:rPr>
            </w:pPr>
            <w:r>
              <w:rPr>
                <w:w w:val="99"/>
                <w:sz w:val="21"/>
              </w:rPr>
              <w:t>中</w:t>
            </w:r>
          </w:p>
        </w:tc>
        <w:tc>
          <w:tcPr>
            <w:tcW w:w="1185" w:type="dxa"/>
          </w:tcPr>
          <w:p>
            <w:pPr>
              <w:pStyle w:val="19"/>
              <w:spacing w:before="48"/>
              <w:ind w:left="5"/>
              <w:rPr>
                <w:sz w:val="21"/>
              </w:rPr>
            </w:pPr>
            <w:r>
              <w:rPr>
                <w:w w:val="99"/>
                <w:sz w:val="21"/>
              </w:rPr>
              <w:t>易</w:t>
            </w:r>
          </w:p>
        </w:tc>
        <w:tc>
          <w:tcPr>
            <w:tcW w:w="1710" w:type="dxa"/>
            <w:vMerge w:val="restart"/>
          </w:tcPr>
          <w:p>
            <w:pPr>
              <w:pStyle w:val="19"/>
              <w:spacing w:before="138" w:line="213" w:lineRule="auto"/>
              <w:ind w:left="224" w:right="110" w:hanging="106"/>
              <w:jc w:val="left"/>
              <w:rPr>
                <w:sz w:val="21"/>
              </w:rPr>
            </w:pPr>
            <w:r>
              <w:rPr>
                <w:sz w:val="21"/>
              </w:rPr>
              <w:t>重金属、持久性有机物污染物</w:t>
            </w:r>
          </w:p>
        </w:tc>
        <w:tc>
          <w:tcPr>
            <w:tcW w:w="30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83" w:type="dxa"/>
            <w:vMerge w:val="continue"/>
            <w:tcBorders>
              <w:top w:val="nil"/>
            </w:tcBorders>
          </w:tcPr>
          <w:p>
            <w:pPr>
              <w:rPr>
                <w:sz w:val="2"/>
                <w:szCs w:val="2"/>
              </w:rPr>
            </w:pPr>
          </w:p>
        </w:tc>
        <w:tc>
          <w:tcPr>
            <w:tcW w:w="1320" w:type="dxa"/>
          </w:tcPr>
          <w:p>
            <w:pPr>
              <w:pStyle w:val="19"/>
              <w:spacing w:before="48"/>
              <w:ind w:left="9"/>
              <w:rPr>
                <w:sz w:val="21"/>
              </w:rPr>
            </w:pPr>
            <w:r>
              <w:rPr>
                <w:w w:val="99"/>
                <w:sz w:val="21"/>
              </w:rPr>
              <w:t>强</w:t>
            </w:r>
          </w:p>
        </w:tc>
        <w:tc>
          <w:tcPr>
            <w:tcW w:w="1185" w:type="dxa"/>
          </w:tcPr>
          <w:p>
            <w:pPr>
              <w:pStyle w:val="19"/>
              <w:spacing w:before="48"/>
              <w:ind w:left="5"/>
              <w:rPr>
                <w:sz w:val="21"/>
              </w:rPr>
            </w:pPr>
            <w:r>
              <w:rPr>
                <w:w w:val="99"/>
                <w:sz w:val="21"/>
              </w:rPr>
              <w:t>易</w:t>
            </w:r>
          </w:p>
        </w:tc>
        <w:tc>
          <w:tcPr>
            <w:tcW w:w="1710" w:type="dxa"/>
            <w:vMerge w:val="continue"/>
            <w:tcBorders>
              <w:top w:val="nil"/>
            </w:tcBorders>
          </w:tcPr>
          <w:p>
            <w:pPr>
              <w:rPr>
                <w:sz w:val="2"/>
                <w:szCs w:val="2"/>
              </w:rPr>
            </w:pPr>
          </w:p>
        </w:tc>
        <w:tc>
          <w:tcPr>
            <w:tcW w:w="30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83" w:type="dxa"/>
          </w:tcPr>
          <w:p>
            <w:pPr>
              <w:pStyle w:val="19"/>
              <w:spacing w:before="48"/>
              <w:ind w:left="94" w:right="89"/>
              <w:rPr>
                <w:sz w:val="21"/>
              </w:rPr>
            </w:pPr>
            <w:r>
              <w:rPr>
                <w:sz w:val="21"/>
              </w:rPr>
              <w:t>简单防渗区</w:t>
            </w:r>
          </w:p>
        </w:tc>
        <w:tc>
          <w:tcPr>
            <w:tcW w:w="1320" w:type="dxa"/>
          </w:tcPr>
          <w:p>
            <w:pPr>
              <w:pStyle w:val="19"/>
              <w:spacing w:before="48"/>
              <w:ind w:left="113" w:right="106"/>
              <w:rPr>
                <w:sz w:val="21"/>
              </w:rPr>
            </w:pPr>
            <w:r>
              <w:rPr>
                <w:sz w:val="21"/>
              </w:rPr>
              <w:t>中</w:t>
            </w:r>
            <w:r>
              <w:rPr>
                <w:rFonts w:ascii="Times New Roman" w:eastAsia="Times New Roman"/>
                <w:sz w:val="21"/>
              </w:rPr>
              <w:t>-</w:t>
            </w:r>
            <w:r>
              <w:rPr>
                <w:sz w:val="21"/>
              </w:rPr>
              <w:t>强</w:t>
            </w:r>
          </w:p>
        </w:tc>
        <w:tc>
          <w:tcPr>
            <w:tcW w:w="1185" w:type="dxa"/>
          </w:tcPr>
          <w:p>
            <w:pPr>
              <w:pStyle w:val="19"/>
              <w:spacing w:before="48"/>
              <w:ind w:left="5"/>
              <w:rPr>
                <w:sz w:val="21"/>
              </w:rPr>
            </w:pPr>
            <w:r>
              <w:rPr>
                <w:w w:val="99"/>
                <w:sz w:val="21"/>
              </w:rPr>
              <w:t>易</w:t>
            </w:r>
          </w:p>
        </w:tc>
        <w:tc>
          <w:tcPr>
            <w:tcW w:w="1710" w:type="dxa"/>
          </w:tcPr>
          <w:p>
            <w:pPr>
              <w:pStyle w:val="19"/>
              <w:spacing w:before="48"/>
              <w:ind w:left="306" w:right="297"/>
              <w:rPr>
                <w:sz w:val="21"/>
              </w:rPr>
            </w:pPr>
            <w:r>
              <w:rPr>
                <w:sz w:val="21"/>
              </w:rPr>
              <w:t>其他类型</w:t>
            </w:r>
          </w:p>
        </w:tc>
        <w:tc>
          <w:tcPr>
            <w:tcW w:w="3024" w:type="dxa"/>
          </w:tcPr>
          <w:p>
            <w:pPr>
              <w:pStyle w:val="19"/>
              <w:spacing w:before="48"/>
              <w:ind w:left="854" w:right="849"/>
              <w:rPr>
                <w:sz w:val="21"/>
              </w:rPr>
            </w:pPr>
            <w:r>
              <w:rPr>
                <w:sz w:val="21"/>
              </w:rPr>
              <w:t>一般地面硬化</w:t>
            </w:r>
          </w:p>
        </w:tc>
      </w:tr>
    </w:tbl>
    <w:p>
      <w:pPr>
        <w:tabs>
          <w:tab w:val="left" w:pos="1519"/>
        </w:tabs>
        <w:spacing w:before="158" w:after="3"/>
        <w:ind w:left="0" w:right="28" w:firstLine="0"/>
        <w:jc w:val="center"/>
        <w:rPr>
          <w:b/>
          <w:sz w:val="24"/>
        </w:rPr>
      </w:pPr>
      <w:r>
        <w:rPr>
          <w:b/>
          <w:sz w:val="24"/>
        </w:rPr>
        <w:t>表</w:t>
      </w:r>
      <w:r>
        <w:rPr>
          <w:rFonts w:ascii="Times New Roman" w:eastAsia="Times New Roman"/>
          <w:b/>
          <w:sz w:val="24"/>
        </w:rPr>
        <w:t>6.2-2</w:t>
      </w:r>
      <w:r>
        <w:rPr>
          <w:rFonts w:ascii="Times New Roman" w:eastAsia="Times New Roman"/>
          <w:b/>
          <w:sz w:val="24"/>
        </w:rPr>
        <w:tab/>
      </w:r>
      <w:r>
        <w:rPr>
          <w:b/>
          <w:sz w:val="24"/>
        </w:rPr>
        <w:t>本项目地下水防渗分区情况</w:t>
      </w:r>
    </w:p>
    <w:tbl>
      <w:tblPr>
        <w:tblStyle w:val="15"/>
        <w:tblW w:w="0" w:type="auto"/>
        <w:tblInd w:w="4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987"/>
        <w:gridCol w:w="1365"/>
        <w:gridCol w:w="1185"/>
        <w:gridCol w:w="900"/>
        <w:gridCol w:w="2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8" w:type="dxa"/>
          </w:tcPr>
          <w:p>
            <w:pPr>
              <w:pStyle w:val="19"/>
              <w:spacing w:line="236" w:lineRule="exact"/>
              <w:ind w:left="267"/>
              <w:jc w:val="left"/>
              <w:rPr>
                <w:b/>
                <w:sz w:val="21"/>
              </w:rPr>
            </w:pPr>
            <w:r>
              <w:rPr>
                <w:b/>
                <w:w w:val="95"/>
                <w:sz w:val="21"/>
              </w:rPr>
              <w:t>防渗</w:t>
            </w:r>
          </w:p>
          <w:p>
            <w:pPr>
              <w:pStyle w:val="19"/>
              <w:spacing w:line="224" w:lineRule="exact"/>
              <w:ind w:left="267"/>
              <w:jc w:val="left"/>
              <w:rPr>
                <w:b/>
                <w:sz w:val="21"/>
              </w:rPr>
            </w:pPr>
            <w:r>
              <w:rPr>
                <w:b/>
                <w:w w:val="95"/>
                <w:sz w:val="21"/>
              </w:rPr>
              <w:t>分区</w:t>
            </w:r>
          </w:p>
        </w:tc>
        <w:tc>
          <w:tcPr>
            <w:tcW w:w="1987" w:type="dxa"/>
          </w:tcPr>
          <w:p>
            <w:pPr>
              <w:pStyle w:val="19"/>
              <w:spacing w:before="101"/>
              <w:ind w:left="657" w:right="647"/>
              <w:rPr>
                <w:b/>
                <w:sz w:val="21"/>
              </w:rPr>
            </w:pPr>
            <w:r>
              <w:rPr>
                <w:b/>
                <w:sz w:val="21"/>
              </w:rPr>
              <w:t>构筑物</w:t>
            </w:r>
          </w:p>
        </w:tc>
        <w:tc>
          <w:tcPr>
            <w:tcW w:w="1365" w:type="dxa"/>
          </w:tcPr>
          <w:p>
            <w:pPr>
              <w:pStyle w:val="19"/>
              <w:spacing w:line="236" w:lineRule="exact"/>
              <w:ind w:left="157"/>
              <w:jc w:val="left"/>
              <w:rPr>
                <w:b/>
                <w:sz w:val="21"/>
              </w:rPr>
            </w:pPr>
            <w:r>
              <w:rPr>
                <w:b/>
                <w:sz w:val="21"/>
              </w:rPr>
              <w:t>天然包气带</w:t>
            </w:r>
          </w:p>
          <w:p>
            <w:pPr>
              <w:pStyle w:val="19"/>
              <w:spacing w:line="224" w:lineRule="exact"/>
              <w:ind w:left="260"/>
              <w:jc w:val="left"/>
              <w:rPr>
                <w:b/>
                <w:sz w:val="21"/>
              </w:rPr>
            </w:pPr>
            <w:r>
              <w:rPr>
                <w:b/>
                <w:sz w:val="21"/>
              </w:rPr>
              <w:t>防污性能</w:t>
            </w:r>
          </w:p>
        </w:tc>
        <w:tc>
          <w:tcPr>
            <w:tcW w:w="1185" w:type="dxa"/>
          </w:tcPr>
          <w:p>
            <w:pPr>
              <w:pStyle w:val="19"/>
              <w:spacing w:line="236" w:lineRule="exact"/>
              <w:ind w:left="172"/>
              <w:jc w:val="left"/>
              <w:rPr>
                <w:b/>
                <w:sz w:val="21"/>
              </w:rPr>
            </w:pPr>
            <w:r>
              <w:rPr>
                <w:b/>
                <w:w w:val="95"/>
                <w:sz w:val="21"/>
              </w:rPr>
              <w:t>污染控制</w:t>
            </w:r>
          </w:p>
          <w:p>
            <w:pPr>
              <w:pStyle w:val="19"/>
              <w:spacing w:line="224" w:lineRule="exact"/>
              <w:ind w:left="172"/>
              <w:jc w:val="left"/>
              <w:rPr>
                <w:b/>
                <w:sz w:val="21"/>
              </w:rPr>
            </w:pPr>
            <w:r>
              <w:rPr>
                <w:b/>
                <w:w w:val="95"/>
                <w:sz w:val="21"/>
              </w:rPr>
              <w:t>难易程度</w:t>
            </w:r>
          </w:p>
        </w:tc>
        <w:tc>
          <w:tcPr>
            <w:tcW w:w="900" w:type="dxa"/>
          </w:tcPr>
          <w:p>
            <w:pPr>
              <w:pStyle w:val="19"/>
              <w:spacing w:line="236" w:lineRule="exact"/>
              <w:ind w:left="113" w:right="103"/>
              <w:rPr>
                <w:b/>
                <w:sz w:val="21"/>
              </w:rPr>
            </w:pPr>
            <w:r>
              <w:rPr>
                <w:b/>
                <w:sz w:val="21"/>
              </w:rPr>
              <w:t>污染物</w:t>
            </w:r>
          </w:p>
          <w:p>
            <w:pPr>
              <w:pStyle w:val="19"/>
              <w:spacing w:line="224" w:lineRule="exact"/>
              <w:ind w:left="113" w:right="103"/>
              <w:rPr>
                <w:b/>
                <w:sz w:val="21"/>
              </w:rPr>
            </w:pPr>
            <w:r>
              <w:rPr>
                <w:b/>
                <w:sz w:val="21"/>
              </w:rPr>
              <w:t>类型</w:t>
            </w:r>
          </w:p>
        </w:tc>
        <w:tc>
          <w:tcPr>
            <w:tcW w:w="2121" w:type="dxa"/>
          </w:tcPr>
          <w:p>
            <w:pPr>
              <w:pStyle w:val="19"/>
              <w:spacing w:before="101"/>
              <w:ind w:left="105" w:right="94"/>
              <w:rPr>
                <w:b/>
                <w:sz w:val="21"/>
              </w:rPr>
            </w:pPr>
            <w:r>
              <w:rPr>
                <w:b/>
                <w:sz w:val="21"/>
              </w:rPr>
              <w:t>防渗技术要求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958" w:type="dxa"/>
          </w:tcPr>
          <w:p>
            <w:pPr>
              <w:pStyle w:val="19"/>
              <w:spacing w:before="2"/>
              <w:jc w:val="left"/>
              <w:rPr>
                <w:b/>
                <w:sz w:val="19"/>
              </w:rPr>
            </w:pPr>
          </w:p>
          <w:p>
            <w:pPr>
              <w:pStyle w:val="19"/>
              <w:spacing w:before="1" w:line="213" w:lineRule="auto"/>
              <w:ind w:left="267" w:right="152" w:hanging="104"/>
              <w:jc w:val="left"/>
              <w:rPr>
                <w:sz w:val="21"/>
              </w:rPr>
            </w:pPr>
            <w:r>
              <w:rPr>
                <w:sz w:val="21"/>
              </w:rPr>
              <w:t>重点防渗区</w:t>
            </w:r>
          </w:p>
        </w:tc>
        <w:tc>
          <w:tcPr>
            <w:tcW w:w="1987" w:type="dxa"/>
          </w:tcPr>
          <w:p>
            <w:pPr>
              <w:pStyle w:val="19"/>
              <w:spacing w:before="2"/>
              <w:jc w:val="left"/>
              <w:rPr>
                <w:b/>
                <w:sz w:val="19"/>
              </w:rPr>
            </w:pPr>
          </w:p>
          <w:p>
            <w:pPr>
              <w:pStyle w:val="19"/>
              <w:spacing w:before="1" w:line="213" w:lineRule="auto"/>
              <w:ind w:left="677" w:right="144" w:hanging="526"/>
              <w:jc w:val="left"/>
              <w:rPr>
                <w:sz w:val="21"/>
              </w:rPr>
            </w:pPr>
            <w:r>
              <w:rPr>
                <w:sz w:val="21"/>
              </w:rPr>
              <w:t>病死尸体无害化处理车间</w:t>
            </w:r>
          </w:p>
        </w:tc>
        <w:tc>
          <w:tcPr>
            <w:tcW w:w="1365" w:type="dxa"/>
          </w:tcPr>
          <w:p>
            <w:pPr>
              <w:pStyle w:val="19"/>
              <w:spacing w:before="10"/>
              <w:jc w:val="left"/>
              <w:rPr>
                <w:b/>
                <w:sz w:val="26"/>
              </w:rPr>
            </w:pPr>
          </w:p>
          <w:p>
            <w:pPr>
              <w:pStyle w:val="19"/>
              <w:ind w:left="416" w:right="408"/>
              <w:rPr>
                <w:sz w:val="21"/>
              </w:rPr>
            </w:pPr>
            <w:r>
              <w:rPr>
                <w:sz w:val="21"/>
              </w:rPr>
              <w:t>中</w:t>
            </w:r>
            <w:r>
              <w:rPr>
                <w:rFonts w:ascii="Times New Roman" w:eastAsia="Times New Roman"/>
                <w:sz w:val="21"/>
              </w:rPr>
              <w:t>-</w:t>
            </w:r>
            <w:r>
              <w:rPr>
                <w:sz w:val="21"/>
              </w:rPr>
              <w:t>强</w:t>
            </w:r>
          </w:p>
        </w:tc>
        <w:tc>
          <w:tcPr>
            <w:tcW w:w="1185" w:type="dxa"/>
          </w:tcPr>
          <w:p>
            <w:pPr>
              <w:pStyle w:val="19"/>
              <w:spacing w:before="10"/>
              <w:jc w:val="left"/>
              <w:rPr>
                <w:b/>
                <w:sz w:val="26"/>
              </w:rPr>
            </w:pPr>
          </w:p>
          <w:p>
            <w:pPr>
              <w:pStyle w:val="19"/>
              <w:ind w:left="7"/>
              <w:rPr>
                <w:sz w:val="21"/>
              </w:rPr>
            </w:pPr>
            <w:r>
              <w:rPr>
                <w:w w:val="99"/>
                <w:sz w:val="21"/>
              </w:rPr>
              <w:t>难</w:t>
            </w:r>
          </w:p>
        </w:tc>
        <w:tc>
          <w:tcPr>
            <w:tcW w:w="900" w:type="dxa"/>
          </w:tcPr>
          <w:p>
            <w:pPr>
              <w:pStyle w:val="19"/>
              <w:spacing w:before="126" w:line="213" w:lineRule="auto"/>
              <w:ind w:left="134" w:right="124"/>
              <w:jc w:val="both"/>
              <w:rPr>
                <w:sz w:val="21"/>
              </w:rPr>
            </w:pPr>
            <w:r>
              <w:rPr>
                <w:sz w:val="21"/>
              </w:rPr>
              <w:t>持久性有机物污染物</w:t>
            </w:r>
          </w:p>
        </w:tc>
        <w:tc>
          <w:tcPr>
            <w:tcW w:w="2121" w:type="dxa"/>
          </w:tcPr>
          <w:p>
            <w:pPr>
              <w:pStyle w:val="19"/>
              <w:spacing w:line="238" w:lineRule="exact"/>
              <w:ind w:left="105" w:right="98"/>
              <w:rPr>
                <w:rFonts w:ascii="Times New Roman" w:eastAsia="Times New Roman"/>
                <w:sz w:val="21"/>
              </w:rPr>
            </w:pPr>
            <w:r>
              <w:rPr>
                <w:sz w:val="21"/>
              </w:rPr>
              <w:t>等效黏土防渗层</w:t>
            </w:r>
            <w:r>
              <w:rPr>
                <w:rFonts w:ascii="Times New Roman" w:eastAsia="Times New Roman"/>
                <w:sz w:val="21"/>
              </w:rPr>
              <w:t>Mb</w:t>
            </w:r>
          </w:p>
          <w:p>
            <w:pPr>
              <w:pStyle w:val="19"/>
              <w:spacing w:line="240" w:lineRule="exact"/>
              <w:ind w:left="105" w:right="97"/>
              <w:rPr>
                <w:sz w:val="21"/>
              </w:rPr>
            </w:pPr>
            <w:r>
              <w:rPr>
                <w:sz w:val="21"/>
              </w:rPr>
              <w:t>≥</w:t>
            </w:r>
            <w:r>
              <w:rPr>
                <w:rFonts w:ascii="Times New Roman" w:hAnsi="Times New Roman" w:eastAsia="Times New Roman"/>
                <w:sz w:val="21"/>
              </w:rPr>
              <w:t>6.0m</w:t>
            </w:r>
            <w:r>
              <w:rPr>
                <w:sz w:val="21"/>
              </w:rPr>
              <w:t>，</w:t>
            </w:r>
            <w:r>
              <w:rPr>
                <w:rFonts w:ascii="Times New Roman" w:hAnsi="Times New Roman" w:eastAsia="Times New Roman"/>
                <w:sz w:val="21"/>
              </w:rPr>
              <w:t>K</w:t>
            </w:r>
            <w:r>
              <w:rPr>
                <w:sz w:val="21"/>
              </w:rPr>
              <w:t>≤</w:t>
            </w:r>
          </w:p>
          <w:p>
            <w:pPr>
              <w:pStyle w:val="19"/>
              <w:spacing w:before="3" w:line="240" w:lineRule="exact"/>
              <w:ind w:left="105" w:right="92"/>
              <w:rPr>
                <w:sz w:val="21"/>
              </w:rPr>
            </w:pPr>
            <w:r>
              <w:rPr>
                <w:rFonts w:ascii="Times New Roman" w:hAnsi="Times New Roman" w:eastAsia="Times New Roman"/>
                <w:sz w:val="21"/>
              </w:rPr>
              <w:t>1×10</w:t>
            </w:r>
            <w:r>
              <w:rPr>
                <w:rFonts w:ascii="Times New Roman" w:hAnsi="Times New Roman" w:eastAsia="Times New Roman"/>
                <w:position w:val="7"/>
                <w:sz w:val="13"/>
              </w:rPr>
              <w:t>-7</w:t>
            </w:r>
            <w:r>
              <w:rPr>
                <w:rFonts w:ascii="Times New Roman" w:hAnsi="Times New Roman" w:eastAsia="Times New Roman"/>
                <w:sz w:val="21"/>
              </w:rPr>
              <w:t>cm/s</w:t>
            </w:r>
            <w:r>
              <w:rPr>
                <w:sz w:val="21"/>
              </w:rPr>
              <w:t>；或参照</w:t>
            </w:r>
            <w:r>
              <w:rPr>
                <w:rFonts w:ascii="Times New Roman" w:hAnsi="Times New Roman" w:eastAsia="Times New Roman"/>
                <w:sz w:val="21"/>
              </w:rPr>
              <w:t>GB18598</w:t>
            </w:r>
            <w:r>
              <w:rPr>
                <w:sz w:val="21"/>
              </w:rPr>
              <w:t>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958" w:type="dxa"/>
          </w:tcPr>
          <w:p>
            <w:pPr>
              <w:pStyle w:val="19"/>
              <w:spacing w:before="1"/>
              <w:jc w:val="left"/>
              <w:rPr>
                <w:b/>
                <w:sz w:val="19"/>
              </w:rPr>
            </w:pPr>
          </w:p>
          <w:p>
            <w:pPr>
              <w:pStyle w:val="19"/>
              <w:spacing w:line="213" w:lineRule="auto"/>
              <w:ind w:left="267" w:right="152" w:hanging="104"/>
              <w:jc w:val="left"/>
              <w:rPr>
                <w:sz w:val="21"/>
              </w:rPr>
            </w:pPr>
            <w:r>
              <w:rPr>
                <w:sz w:val="21"/>
              </w:rPr>
              <w:t>一般防渗区</w:t>
            </w:r>
          </w:p>
        </w:tc>
        <w:tc>
          <w:tcPr>
            <w:tcW w:w="1987" w:type="dxa"/>
          </w:tcPr>
          <w:p>
            <w:pPr>
              <w:pStyle w:val="19"/>
              <w:spacing w:before="1"/>
              <w:jc w:val="left"/>
              <w:rPr>
                <w:b/>
                <w:sz w:val="19"/>
              </w:rPr>
            </w:pPr>
          </w:p>
          <w:p>
            <w:pPr>
              <w:pStyle w:val="19"/>
              <w:spacing w:line="213" w:lineRule="auto"/>
              <w:ind w:left="783" w:right="142" w:hanging="632"/>
              <w:jc w:val="left"/>
              <w:rPr>
                <w:sz w:val="21"/>
              </w:rPr>
            </w:pPr>
            <w:r>
              <w:rPr>
                <w:sz w:val="21"/>
              </w:rPr>
              <w:t>羊舍、堆肥厂、青储池</w:t>
            </w:r>
          </w:p>
        </w:tc>
        <w:tc>
          <w:tcPr>
            <w:tcW w:w="1365" w:type="dxa"/>
          </w:tcPr>
          <w:p>
            <w:pPr>
              <w:pStyle w:val="19"/>
              <w:spacing w:before="8"/>
              <w:jc w:val="left"/>
              <w:rPr>
                <w:b/>
                <w:sz w:val="26"/>
              </w:rPr>
            </w:pPr>
          </w:p>
          <w:p>
            <w:pPr>
              <w:pStyle w:val="19"/>
              <w:spacing w:before="1"/>
              <w:ind w:left="416" w:right="408"/>
              <w:rPr>
                <w:sz w:val="21"/>
              </w:rPr>
            </w:pPr>
            <w:r>
              <w:rPr>
                <w:sz w:val="21"/>
              </w:rPr>
              <w:t>中</w:t>
            </w:r>
            <w:r>
              <w:rPr>
                <w:rFonts w:ascii="Times New Roman" w:eastAsia="Times New Roman"/>
                <w:sz w:val="21"/>
              </w:rPr>
              <w:t>-</w:t>
            </w:r>
            <w:r>
              <w:rPr>
                <w:sz w:val="21"/>
              </w:rPr>
              <w:t>强</w:t>
            </w:r>
          </w:p>
        </w:tc>
        <w:tc>
          <w:tcPr>
            <w:tcW w:w="1185" w:type="dxa"/>
          </w:tcPr>
          <w:p>
            <w:pPr>
              <w:pStyle w:val="19"/>
              <w:spacing w:before="8"/>
              <w:jc w:val="left"/>
              <w:rPr>
                <w:b/>
                <w:sz w:val="26"/>
              </w:rPr>
            </w:pPr>
          </w:p>
          <w:p>
            <w:pPr>
              <w:pStyle w:val="19"/>
              <w:spacing w:before="1"/>
              <w:ind w:left="7"/>
              <w:rPr>
                <w:sz w:val="21"/>
              </w:rPr>
            </w:pPr>
            <w:r>
              <w:rPr>
                <w:w w:val="99"/>
                <w:sz w:val="21"/>
              </w:rPr>
              <w:t>难</w:t>
            </w:r>
          </w:p>
        </w:tc>
        <w:tc>
          <w:tcPr>
            <w:tcW w:w="900" w:type="dxa"/>
          </w:tcPr>
          <w:p>
            <w:pPr>
              <w:pStyle w:val="19"/>
              <w:spacing w:before="1"/>
              <w:jc w:val="left"/>
              <w:rPr>
                <w:b/>
                <w:sz w:val="19"/>
              </w:rPr>
            </w:pPr>
          </w:p>
          <w:p>
            <w:pPr>
              <w:pStyle w:val="19"/>
              <w:spacing w:line="213" w:lineRule="auto"/>
              <w:ind w:left="345" w:right="124" w:hanging="212"/>
              <w:jc w:val="left"/>
              <w:rPr>
                <w:sz w:val="21"/>
              </w:rPr>
            </w:pPr>
            <w:r>
              <w:rPr>
                <w:sz w:val="21"/>
              </w:rPr>
              <w:t>其他类型</w:t>
            </w:r>
          </w:p>
        </w:tc>
        <w:tc>
          <w:tcPr>
            <w:tcW w:w="2121" w:type="dxa"/>
          </w:tcPr>
          <w:p>
            <w:pPr>
              <w:pStyle w:val="19"/>
              <w:spacing w:line="237" w:lineRule="exact"/>
              <w:ind w:left="105" w:right="98"/>
              <w:rPr>
                <w:rFonts w:ascii="Times New Roman" w:eastAsia="Times New Roman"/>
                <w:sz w:val="21"/>
              </w:rPr>
            </w:pPr>
            <w:r>
              <w:rPr>
                <w:sz w:val="21"/>
              </w:rPr>
              <w:t>等效黏土防渗层</w:t>
            </w:r>
            <w:r>
              <w:rPr>
                <w:rFonts w:ascii="Times New Roman" w:eastAsia="Times New Roman"/>
                <w:sz w:val="21"/>
              </w:rPr>
              <w:t>Mb</w:t>
            </w:r>
          </w:p>
          <w:p>
            <w:pPr>
              <w:pStyle w:val="19"/>
              <w:spacing w:line="240" w:lineRule="exact"/>
              <w:ind w:left="105" w:right="97"/>
              <w:rPr>
                <w:sz w:val="21"/>
              </w:rPr>
            </w:pPr>
            <w:r>
              <w:rPr>
                <w:sz w:val="21"/>
              </w:rPr>
              <w:t>≥</w:t>
            </w:r>
            <w:r>
              <w:rPr>
                <w:rFonts w:ascii="Times New Roman" w:hAnsi="Times New Roman" w:eastAsia="Times New Roman"/>
                <w:sz w:val="21"/>
              </w:rPr>
              <w:t>1.5m</w:t>
            </w:r>
            <w:r>
              <w:rPr>
                <w:sz w:val="21"/>
              </w:rPr>
              <w:t>，</w:t>
            </w:r>
            <w:r>
              <w:rPr>
                <w:rFonts w:ascii="Times New Roman" w:hAnsi="Times New Roman" w:eastAsia="Times New Roman"/>
                <w:sz w:val="21"/>
              </w:rPr>
              <w:t>K</w:t>
            </w:r>
            <w:r>
              <w:rPr>
                <w:sz w:val="21"/>
              </w:rPr>
              <w:t>≤</w:t>
            </w:r>
          </w:p>
          <w:p>
            <w:pPr>
              <w:pStyle w:val="19"/>
              <w:spacing w:before="3" w:line="240" w:lineRule="exact"/>
              <w:ind w:left="105" w:right="92"/>
              <w:rPr>
                <w:sz w:val="21"/>
              </w:rPr>
            </w:pPr>
            <w:r>
              <w:rPr>
                <w:rFonts w:ascii="Times New Roman" w:hAnsi="Times New Roman" w:eastAsia="Times New Roman"/>
                <w:sz w:val="21"/>
              </w:rPr>
              <w:t>1×10</w:t>
            </w:r>
            <w:r>
              <w:rPr>
                <w:rFonts w:ascii="Times New Roman" w:hAnsi="Times New Roman" w:eastAsia="Times New Roman"/>
                <w:position w:val="7"/>
                <w:sz w:val="13"/>
              </w:rPr>
              <w:t>-7</w:t>
            </w:r>
            <w:r>
              <w:rPr>
                <w:rFonts w:ascii="Times New Roman" w:hAnsi="Times New Roman" w:eastAsia="Times New Roman"/>
                <w:sz w:val="21"/>
              </w:rPr>
              <w:t>cm/s</w:t>
            </w:r>
            <w:r>
              <w:rPr>
                <w:sz w:val="21"/>
              </w:rPr>
              <w:t>；或参照</w:t>
            </w:r>
            <w:r>
              <w:rPr>
                <w:rFonts w:ascii="Times New Roman" w:hAnsi="Times New Roman" w:eastAsia="Times New Roman"/>
                <w:sz w:val="21"/>
              </w:rPr>
              <w:t>GB16889</w:t>
            </w:r>
            <w:r>
              <w:rPr>
                <w:sz w:val="21"/>
              </w:rPr>
              <w:t>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8" w:type="dxa"/>
          </w:tcPr>
          <w:p>
            <w:pPr>
              <w:pStyle w:val="19"/>
              <w:spacing w:line="240" w:lineRule="exact"/>
              <w:ind w:left="267" w:right="152" w:hanging="104"/>
              <w:jc w:val="left"/>
              <w:rPr>
                <w:sz w:val="21"/>
              </w:rPr>
            </w:pPr>
            <w:r>
              <w:rPr>
                <w:sz w:val="21"/>
              </w:rPr>
              <w:t>简单防渗区</w:t>
            </w:r>
          </w:p>
        </w:tc>
        <w:tc>
          <w:tcPr>
            <w:tcW w:w="1987" w:type="dxa"/>
          </w:tcPr>
          <w:p>
            <w:pPr>
              <w:pStyle w:val="19"/>
              <w:spacing w:line="240" w:lineRule="exact"/>
              <w:ind w:left="152" w:right="-15" w:hanging="46"/>
              <w:jc w:val="left"/>
              <w:rPr>
                <w:sz w:val="21"/>
              </w:rPr>
            </w:pPr>
            <w:r>
              <w:rPr>
                <w:spacing w:val="-3"/>
                <w:sz w:val="21"/>
              </w:rPr>
              <w:t>办公用房、门卫室、辅助用房、道路等</w:t>
            </w:r>
          </w:p>
        </w:tc>
        <w:tc>
          <w:tcPr>
            <w:tcW w:w="1365" w:type="dxa"/>
          </w:tcPr>
          <w:p>
            <w:pPr>
              <w:pStyle w:val="19"/>
              <w:spacing w:before="102"/>
              <w:ind w:left="416" w:right="408"/>
              <w:rPr>
                <w:sz w:val="21"/>
              </w:rPr>
            </w:pPr>
            <w:r>
              <w:rPr>
                <w:sz w:val="21"/>
              </w:rPr>
              <w:t>中</w:t>
            </w:r>
            <w:r>
              <w:rPr>
                <w:rFonts w:ascii="Times New Roman" w:eastAsia="Times New Roman"/>
                <w:sz w:val="21"/>
              </w:rPr>
              <w:t>-</w:t>
            </w:r>
            <w:r>
              <w:rPr>
                <w:sz w:val="21"/>
              </w:rPr>
              <w:t>强</w:t>
            </w:r>
          </w:p>
        </w:tc>
        <w:tc>
          <w:tcPr>
            <w:tcW w:w="1185" w:type="dxa"/>
          </w:tcPr>
          <w:p>
            <w:pPr>
              <w:pStyle w:val="19"/>
              <w:spacing w:before="102"/>
              <w:ind w:left="7"/>
              <w:rPr>
                <w:sz w:val="21"/>
              </w:rPr>
            </w:pPr>
            <w:r>
              <w:rPr>
                <w:w w:val="99"/>
                <w:sz w:val="21"/>
              </w:rPr>
              <w:t>易</w:t>
            </w:r>
          </w:p>
        </w:tc>
        <w:tc>
          <w:tcPr>
            <w:tcW w:w="900" w:type="dxa"/>
          </w:tcPr>
          <w:p>
            <w:pPr>
              <w:pStyle w:val="19"/>
              <w:spacing w:line="240" w:lineRule="exact"/>
              <w:ind w:left="345" w:right="124" w:hanging="212"/>
              <w:jc w:val="left"/>
              <w:rPr>
                <w:sz w:val="21"/>
              </w:rPr>
            </w:pPr>
            <w:r>
              <w:rPr>
                <w:sz w:val="21"/>
              </w:rPr>
              <w:t>其他类型</w:t>
            </w:r>
          </w:p>
        </w:tc>
        <w:tc>
          <w:tcPr>
            <w:tcW w:w="2121" w:type="dxa"/>
          </w:tcPr>
          <w:p>
            <w:pPr>
              <w:pStyle w:val="19"/>
              <w:spacing w:before="102"/>
              <w:ind w:left="104" w:right="98"/>
              <w:rPr>
                <w:sz w:val="21"/>
              </w:rPr>
            </w:pPr>
            <w:r>
              <w:rPr>
                <w:sz w:val="21"/>
              </w:rPr>
              <w:t>一般地面硬化</w:t>
            </w:r>
          </w:p>
        </w:tc>
      </w:tr>
    </w:tbl>
    <w:p>
      <w:pPr>
        <w:pStyle w:val="7"/>
        <w:spacing w:before="7"/>
        <w:ind w:left="0"/>
        <w:rPr>
          <w:b/>
          <w:sz w:val="18"/>
        </w:rPr>
      </w:pPr>
    </w:p>
    <w:p>
      <w:pPr>
        <w:pStyle w:val="7"/>
        <w:spacing w:line="364" w:lineRule="auto"/>
        <w:ind w:right="577" w:firstLine="480"/>
      </w:pPr>
      <w:r>
        <w:rPr>
          <w:spacing w:val="-10"/>
        </w:rPr>
        <w:t>综上，项目场内实行严格的分区防渗、加强废水的监控、科学合理的规划用</w:t>
      </w:r>
      <w:r>
        <w:t>地情况下，项目区内废水对地下水影响较小。</w:t>
      </w:r>
    </w:p>
    <w:p>
      <w:pPr>
        <w:pStyle w:val="5"/>
        <w:numPr>
          <w:ilvl w:val="2"/>
          <w:numId w:val="62"/>
        </w:numPr>
        <w:tabs>
          <w:tab w:val="left" w:pos="1241"/>
        </w:tabs>
        <w:spacing w:before="115" w:after="0" w:line="240" w:lineRule="auto"/>
        <w:ind w:left="1240" w:right="0" w:hanging="701"/>
        <w:jc w:val="left"/>
        <w:outlineLvl w:val="2"/>
      </w:pPr>
      <w:bookmarkStart w:id="406" w:name="6.2.6 土壤污染防治措施"/>
      <w:bookmarkEnd w:id="406"/>
      <w:bookmarkStart w:id="407" w:name="6.2.6 土壤污染防治措施"/>
      <w:bookmarkEnd w:id="407"/>
      <w:bookmarkStart w:id="408" w:name="_Toc29535"/>
      <w:r>
        <w:t>土壤污染防治措施</w:t>
      </w:r>
      <w:bookmarkEnd w:id="408"/>
    </w:p>
    <w:p>
      <w:pPr>
        <w:pStyle w:val="7"/>
        <w:spacing w:before="4"/>
        <w:ind w:left="0"/>
        <w:rPr>
          <w:b/>
          <w:sz w:val="21"/>
        </w:rPr>
      </w:pPr>
    </w:p>
    <w:p>
      <w:pPr>
        <w:pStyle w:val="7"/>
        <w:spacing w:before="1" w:line="364" w:lineRule="auto"/>
        <w:ind w:right="577" w:firstLine="480"/>
        <w:jc w:val="both"/>
        <w:rPr>
          <w:color w:val="0000FF"/>
        </w:rPr>
      </w:pPr>
      <w:r>
        <w:rPr>
          <w:spacing w:val="-6"/>
        </w:rPr>
        <w:t>本</w:t>
      </w:r>
      <w:r>
        <w:rPr>
          <w:color w:val="0000FF"/>
          <w:spacing w:val="-6"/>
        </w:rPr>
        <w:t>项目的建设性质为新建项目，占地面积为</w:t>
      </w:r>
      <w:r>
        <w:rPr>
          <w:rFonts w:hint="eastAsia" w:ascii="Times New Roman"/>
          <w:color w:val="0000FF"/>
          <w:lang w:val="en-US" w:eastAsia="zh-CN"/>
        </w:rPr>
        <w:t>2.073</w:t>
      </w:r>
      <w:r>
        <w:rPr>
          <w:rFonts w:ascii="Times New Roman" w:eastAsia="Times New Roman"/>
          <w:color w:val="0000FF"/>
        </w:rPr>
        <w:t>hm</w:t>
      </w:r>
      <w:r>
        <w:rPr>
          <w:rFonts w:ascii="Times New Roman" w:eastAsia="Times New Roman"/>
          <w:color w:val="0000FF"/>
          <w:position w:val="8"/>
          <w:sz w:val="15"/>
        </w:rPr>
        <w:t>2</w:t>
      </w:r>
      <w:r>
        <w:rPr>
          <w:color w:val="0000FF"/>
        </w:rPr>
        <w:t>（</w:t>
      </w:r>
      <w:r>
        <w:rPr>
          <w:rFonts w:hint="eastAsia"/>
          <w:color w:val="0000FF"/>
          <w:lang w:val="en-US" w:eastAsia="zh-CN"/>
        </w:rPr>
        <w:t>31.095</w:t>
      </w:r>
      <w:r>
        <w:rPr>
          <w:color w:val="0000FF"/>
        </w:rPr>
        <w:t>亩</w:t>
      </w:r>
      <w:r>
        <w:rPr>
          <w:color w:val="0000FF"/>
          <w:spacing w:val="-15"/>
        </w:rPr>
        <w:t>）</w:t>
      </w:r>
      <w:r>
        <w:rPr>
          <w:color w:val="0000FF"/>
          <w:spacing w:val="-7"/>
        </w:rPr>
        <w:t>。从土壤环境质量现状监测结果来看，项目占地范围内不存在超标现象。项目土壤污染措施</w:t>
      </w:r>
      <w:r>
        <w:rPr>
          <w:color w:val="0000FF"/>
        </w:rPr>
        <w:t>主要从源头削减和过程控制两方面着手切实做好项目营运期土壤污染工作。</w:t>
      </w:r>
    </w:p>
    <w:p>
      <w:pPr>
        <w:spacing w:after="0" w:line="364" w:lineRule="auto"/>
        <w:jc w:val="both"/>
        <w:rPr>
          <w:color w:val="0000FF"/>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firstLine="480"/>
        <w:jc w:val="both"/>
      </w:pPr>
      <w:r>
        <w:rPr>
          <w:spacing w:val="-8"/>
        </w:rPr>
        <w:t>扎实做好源头削减，确保项目废水、废气污染物达标排放，并满足污染物总</w:t>
      </w:r>
      <w:r>
        <w:rPr>
          <w:spacing w:val="-9"/>
        </w:rPr>
        <w:t>量控制指标的要求；按环评要求落实无组织污染物排放控制措施。确保项目产生</w:t>
      </w:r>
      <w:r>
        <w:rPr>
          <w:spacing w:val="-5"/>
        </w:rPr>
        <w:t>的一般固体废物和危险废物按相应的环境管理要求进行暂存、转移、处置，不得</w:t>
      </w:r>
      <w:r>
        <w:t>随意堆弃。</w:t>
      </w:r>
    </w:p>
    <w:p>
      <w:pPr>
        <w:pStyle w:val="7"/>
        <w:spacing w:before="2" w:line="364" w:lineRule="auto"/>
        <w:ind w:right="577" w:firstLine="480"/>
        <w:jc w:val="both"/>
      </w:pPr>
      <w:r>
        <w:rPr>
          <w:spacing w:val="-10"/>
        </w:rPr>
        <w:t>严格过程防控，在厂区占地范围内采取绿化措施，种植对特征污染物氨和硫</w:t>
      </w:r>
      <w:r>
        <w:rPr>
          <w:spacing w:val="-6"/>
        </w:rPr>
        <w:t>化氢具有较强吸附能力的植物为主；在装置界区进行地面硬化，危废暂存间设置</w:t>
      </w:r>
      <w:r>
        <w:t>围堰，按要求执行分区防渗措施。</w:t>
      </w:r>
    </w:p>
    <w:p>
      <w:pPr>
        <w:pStyle w:val="5"/>
        <w:numPr>
          <w:ilvl w:val="2"/>
          <w:numId w:val="62"/>
        </w:numPr>
        <w:tabs>
          <w:tab w:val="left" w:pos="1241"/>
        </w:tabs>
        <w:spacing w:before="116" w:after="0" w:line="240" w:lineRule="auto"/>
        <w:ind w:left="1240" w:right="0" w:hanging="701"/>
        <w:jc w:val="left"/>
        <w:outlineLvl w:val="2"/>
      </w:pPr>
      <w:bookmarkStart w:id="409" w:name="6.2.7 风险防范措施"/>
      <w:bookmarkEnd w:id="409"/>
      <w:bookmarkStart w:id="410" w:name="6.2.7 风险防范措施"/>
      <w:bookmarkEnd w:id="410"/>
      <w:bookmarkStart w:id="411" w:name="_Toc18294"/>
      <w:r>
        <w:rPr>
          <w:spacing w:val="-1"/>
          <w:w w:val="95"/>
        </w:rPr>
        <w:t>风险防范措施</w:t>
      </w:r>
      <w:bookmarkEnd w:id="411"/>
    </w:p>
    <w:p>
      <w:pPr>
        <w:pStyle w:val="7"/>
        <w:spacing w:before="1"/>
        <w:ind w:left="0"/>
        <w:rPr>
          <w:b/>
          <w:sz w:val="22"/>
        </w:rPr>
      </w:pPr>
    </w:p>
    <w:p>
      <w:pPr>
        <w:pStyle w:val="18"/>
        <w:numPr>
          <w:ilvl w:val="3"/>
          <w:numId w:val="73"/>
        </w:numPr>
        <w:tabs>
          <w:tab w:val="left" w:pos="1320"/>
        </w:tabs>
        <w:spacing w:before="0" w:after="0" w:line="240" w:lineRule="auto"/>
        <w:ind w:left="1320" w:right="0" w:hanging="780"/>
        <w:jc w:val="left"/>
        <w:rPr>
          <w:sz w:val="24"/>
        </w:rPr>
      </w:pPr>
      <w:bookmarkStart w:id="412" w:name="6.2.7.1 疫病风险防范措施"/>
      <w:bookmarkEnd w:id="412"/>
      <w:bookmarkStart w:id="413" w:name="6.2.7.1 疫病风险防范措施"/>
      <w:bookmarkEnd w:id="413"/>
      <w:r>
        <w:rPr>
          <w:sz w:val="24"/>
        </w:rPr>
        <w:t>疫病风险防范措施</w:t>
      </w:r>
    </w:p>
    <w:p>
      <w:pPr>
        <w:pStyle w:val="18"/>
        <w:numPr>
          <w:ilvl w:val="4"/>
          <w:numId w:val="73"/>
        </w:numPr>
        <w:tabs>
          <w:tab w:val="left" w:pos="1621"/>
        </w:tabs>
        <w:spacing w:before="168" w:after="0" w:line="240" w:lineRule="auto"/>
        <w:ind w:left="1621" w:right="0" w:hanging="601"/>
        <w:jc w:val="left"/>
        <w:rPr>
          <w:sz w:val="24"/>
        </w:rPr>
      </w:pPr>
      <w:r>
        <w:rPr>
          <w:sz w:val="24"/>
        </w:rPr>
        <w:t>建立的兽医综合防疫体系</w:t>
      </w:r>
    </w:p>
    <w:p>
      <w:pPr>
        <w:pStyle w:val="7"/>
        <w:spacing w:before="161" w:line="364" w:lineRule="auto"/>
        <w:ind w:right="577" w:firstLine="480"/>
        <w:jc w:val="both"/>
      </w:pPr>
      <w:r>
        <w:rPr>
          <w:spacing w:val="-6"/>
        </w:rPr>
        <w:t>建立的兽医综合防疫体系，可为羊群的健康提供切实的保障。如注射“免疫</w:t>
      </w:r>
      <w:r>
        <w:rPr>
          <w:spacing w:val="-10"/>
        </w:rPr>
        <w:t>增强剂”，对病毒性疾病有特殊的防治效果，能提高动物自身的免疫功能。并开</w:t>
      </w:r>
      <w:r>
        <w:t>发疫病早期快速预警机制，在疫情产生危害前发现并消灭它。</w:t>
      </w:r>
    </w:p>
    <w:p>
      <w:pPr>
        <w:pStyle w:val="18"/>
        <w:numPr>
          <w:ilvl w:val="4"/>
          <w:numId w:val="73"/>
        </w:numPr>
        <w:tabs>
          <w:tab w:val="left" w:pos="1621"/>
        </w:tabs>
        <w:spacing w:before="1" w:after="0" w:line="240" w:lineRule="auto"/>
        <w:ind w:left="1621" w:right="0" w:hanging="601"/>
        <w:jc w:val="left"/>
        <w:rPr>
          <w:sz w:val="24"/>
        </w:rPr>
      </w:pPr>
      <w:r>
        <w:rPr>
          <w:sz w:val="24"/>
        </w:rPr>
        <w:t>建立环绕防疫体系</w:t>
      </w:r>
    </w:p>
    <w:p>
      <w:pPr>
        <w:pStyle w:val="7"/>
        <w:spacing w:before="161" w:line="364" w:lineRule="auto"/>
        <w:ind w:right="575" w:firstLine="480"/>
      </w:pPr>
      <w:r>
        <w:rPr>
          <w:spacing w:val="-8"/>
        </w:rPr>
        <w:t>建立环绕防疫体系，包围生产区，防止老鼠、爬行类动物等进入生产区，带</w:t>
      </w:r>
      <w:r>
        <w:t>来病源。</w:t>
      </w:r>
    </w:p>
    <w:p>
      <w:pPr>
        <w:pStyle w:val="18"/>
        <w:numPr>
          <w:ilvl w:val="4"/>
          <w:numId w:val="73"/>
        </w:numPr>
        <w:tabs>
          <w:tab w:val="left" w:pos="1621"/>
        </w:tabs>
        <w:spacing w:before="1" w:after="0" w:line="240" w:lineRule="auto"/>
        <w:ind w:left="1621" w:right="0" w:hanging="601"/>
        <w:jc w:val="left"/>
        <w:rPr>
          <w:sz w:val="24"/>
        </w:rPr>
      </w:pPr>
      <w:r>
        <w:rPr>
          <w:sz w:val="24"/>
        </w:rPr>
        <w:t>消毒防疫制度</w:t>
      </w:r>
    </w:p>
    <w:p>
      <w:pPr>
        <w:pStyle w:val="7"/>
        <w:spacing w:before="161" w:line="364" w:lineRule="auto"/>
        <w:ind w:right="455" w:firstLine="480"/>
      </w:pPr>
      <w:r>
        <w:rPr>
          <w:spacing w:val="-4"/>
        </w:rPr>
        <w:t>所有进入生产区的人员在进入生产区之前要进行洗浴和紫外线消毒。进入羊</w:t>
      </w:r>
      <w:r>
        <w:rPr>
          <w:spacing w:val="-11"/>
        </w:rPr>
        <w:t>舍要更换工作服，换下的工作服用臭氧消毒。同舍羊群为同一日龄饲养，同一批</w:t>
      </w:r>
      <w:r>
        <w:rPr>
          <w:spacing w:val="-17"/>
        </w:rPr>
        <w:t>入舍或出舍，避免交叉感染。在育雏区和成羊区的各羊舍进出口分设净道、污道，</w:t>
      </w:r>
      <w:r>
        <w:t>平行布置，互不干扰，以利防疫。</w:t>
      </w:r>
    </w:p>
    <w:p>
      <w:pPr>
        <w:pStyle w:val="18"/>
        <w:numPr>
          <w:ilvl w:val="3"/>
          <w:numId w:val="73"/>
        </w:numPr>
        <w:tabs>
          <w:tab w:val="left" w:pos="1320"/>
        </w:tabs>
        <w:spacing w:before="12" w:after="0" w:line="240" w:lineRule="auto"/>
        <w:ind w:left="1320" w:right="0" w:hanging="780"/>
        <w:jc w:val="left"/>
        <w:rPr>
          <w:sz w:val="24"/>
        </w:rPr>
      </w:pPr>
      <w:bookmarkStart w:id="414" w:name="6.2.7.2 污染物泄漏风险防范措施"/>
      <w:bookmarkEnd w:id="414"/>
      <w:bookmarkStart w:id="415" w:name="6.2.7.2 污染物泄漏风险防范措施"/>
      <w:bookmarkEnd w:id="415"/>
      <w:r>
        <w:rPr>
          <w:sz w:val="24"/>
        </w:rPr>
        <w:t>污染物泄漏风险防范措施</w:t>
      </w:r>
    </w:p>
    <w:p>
      <w:pPr>
        <w:pStyle w:val="18"/>
        <w:numPr>
          <w:ilvl w:val="0"/>
          <w:numId w:val="74"/>
        </w:numPr>
        <w:tabs>
          <w:tab w:val="left" w:pos="1621"/>
        </w:tabs>
        <w:spacing w:before="167" w:after="0" w:line="364" w:lineRule="auto"/>
        <w:ind w:left="540" w:right="580" w:firstLine="480"/>
        <w:jc w:val="left"/>
        <w:rPr>
          <w:sz w:val="24"/>
        </w:rPr>
      </w:pPr>
      <w:r>
        <w:rPr>
          <w:spacing w:val="-1"/>
          <w:sz w:val="24"/>
        </w:rPr>
        <w:t>加强废水处理设施的维护和管理，及时发现处理设备的隐患，确保处</w:t>
      </w:r>
      <w:r>
        <w:rPr>
          <w:sz w:val="24"/>
        </w:rPr>
        <w:t>理系统正常运行。</w:t>
      </w:r>
    </w:p>
    <w:p>
      <w:pPr>
        <w:pStyle w:val="18"/>
        <w:numPr>
          <w:ilvl w:val="0"/>
          <w:numId w:val="74"/>
        </w:numPr>
        <w:tabs>
          <w:tab w:val="left" w:pos="1621"/>
        </w:tabs>
        <w:spacing w:before="1" w:after="0" w:line="364" w:lineRule="auto"/>
        <w:ind w:left="540" w:right="580" w:firstLine="480"/>
        <w:jc w:val="left"/>
        <w:rPr>
          <w:sz w:val="24"/>
        </w:rPr>
      </w:pPr>
      <w:r>
        <w:rPr>
          <w:spacing w:val="-1"/>
          <w:sz w:val="24"/>
        </w:rPr>
        <w:t>要有专人管理污水处理系统，发现污水处理系统构筑物池底破裂，应</w:t>
      </w:r>
      <w:r>
        <w:rPr>
          <w:sz w:val="24"/>
        </w:rPr>
        <w:t>立刻组织人员维修，待设备正常运转后，方可继续处理污水。</w:t>
      </w:r>
    </w:p>
    <w:p>
      <w:pPr>
        <w:pStyle w:val="18"/>
        <w:numPr>
          <w:ilvl w:val="0"/>
          <w:numId w:val="74"/>
        </w:numPr>
        <w:tabs>
          <w:tab w:val="left" w:pos="1621"/>
        </w:tabs>
        <w:spacing w:before="2" w:after="0" w:line="364" w:lineRule="auto"/>
        <w:ind w:left="540" w:right="581" w:firstLine="480"/>
        <w:jc w:val="left"/>
        <w:rPr>
          <w:sz w:val="24"/>
        </w:rPr>
      </w:pPr>
      <w:r>
        <w:rPr>
          <w:spacing w:val="-1"/>
          <w:sz w:val="24"/>
        </w:rPr>
        <w:t>加强施工质量，羊舍、堆肥厂、病死尸体无害化处理车间等区域采取</w:t>
      </w:r>
      <w:r>
        <w:rPr>
          <w:sz w:val="24"/>
        </w:rPr>
        <w:t>严格的防渗措施，在做好基层防渗的基础上进行水泥硬化。</w:t>
      </w:r>
    </w:p>
    <w:p>
      <w:pPr>
        <w:pStyle w:val="18"/>
        <w:numPr>
          <w:ilvl w:val="0"/>
          <w:numId w:val="74"/>
        </w:numPr>
        <w:tabs>
          <w:tab w:val="left" w:pos="1621"/>
        </w:tabs>
        <w:spacing w:before="1" w:after="0" w:line="240" w:lineRule="auto"/>
        <w:ind w:left="1621" w:right="0" w:hanging="601"/>
        <w:jc w:val="left"/>
        <w:rPr>
          <w:sz w:val="24"/>
        </w:rPr>
      </w:pPr>
      <w:r>
        <w:rPr>
          <w:sz w:val="24"/>
        </w:rPr>
        <w:t>场区边界建设雨水截流沟、排水沟，及时拦截和导排雨水，减少废水</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产生量，降低事故风险。</w:t>
      </w:r>
    </w:p>
    <w:p>
      <w:pPr>
        <w:pStyle w:val="18"/>
        <w:numPr>
          <w:ilvl w:val="3"/>
          <w:numId w:val="73"/>
        </w:numPr>
        <w:tabs>
          <w:tab w:val="left" w:pos="1320"/>
        </w:tabs>
        <w:spacing w:before="170" w:after="0" w:line="240" w:lineRule="auto"/>
        <w:ind w:left="1320" w:right="0" w:hanging="780"/>
        <w:jc w:val="left"/>
        <w:rPr>
          <w:sz w:val="24"/>
        </w:rPr>
      </w:pPr>
      <w:bookmarkStart w:id="416" w:name="6.2.7.3 绿化"/>
      <w:bookmarkEnd w:id="416"/>
      <w:bookmarkStart w:id="417" w:name="6.2.7.3 绿化"/>
      <w:bookmarkEnd w:id="417"/>
      <w:r>
        <w:rPr>
          <w:sz w:val="24"/>
        </w:rPr>
        <w:t>绿化</w:t>
      </w:r>
    </w:p>
    <w:p>
      <w:pPr>
        <w:pStyle w:val="7"/>
        <w:spacing w:before="168" w:line="364" w:lineRule="auto"/>
        <w:ind w:right="577" w:firstLine="480"/>
        <w:jc w:val="both"/>
      </w:pPr>
      <w:r>
        <w:rPr>
          <w:spacing w:val="-6"/>
        </w:rPr>
        <w:t>羊场的绿化不仅可以为羊群提供一个天然氧吧、美化场区环境，而且还有一</w:t>
      </w:r>
      <w:r>
        <w:rPr>
          <w:spacing w:val="-8"/>
        </w:rPr>
        <w:t>个重要的环境功能就是吸收臭味，净化空气，减轻各种恶臭气体对周围环境的影</w:t>
      </w:r>
      <w:r>
        <w:t>响。</w:t>
      </w:r>
    </w:p>
    <w:p>
      <w:pPr>
        <w:pStyle w:val="7"/>
        <w:spacing w:before="1"/>
        <w:ind w:left="1020"/>
        <w:jc w:val="both"/>
      </w:pPr>
      <w:r>
        <w:t>①在羊场四周设立绿化防护隔离带</w:t>
      </w:r>
    </w:p>
    <w:p>
      <w:pPr>
        <w:pStyle w:val="7"/>
        <w:spacing w:before="161" w:line="364" w:lineRule="auto"/>
        <w:ind w:right="577" w:firstLine="480"/>
      </w:pPr>
      <w:r>
        <w:rPr>
          <w:spacing w:val="-6"/>
        </w:rPr>
        <w:t>在场区内部增加绿化面积，并采用立体交叉绿化方法进行植树、种草、设置</w:t>
      </w:r>
      <w:r>
        <w:t>花坛等。</w:t>
      </w:r>
    </w:p>
    <w:p>
      <w:pPr>
        <w:pStyle w:val="7"/>
        <w:spacing w:before="1" w:line="364" w:lineRule="auto"/>
        <w:ind w:right="580" w:firstLine="480"/>
      </w:pPr>
      <w:r>
        <w:t>②在树种选择上，应种植抗污染能力较强、有较好的净化空气能力、适应性强的树种，如白杨、法桐、垂柳、槐树等。</w:t>
      </w:r>
    </w:p>
    <w:p>
      <w:pPr>
        <w:pStyle w:val="7"/>
        <w:spacing w:before="1"/>
        <w:ind w:left="1020"/>
      </w:pPr>
      <w:r>
        <w:t>③在主要噪声源附近应多种植一些树木花草以起到隔声、减噪作用。</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ind w:right="35"/>
        <w:outlineLvl w:val="0"/>
      </w:pPr>
      <w:bookmarkStart w:id="418" w:name="第七章  环境经济损益分析"/>
      <w:bookmarkEnd w:id="418"/>
      <w:bookmarkStart w:id="419" w:name="_bookmark30"/>
      <w:bookmarkEnd w:id="419"/>
      <w:bookmarkStart w:id="420" w:name="_Toc25239"/>
      <w:r>
        <w:t>第七章</w:t>
      </w:r>
      <w:r>
        <w:tab/>
      </w:r>
      <w:r>
        <w:t>环境经济损益分析</w:t>
      </w:r>
      <w:bookmarkEnd w:id="420"/>
    </w:p>
    <w:p>
      <w:pPr>
        <w:pStyle w:val="7"/>
        <w:spacing w:before="162" w:line="364" w:lineRule="auto"/>
        <w:ind w:right="485" w:firstLine="480"/>
      </w:pPr>
      <w:r>
        <w:rPr>
          <w:spacing w:val="2"/>
        </w:rPr>
        <w:t>环境影响经济损益分析的主要任务是衡量项目的环保投资所能收到的环境</w:t>
      </w:r>
      <w:r>
        <w:rPr>
          <w:spacing w:val="1"/>
        </w:rPr>
        <w:t>效益和经济效益；建设项目应力争达到经济效益、社会效益、环境效益的统一，</w:t>
      </w:r>
      <w:r>
        <w:rPr>
          <w:spacing w:val="-6"/>
        </w:rPr>
        <w:t>这样可符合可持续发展的要求，实现经济的持续发展和环境质量的不断改善。本</w:t>
      </w:r>
      <w:r>
        <w:rPr>
          <w:spacing w:val="-7"/>
        </w:rPr>
        <w:t>项目属于畜牧养殖行业，其建设在一定程度上会给周围环境带来一些负面影响，</w:t>
      </w:r>
      <w:r>
        <w:rPr>
          <w:spacing w:val="-6"/>
        </w:rPr>
        <w:t>因此有必要进行经济效益、社会效益、环境效益的综合分析，使项目的建设论证</w:t>
      </w:r>
      <w:r>
        <w:rPr>
          <w:spacing w:val="-11"/>
        </w:rPr>
        <w:t>更加充分可靠，工程的设计和实施更加完善，以实现经济的持续增长、社会的良性发展和环境质量的保持与改善。</w:t>
      </w:r>
    </w:p>
    <w:p>
      <w:pPr>
        <w:pStyle w:val="4"/>
        <w:numPr>
          <w:ilvl w:val="1"/>
          <w:numId w:val="75"/>
        </w:numPr>
        <w:tabs>
          <w:tab w:val="left" w:pos="1100"/>
        </w:tabs>
        <w:spacing w:before="158" w:after="0" w:line="240" w:lineRule="auto"/>
        <w:ind w:left="1099" w:right="0" w:hanging="560"/>
        <w:jc w:val="left"/>
        <w:outlineLvl w:val="1"/>
      </w:pPr>
      <w:bookmarkStart w:id="421" w:name="_bookmark31"/>
      <w:bookmarkEnd w:id="421"/>
      <w:bookmarkStart w:id="422" w:name="_bookmark31"/>
      <w:bookmarkEnd w:id="422"/>
      <w:bookmarkStart w:id="423" w:name="7.1 经济效益分析"/>
      <w:bookmarkEnd w:id="423"/>
      <w:bookmarkStart w:id="424" w:name="_Toc31351"/>
      <w:r>
        <w:rPr>
          <w:w w:val="95"/>
        </w:rPr>
        <w:t>经济效益分析</w:t>
      </w:r>
      <w:bookmarkEnd w:id="424"/>
    </w:p>
    <w:p>
      <w:pPr>
        <w:pStyle w:val="7"/>
        <w:spacing w:before="5"/>
        <w:ind w:left="0"/>
        <w:rPr>
          <w:b/>
          <w:sz w:val="28"/>
        </w:rPr>
      </w:pPr>
    </w:p>
    <w:p>
      <w:pPr>
        <w:pStyle w:val="5"/>
        <w:numPr>
          <w:ilvl w:val="2"/>
          <w:numId w:val="75"/>
        </w:numPr>
        <w:tabs>
          <w:tab w:val="left" w:pos="1241"/>
        </w:tabs>
        <w:spacing w:before="0" w:after="0" w:line="240" w:lineRule="auto"/>
        <w:ind w:left="1240" w:right="0" w:hanging="701"/>
        <w:jc w:val="left"/>
        <w:outlineLvl w:val="2"/>
      </w:pPr>
      <w:bookmarkStart w:id="425" w:name="7.1.1 投资构成"/>
      <w:bookmarkEnd w:id="425"/>
      <w:bookmarkStart w:id="426" w:name="7.1.1 投资构成"/>
      <w:bookmarkEnd w:id="426"/>
      <w:bookmarkStart w:id="427" w:name="_Toc10436"/>
      <w:r>
        <w:t>投资构成</w:t>
      </w:r>
      <w:bookmarkEnd w:id="427"/>
    </w:p>
    <w:p>
      <w:pPr>
        <w:pStyle w:val="7"/>
        <w:spacing w:before="5"/>
        <w:ind w:left="0"/>
        <w:rPr>
          <w:b/>
          <w:sz w:val="21"/>
        </w:rPr>
      </w:pPr>
    </w:p>
    <w:p>
      <w:pPr>
        <w:pStyle w:val="18"/>
        <w:numPr>
          <w:ilvl w:val="3"/>
          <w:numId w:val="19"/>
        </w:numPr>
        <w:tabs>
          <w:tab w:val="left" w:pos="1621"/>
        </w:tabs>
        <w:spacing w:before="160" w:after="0" w:line="364" w:lineRule="auto"/>
        <w:ind w:left="540" w:right="457" w:firstLine="480"/>
        <w:jc w:val="both"/>
        <w:rPr>
          <w:color w:val="0000FF"/>
          <w:sz w:val="24"/>
        </w:rPr>
      </w:pPr>
      <w:r>
        <w:rPr>
          <w:rFonts w:hint="eastAsia" w:asciiTheme="minorEastAsia" w:hAnsiTheme="minorEastAsia" w:eastAsiaTheme="minorEastAsia" w:cstheme="minorEastAsia"/>
          <w:color w:val="0000FF"/>
          <w:spacing w:val="-7"/>
          <w:sz w:val="24"/>
          <w:szCs w:val="24"/>
        </w:rPr>
        <w:t>本项目建设投资由土建工程费、设备及工器具购置费、安装工程费、其它费</w:t>
      </w:r>
      <w:r>
        <w:rPr>
          <w:rFonts w:hint="eastAsia" w:asciiTheme="minorEastAsia" w:hAnsiTheme="minorEastAsia" w:eastAsiaTheme="minorEastAsia" w:cstheme="minorEastAsia"/>
          <w:color w:val="0000FF"/>
          <w:spacing w:val="-18"/>
          <w:sz w:val="24"/>
          <w:szCs w:val="24"/>
        </w:rPr>
        <w:t>用以及工程预备费等组成。</w:t>
      </w:r>
      <w:r>
        <w:rPr>
          <w:rFonts w:hint="eastAsia" w:asciiTheme="minorEastAsia" w:hAnsiTheme="minorEastAsia" w:eastAsiaTheme="minorEastAsia" w:cstheme="minorEastAsia"/>
          <w:color w:val="0000FF"/>
          <w:spacing w:val="-7"/>
          <w:sz w:val="24"/>
          <w:szCs w:val="24"/>
        </w:rPr>
        <w:t>项目总投资：本工程总投资</w:t>
      </w:r>
      <w:r>
        <w:rPr>
          <w:rFonts w:hint="eastAsia" w:asciiTheme="minorEastAsia" w:hAnsiTheme="minorEastAsia" w:eastAsiaTheme="minorEastAsia" w:cstheme="minorEastAsia"/>
          <w:color w:val="0000FF"/>
          <w:sz w:val="24"/>
          <w:szCs w:val="24"/>
          <w:lang w:val="en-US" w:eastAsia="zh-CN"/>
        </w:rPr>
        <w:t>3120.00</w:t>
      </w:r>
      <w:r>
        <w:rPr>
          <w:rFonts w:hint="eastAsia" w:asciiTheme="minorEastAsia" w:hAnsiTheme="minorEastAsia" w:eastAsiaTheme="minorEastAsia" w:cstheme="minorEastAsia"/>
          <w:color w:val="0000FF"/>
          <w:spacing w:val="-9"/>
          <w:sz w:val="24"/>
          <w:szCs w:val="24"/>
        </w:rPr>
        <w:t>万元，</w:t>
      </w:r>
      <w:r>
        <w:rPr>
          <w:color w:val="0000FF"/>
          <w:spacing w:val="-9"/>
          <w:sz w:val="24"/>
        </w:rPr>
        <w:t>其中</w:t>
      </w:r>
      <w:r>
        <w:rPr>
          <w:rFonts w:ascii="宋?" w:hAnsi="宋?" w:cs="宋?"/>
          <w:color w:val="0000FF"/>
          <w:kern w:val="0"/>
          <w:sz w:val="24"/>
          <w:szCs w:val="24"/>
        </w:rPr>
        <w:t>工程费用</w:t>
      </w:r>
      <w:r>
        <w:rPr>
          <w:rFonts w:ascii="Times New Roman" w:hAnsi="Times New Roman" w:cs="Times New Roman"/>
          <w:color w:val="0000FF"/>
          <w:kern w:val="0"/>
          <w:sz w:val="24"/>
          <w:szCs w:val="24"/>
        </w:rPr>
        <w:t xml:space="preserve"> 2000.00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64.10%</w:t>
      </w:r>
      <w:r>
        <w:rPr>
          <w:color w:val="0000FF"/>
          <w:spacing w:val="-8"/>
          <w:sz w:val="24"/>
        </w:rPr>
        <w:t>；</w:t>
      </w:r>
      <w:r>
        <w:rPr>
          <w:rFonts w:ascii="宋?" w:hAnsi="宋?" w:cs="宋?"/>
          <w:color w:val="0000FF"/>
          <w:kern w:val="0"/>
          <w:sz w:val="24"/>
          <w:szCs w:val="24"/>
        </w:rPr>
        <w:t>多胎羊购置费用</w:t>
      </w:r>
      <w:r>
        <w:rPr>
          <w:rFonts w:ascii="Times New Roman" w:hAnsi="Times New Roman" w:cs="Times New Roman"/>
          <w:color w:val="0000FF"/>
          <w:kern w:val="0"/>
          <w:sz w:val="24"/>
          <w:szCs w:val="24"/>
        </w:rPr>
        <w:t xml:space="preserve"> 1120.00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35.90%</w:t>
      </w:r>
      <w:r>
        <w:rPr>
          <w:color w:val="0000FF"/>
          <w:sz w:val="24"/>
          <w:szCs w:val="24"/>
        </w:rPr>
        <w:t>；</w:t>
      </w:r>
      <w:r>
        <w:rPr>
          <w:color w:val="0000FF"/>
          <w:spacing w:val="-10"/>
          <w:sz w:val="24"/>
        </w:rPr>
        <w:t>资金筹措：项目总投资 3120.00 万元，资金来源为申请涉农整合资金 2000.00万元；财政专项扶贫资金 1120.00 万元。</w:t>
      </w:r>
    </w:p>
    <w:p>
      <w:pPr>
        <w:pStyle w:val="5"/>
        <w:numPr>
          <w:ilvl w:val="2"/>
          <w:numId w:val="75"/>
        </w:numPr>
        <w:tabs>
          <w:tab w:val="left" w:pos="1241"/>
        </w:tabs>
        <w:spacing w:before="117" w:after="0" w:line="240" w:lineRule="auto"/>
        <w:ind w:left="1240" w:right="0" w:hanging="701"/>
        <w:jc w:val="left"/>
        <w:outlineLvl w:val="2"/>
      </w:pPr>
      <w:bookmarkStart w:id="428" w:name="7.1.2 经济分析"/>
      <w:bookmarkEnd w:id="428"/>
      <w:bookmarkStart w:id="429" w:name="7.1.2 经济分析"/>
      <w:bookmarkEnd w:id="429"/>
      <w:bookmarkStart w:id="430" w:name="_Toc26371"/>
      <w:r>
        <w:t>经济分析</w:t>
      </w:r>
      <w:bookmarkEnd w:id="430"/>
    </w:p>
    <w:p>
      <w:pPr>
        <w:pStyle w:val="7"/>
        <w:spacing w:before="1"/>
        <w:ind w:left="0"/>
        <w:rPr>
          <w:b/>
          <w:sz w:val="22"/>
        </w:rPr>
      </w:pPr>
    </w:p>
    <w:p>
      <w:pPr>
        <w:pStyle w:val="18"/>
        <w:numPr>
          <w:ilvl w:val="3"/>
          <w:numId w:val="75"/>
        </w:numPr>
        <w:tabs>
          <w:tab w:val="left" w:pos="1320"/>
        </w:tabs>
        <w:spacing w:before="1" w:after="0" w:line="240" w:lineRule="auto"/>
        <w:ind w:left="1320" w:right="0" w:hanging="780"/>
        <w:jc w:val="left"/>
        <w:rPr>
          <w:sz w:val="24"/>
        </w:rPr>
      </w:pPr>
      <w:bookmarkStart w:id="431" w:name="7.1.2.1 总成本费用"/>
      <w:bookmarkEnd w:id="431"/>
      <w:bookmarkStart w:id="432" w:name="7.1.2.1 总成本费用"/>
      <w:bookmarkEnd w:id="432"/>
      <w:r>
        <w:rPr>
          <w:sz w:val="24"/>
        </w:rPr>
        <w:t>总成本费用</w:t>
      </w:r>
    </w:p>
    <w:p>
      <w:pPr>
        <w:pStyle w:val="18"/>
        <w:numPr>
          <w:ilvl w:val="4"/>
          <w:numId w:val="75"/>
        </w:numPr>
        <w:tabs>
          <w:tab w:val="left" w:pos="1621"/>
        </w:tabs>
        <w:spacing w:before="167" w:after="0" w:line="240" w:lineRule="auto"/>
        <w:ind w:left="1621" w:right="0" w:hanging="601"/>
        <w:jc w:val="left"/>
        <w:rPr>
          <w:sz w:val="24"/>
        </w:rPr>
      </w:pPr>
      <w:r>
        <w:rPr>
          <w:sz w:val="24"/>
        </w:rPr>
        <w:t>购置成本</w:t>
      </w:r>
    </w:p>
    <w:p>
      <w:pPr>
        <w:pStyle w:val="7"/>
        <w:keepNext w:val="0"/>
        <w:keepLines w:val="0"/>
        <w:pageBreakBefore w:val="0"/>
        <w:widowControl w:val="0"/>
        <w:kinsoku/>
        <w:wordWrap/>
        <w:overflowPunct/>
        <w:topLinePunct w:val="0"/>
        <w:autoSpaceDE w:val="0"/>
        <w:autoSpaceDN w:val="0"/>
        <w:bidi w:val="0"/>
        <w:adjustRightInd/>
        <w:snapToGrid/>
        <w:spacing w:before="160" w:line="360" w:lineRule="auto"/>
        <w:ind w:left="539" w:right="187" w:rightChars="85" w:firstLine="480" w:firstLineChars="200"/>
        <w:textAlignment w:val="auto"/>
        <w:rPr>
          <w:color w:val="0000FF"/>
        </w:rPr>
      </w:pPr>
      <w:r>
        <w:rPr>
          <w:color w:val="0000FF"/>
        </w:rPr>
        <w:t>引进繁育羊</w:t>
      </w:r>
      <w:r>
        <w:rPr>
          <w:rFonts w:hint="eastAsia" w:ascii="Times New Roman" w:eastAsia="宋体"/>
          <w:color w:val="0000FF"/>
          <w:lang w:val="en-US" w:eastAsia="zh-CN"/>
        </w:rPr>
        <w:t>9157</w:t>
      </w:r>
      <w:r>
        <w:rPr>
          <w:color w:val="0000FF"/>
        </w:rPr>
        <w:t>只，其中，</w:t>
      </w:r>
      <w:r>
        <w:rPr>
          <w:rFonts w:ascii="宋?" w:hAnsi="宋?" w:cs="宋?"/>
          <w:color w:val="0000FF"/>
          <w:kern w:val="0"/>
          <w:sz w:val="24"/>
          <w:szCs w:val="24"/>
        </w:rPr>
        <w:t>多胎性生产母羊</w:t>
      </w:r>
      <w:r>
        <w:rPr>
          <w:rFonts w:hint="eastAsia" w:ascii="宋?" w:hAnsi="宋?" w:cs="宋?"/>
          <w:color w:val="0000FF"/>
          <w:kern w:val="0"/>
          <w:sz w:val="24"/>
          <w:szCs w:val="24"/>
          <w:lang w:val="en-US" w:eastAsia="zh-CN"/>
        </w:rPr>
        <w:t>9117</w:t>
      </w:r>
      <w:r>
        <w:rPr>
          <w:color w:val="0000FF"/>
        </w:rPr>
        <w:t>只，平均</w:t>
      </w:r>
      <w:r>
        <w:rPr>
          <w:rFonts w:hint="eastAsia" w:ascii="Times New Roman" w:eastAsia="宋体"/>
          <w:color w:val="0000FF"/>
          <w:lang w:val="en-US" w:eastAsia="zh-CN"/>
        </w:rPr>
        <w:t>1200</w:t>
      </w:r>
      <w:r>
        <w:rPr>
          <w:color w:val="0000FF"/>
        </w:rPr>
        <w:t>元</w:t>
      </w:r>
      <w:r>
        <w:rPr>
          <w:rFonts w:ascii="Times New Roman" w:eastAsia="Times New Roman"/>
          <w:color w:val="0000FF"/>
        </w:rPr>
        <w:t>/</w:t>
      </w:r>
      <w:r>
        <w:rPr>
          <w:color w:val="0000FF"/>
        </w:rPr>
        <w:t>只；</w:t>
      </w:r>
      <w:r>
        <w:rPr>
          <w:rFonts w:ascii="宋?" w:hAnsi="宋?" w:cs="宋?"/>
          <w:color w:val="0000FF"/>
          <w:kern w:val="0"/>
          <w:sz w:val="24"/>
          <w:szCs w:val="24"/>
        </w:rPr>
        <w:t>萨福克种公羊</w:t>
      </w:r>
      <w:r>
        <w:rPr>
          <w:rFonts w:hint="eastAsia" w:ascii="宋?" w:hAnsi="宋?" w:cs="宋?"/>
          <w:color w:val="0000FF"/>
          <w:kern w:val="0"/>
          <w:sz w:val="24"/>
          <w:szCs w:val="24"/>
          <w:lang w:val="en-US" w:eastAsia="zh-CN"/>
        </w:rPr>
        <w:t>20只</w:t>
      </w:r>
      <w:r>
        <w:rPr>
          <w:color w:val="0000FF"/>
        </w:rPr>
        <w:t>，平均</w:t>
      </w:r>
      <w:r>
        <w:rPr>
          <w:rFonts w:hint="eastAsia"/>
          <w:color w:val="0000FF"/>
          <w:lang w:val="en-US" w:eastAsia="zh-CN"/>
        </w:rPr>
        <w:t>75</w:t>
      </w:r>
      <w:r>
        <w:rPr>
          <w:rFonts w:ascii="Times New Roman" w:eastAsia="Times New Roman"/>
          <w:color w:val="0000FF"/>
        </w:rPr>
        <w:t>00</w:t>
      </w:r>
      <w:r>
        <w:rPr>
          <w:color w:val="0000FF"/>
        </w:rPr>
        <w:t>元</w:t>
      </w:r>
      <w:r>
        <w:rPr>
          <w:rFonts w:ascii="Times New Roman" w:eastAsia="Times New Roman"/>
          <w:color w:val="0000FF"/>
        </w:rPr>
        <w:t>/</w:t>
      </w:r>
      <w:r>
        <w:rPr>
          <w:color w:val="0000FF"/>
        </w:rPr>
        <w:t>只；</w:t>
      </w:r>
      <w:r>
        <w:rPr>
          <w:rFonts w:ascii="宋?" w:hAnsi="宋?" w:cs="宋?"/>
          <w:color w:val="0000FF"/>
          <w:kern w:val="0"/>
          <w:sz w:val="24"/>
          <w:szCs w:val="24"/>
        </w:rPr>
        <w:t>湖羊种公羊</w:t>
      </w:r>
      <w:r>
        <w:rPr>
          <w:rFonts w:hint="eastAsia" w:ascii="宋?" w:hAnsi="宋?" w:cs="宋?"/>
          <w:color w:val="0000FF"/>
          <w:kern w:val="0"/>
          <w:sz w:val="24"/>
          <w:szCs w:val="24"/>
          <w:lang w:val="en-US" w:eastAsia="zh-CN"/>
        </w:rPr>
        <w:t>20</w:t>
      </w:r>
      <w:r>
        <w:rPr>
          <w:color w:val="0000FF"/>
        </w:rPr>
        <w:t>只，平均</w:t>
      </w:r>
      <w:r>
        <w:rPr>
          <w:rFonts w:hint="eastAsia"/>
          <w:color w:val="0000FF"/>
          <w:lang w:val="en-US" w:eastAsia="zh-CN"/>
        </w:rPr>
        <w:t>5500</w:t>
      </w:r>
      <w:r>
        <w:rPr>
          <w:color w:val="0000FF"/>
        </w:rPr>
        <w:t>元</w:t>
      </w:r>
      <w:r>
        <w:rPr>
          <w:rFonts w:ascii="Times New Roman" w:eastAsia="Times New Roman"/>
          <w:color w:val="0000FF"/>
        </w:rPr>
        <w:t>/</w:t>
      </w:r>
      <w:r>
        <w:rPr>
          <w:color w:val="0000FF"/>
        </w:rPr>
        <w:t>只。需要投资</w:t>
      </w:r>
      <w:r>
        <w:rPr>
          <w:rFonts w:hint="eastAsia" w:ascii="Times New Roman" w:eastAsia="宋体"/>
          <w:color w:val="0000FF"/>
          <w:lang w:val="en-US" w:eastAsia="zh-CN"/>
        </w:rPr>
        <w:t>1120</w:t>
      </w:r>
      <w:r>
        <w:rPr>
          <w:color w:val="0000FF"/>
        </w:rPr>
        <w:t>万元。</w:t>
      </w:r>
    </w:p>
    <w:p>
      <w:pPr>
        <w:pStyle w:val="18"/>
        <w:numPr>
          <w:ilvl w:val="4"/>
          <w:numId w:val="75"/>
        </w:numPr>
        <w:tabs>
          <w:tab w:val="left" w:pos="1621"/>
        </w:tabs>
        <w:spacing w:before="160" w:after="0" w:line="240" w:lineRule="auto"/>
        <w:ind w:left="1621" w:right="0" w:hanging="601"/>
        <w:jc w:val="left"/>
        <w:rPr>
          <w:color w:val="0000FF"/>
          <w:sz w:val="24"/>
        </w:rPr>
      </w:pPr>
      <w:r>
        <w:rPr>
          <w:color w:val="0000FF"/>
          <w:sz w:val="24"/>
        </w:rPr>
        <w:t>养殖消耗</w:t>
      </w:r>
    </w:p>
    <w:p>
      <w:pPr>
        <w:pStyle w:val="7"/>
        <w:spacing w:before="161"/>
        <w:ind w:left="1020"/>
        <w:rPr>
          <w:color w:val="0000FF"/>
        </w:rPr>
      </w:pPr>
      <w:r>
        <w:rPr>
          <w:color w:val="0000FF"/>
          <w:spacing w:val="-8"/>
        </w:rPr>
        <w:t>正常年出栏肉羊</w:t>
      </w:r>
      <w:r>
        <w:rPr>
          <w:rFonts w:ascii="Times New Roman" w:eastAsia="Times New Roman"/>
          <w:color w:val="0000FF"/>
        </w:rPr>
        <w:t>4</w:t>
      </w:r>
      <w:r>
        <w:rPr>
          <w:color w:val="0000FF"/>
          <w:spacing w:val="-5"/>
        </w:rPr>
        <w:t>万只，按粗饲料及青贮年用量</w:t>
      </w:r>
      <w:r>
        <w:rPr>
          <w:rFonts w:ascii="Times New Roman" w:eastAsia="Times New Roman"/>
          <w:color w:val="0000FF"/>
        </w:rPr>
        <w:t>600</w:t>
      </w:r>
      <w:r>
        <w:rPr>
          <w:color w:val="0000FF"/>
        </w:rPr>
        <w:t>公斤</w:t>
      </w:r>
      <w:r>
        <w:rPr>
          <w:rFonts w:ascii="Times New Roman" w:eastAsia="Times New Roman"/>
          <w:color w:val="0000FF"/>
        </w:rPr>
        <w:t>/</w:t>
      </w:r>
      <w:r>
        <w:rPr>
          <w:color w:val="0000FF"/>
        </w:rPr>
        <w:t>头量，混合精</w:t>
      </w:r>
    </w:p>
    <w:p>
      <w:pPr>
        <w:pStyle w:val="7"/>
        <w:spacing w:before="160"/>
        <w:rPr>
          <w:color w:val="0000FF"/>
        </w:rPr>
      </w:pPr>
      <w:r>
        <w:rPr>
          <w:color w:val="0000FF"/>
          <w:spacing w:val="-31"/>
        </w:rPr>
        <w:t>料</w:t>
      </w:r>
      <w:r>
        <w:rPr>
          <w:rFonts w:ascii="Times New Roman" w:eastAsia="Times New Roman"/>
          <w:color w:val="0000FF"/>
        </w:rPr>
        <w:t>70</w:t>
      </w:r>
      <w:r>
        <w:rPr>
          <w:color w:val="0000FF"/>
        </w:rPr>
        <w:t>公斤</w:t>
      </w:r>
      <w:r>
        <w:rPr>
          <w:rFonts w:ascii="Times New Roman" w:eastAsia="Times New Roman"/>
          <w:color w:val="0000FF"/>
        </w:rPr>
        <w:t>/</w:t>
      </w:r>
      <w:r>
        <w:rPr>
          <w:color w:val="0000FF"/>
          <w:spacing w:val="-12"/>
        </w:rPr>
        <w:t>头量，青贮单价</w:t>
      </w:r>
      <w:r>
        <w:rPr>
          <w:rFonts w:ascii="Times New Roman" w:eastAsia="Times New Roman"/>
          <w:color w:val="0000FF"/>
        </w:rPr>
        <w:t>0.3</w:t>
      </w:r>
      <w:r>
        <w:rPr>
          <w:color w:val="0000FF"/>
        </w:rPr>
        <w:t>元</w:t>
      </w:r>
      <w:r>
        <w:rPr>
          <w:rFonts w:ascii="Times New Roman" w:eastAsia="Times New Roman"/>
          <w:color w:val="0000FF"/>
        </w:rPr>
        <w:t>/</w:t>
      </w:r>
      <w:r>
        <w:rPr>
          <w:color w:val="0000FF"/>
          <w:spacing w:val="-12"/>
        </w:rPr>
        <w:t>公斤，精料单价</w:t>
      </w:r>
      <w:r>
        <w:rPr>
          <w:rFonts w:ascii="Times New Roman" w:eastAsia="Times New Roman"/>
          <w:color w:val="0000FF"/>
        </w:rPr>
        <w:t>2.0</w:t>
      </w:r>
      <w:r>
        <w:rPr>
          <w:color w:val="0000FF"/>
        </w:rPr>
        <w:t>元</w:t>
      </w:r>
      <w:r>
        <w:rPr>
          <w:rFonts w:ascii="Times New Roman" w:eastAsia="Times New Roman"/>
          <w:color w:val="0000FF"/>
        </w:rPr>
        <w:t>/</w:t>
      </w:r>
      <w:r>
        <w:rPr>
          <w:color w:val="0000FF"/>
          <w:spacing w:val="-4"/>
        </w:rPr>
        <w:t>公斤，则共计需要费用</w:t>
      </w:r>
    </w:p>
    <w:p>
      <w:pPr>
        <w:pStyle w:val="7"/>
        <w:spacing w:before="161"/>
        <w:rPr>
          <w:color w:val="0000FF"/>
        </w:rPr>
      </w:pPr>
      <w:r>
        <w:rPr>
          <w:rFonts w:hint="eastAsia" w:ascii="Times New Roman" w:eastAsia="宋体"/>
          <w:color w:val="0000FF"/>
          <w:lang w:val="en-US" w:eastAsia="zh-CN"/>
        </w:rPr>
        <w:t>1280</w:t>
      </w:r>
      <w:r>
        <w:rPr>
          <w:color w:val="0000FF"/>
        </w:rPr>
        <w:t>万元。</w:t>
      </w:r>
    </w:p>
    <w:p>
      <w:pPr>
        <w:pStyle w:val="18"/>
        <w:numPr>
          <w:ilvl w:val="4"/>
          <w:numId w:val="75"/>
        </w:numPr>
        <w:tabs>
          <w:tab w:val="left" w:pos="1621"/>
        </w:tabs>
        <w:spacing w:before="160" w:after="0" w:line="240" w:lineRule="auto"/>
        <w:ind w:left="1621" w:right="0" w:hanging="601"/>
        <w:jc w:val="left"/>
        <w:rPr>
          <w:sz w:val="24"/>
        </w:rPr>
      </w:pPr>
      <w:r>
        <w:rPr>
          <w:sz w:val="24"/>
        </w:rPr>
        <w:t>工资费用</w:t>
      </w:r>
    </w:p>
    <w:p>
      <w:pPr>
        <w:spacing w:after="0" w:line="240"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ind w:left="1020"/>
      </w:pPr>
      <w:r>
        <w:t>养殖人员工资按每月</w:t>
      </w:r>
      <w:r>
        <w:rPr>
          <w:rFonts w:ascii="Times New Roman" w:hAnsi="Times New Roman" w:eastAsia="Times New Roman"/>
        </w:rPr>
        <w:t>3500</w:t>
      </w:r>
      <w:r>
        <w:t>元计算，则养殖员工每个养殖期段工资为</w:t>
      </w:r>
      <w:r>
        <w:rPr>
          <w:rFonts w:ascii="Times New Roman" w:hAnsi="Times New Roman" w:eastAsia="Times New Roman"/>
        </w:rPr>
        <w:t>3500</w:t>
      </w:r>
      <w:r>
        <w:t>×</w:t>
      </w:r>
    </w:p>
    <w:p>
      <w:pPr>
        <w:pStyle w:val="7"/>
        <w:spacing w:before="160"/>
      </w:pPr>
      <w:r>
        <w:rPr>
          <w:rFonts w:ascii="Times New Roman" w:hAnsi="Times New Roman" w:eastAsia="Times New Roman"/>
        </w:rPr>
        <w:t>12</w:t>
      </w:r>
      <w:r>
        <w:t>×</w:t>
      </w:r>
      <w:r>
        <w:rPr>
          <w:rFonts w:ascii="Times New Roman" w:hAnsi="Times New Roman" w:eastAsia="Times New Roman"/>
        </w:rPr>
        <w:t>30=126</w:t>
      </w:r>
      <w:r>
        <w:t>万元。</w:t>
      </w:r>
    </w:p>
    <w:p>
      <w:pPr>
        <w:pStyle w:val="18"/>
        <w:numPr>
          <w:ilvl w:val="4"/>
          <w:numId w:val="75"/>
        </w:numPr>
        <w:tabs>
          <w:tab w:val="left" w:pos="1621"/>
        </w:tabs>
        <w:spacing w:before="161" w:after="0" w:line="240" w:lineRule="auto"/>
        <w:ind w:left="1621" w:right="0" w:hanging="601"/>
        <w:jc w:val="left"/>
        <w:rPr>
          <w:sz w:val="24"/>
        </w:rPr>
      </w:pPr>
      <w:r>
        <w:rPr>
          <w:sz w:val="24"/>
        </w:rPr>
        <w:t>其他费用</w:t>
      </w:r>
    </w:p>
    <w:p>
      <w:pPr>
        <w:pStyle w:val="7"/>
        <w:spacing w:before="160" w:line="364" w:lineRule="auto"/>
        <w:ind w:right="577" w:firstLine="480"/>
      </w:pPr>
      <w:r>
        <w:rPr>
          <w:rFonts w:hint="eastAsia"/>
          <w:spacing w:val="-6"/>
          <w:lang w:val="en-US" w:eastAsia="zh-CN"/>
        </w:rPr>
        <w:t>1.</w:t>
      </w:r>
      <w:r>
        <w:rPr>
          <w:spacing w:val="-6"/>
        </w:rPr>
        <w:t>燃料及动力：本项目能源消耗主要为电力，预计本工程年耗电</w:t>
      </w:r>
      <w:r>
        <w:rPr>
          <w:rFonts w:ascii="Times New Roman" w:hAnsi="Times New Roman" w:eastAsia="Times New Roman"/>
        </w:rPr>
        <w:t>126.50</w:t>
      </w:r>
      <w:r>
        <w:rPr>
          <w:spacing w:val="-16"/>
        </w:rPr>
        <w:t>万</w:t>
      </w:r>
      <w:r>
        <w:rPr>
          <w:spacing w:val="-5"/>
        </w:rPr>
        <w:t>度，电价采用当地用电标准</w:t>
      </w:r>
      <w:r>
        <w:rPr>
          <w:rFonts w:ascii="Times New Roman" w:hAnsi="Times New Roman" w:eastAsia="Times New Roman"/>
        </w:rPr>
        <w:t>0.50</w:t>
      </w:r>
      <w:r>
        <w:t>元</w:t>
      </w:r>
      <w:r>
        <w:rPr>
          <w:rFonts w:ascii="Times New Roman" w:hAnsi="Times New Roman" w:eastAsia="Times New Roman"/>
        </w:rPr>
        <w:t>/</w:t>
      </w:r>
      <w:r>
        <w:rPr>
          <w:spacing w:val="-9"/>
        </w:rPr>
        <w:t>度，年费用为</w:t>
      </w:r>
      <w:r>
        <w:rPr>
          <w:rFonts w:ascii="Times New Roman" w:hAnsi="Times New Roman" w:eastAsia="Times New Roman"/>
        </w:rPr>
        <w:t>63.25</w:t>
      </w:r>
      <w:r>
        <w:t>万元。</w:t>
      </w:r>
    </w:p>
    <w:p>
      <w:pPr>
        <w:pStyle w:val="7"/>
        <w:spacing w:before="1"/>
        <w:ind w:left="1020"/>
      </w:pPr>
      <w:r>
        <w:rPr>
          <w:rFonts w:hint="eastAsia"/>
          <w:lang w:val="en-US" w:eastAsia="zh-CN"/>
        </w:rPr>
        <w:t>2.</w:t>
      </w:r>
      <w:r>
        <w:t>折旧费：本项目固定资产折旧采用平均年限法计算折旧，预计净残值取</w:t>
      </w:r>
    </w:p>
    <w:p>
      <w:pPr>
        <w:pStyle w:val="7"/>
        <w:spacing w:before="161"/>
      </w:pPr>
      <w:r>
        <w:rPr>
          <w:rFonts w:ascii="Times New Roman" w:eastAsia="Times New Roman"/>
        </w:rPr>
        <w:t>5</w:t>
      </w:r>
      <w:r>
        <w:rPr>
          <w:spacing w:val="-5"/>
        </w:rPr>
        <w:t>％，建筑工程折旧年限为</w:t>
      </w:r>
      <w:r>
        <w:rPr>
          <w:rFonts w:ascii="Times New Roman" w:eastAsia="Times New Roman"/>
        </w:rPr>
        <w:t>15</w:t>
      </w:r>
      <w:r>
        <w:rPr>
          <w:spacing w:val="-4"/>
        </w:rPr>
        <w:t>年，设备及其他工程折旧年限为</w:t>
      </w:r>
      <w:r>
        <w:rPr>
          <w:rFonts w:ascii="Times New Roman" w:eastAsia="Times New Roman"/>
        </w:rPr>
        <w:t>10</w:t>
      </w:r>
      <w:r>
        <w:t>年，则到建设</w:t>
      </w:r>
    </w:p>
    <w:p>
      <w:pPr>
        <w:pStyle w:val="7"/>
        <w:spacing w:before="160"/>
      </w:pPr>
      <w:r>
        <w:t>期末，年折旧费合计</w:t>
      </w:r>
      <w:r>
        <w:rPr>
          <w:rFonts w:hint="eastAsia" w:ascii="Times New Roman" w:eastAsia="宋体"/>
          <w:lang w:val="en-US" w:eastAsia="zh-CN"/>
        </w:rPr>
        <w:t>156</w:t>
      </w:r>
      <w:r>
        <w:t>万元。</w:t>
      </w:r>
    </w:p>
    <w:p>
      <w:pPr>
        <w:pStyle w:val="7"/>
        <w:spacing w:before="161"/>
        <w:ind w:left="1020"/>
        <w:rPr>
          <w:rFonts w:hint="default" w:ascii="Times New Roman" w:hAnsi="Times New Roman" w:eastAsia="宋体"/>
          <w:lang w:val="en-US" w:eastAsia="zh-CN"/>
        </w:rPr>
      </w:pPr>
      <w:r>
        <w:rPr>
          <w:rFonts w:hint="eastAsia"/>
          <w:lang w:val="en-US" w:eastAsia="zh-CN"/>
        </w:rPr>
        <w:t>3.</w:t>
      </w:r>
      <w:r>
        <w:t>大修理费及维修费：按固定资产投资的</w:t>
      </w:r>
      <w:r>
        <w:rPr>
          <w:rFonts w:ascii="Times New Roman" w:hAnsi="Times New Roman" w:eastAsia="Times New Roman"/>
        </w:rPr>
        <w:t>3.5%</w:t>
      </w:r>
      <w:r>
        <w:t>计算，大修理费用为</w:t>
      </w:r>
      <w:r>
        <w:rPr>
          <w:rFonts w:hint="eastAsia" w:ascii="Times New Roman" w:hAnsi="Times New Roman" w:eastAsia="宋体"/>
          <w:lang w:val="en-US" w:eastAsia="zh-CN"/>
        </w:rPr>
        <w:t>109.2</w:t>
      </w:r>
    </w:p>
    <w:p>
      <w:pPr>
        <w:pStyle w:val="7"/>
        <w:spacing w:before="160"/>
      </w:pPr>
      <w:r>
        <w:t>元。</w:t>
      </w:r>
    </w:p>
    <w:p>
      <w:pPr>
        <w:pStyle w:val="7"/>
        <w:spacing w:before="160"/>
        <w:ind w:left="1020"/>
        <w:rPr>
          <w:rFonts w:hint="default" w:ascii="Times New Roman" w:hAnsi="Times New Roman" w:eastAsia="宋体"/>
          <w:lang w:val="en-US" w:eastAsia="zh-CN"/>
        </w:rPr>
      </w:pPr>
      <w:r>
        <w:rPr>
          <w:rFonts w:hint="eastAsia"/>
          <w:lang w:val="en-US" w:eastAsia="zh-CN"/>
        </w:rPr>
        <w:t>4.</w:t>
      </w:r>
      <w:r>
        <w:t>销售费用：根据国家有关规定，销售费用按销售收入的</w:t>
      </w:r>
      <w:r>
        <w:rPr>
          <w:rFonts w:ascii="Times New Roman" w:hAnsi="Times New Roman" w:eastAsia="Times New Roman"/>
        </w:rPr>
        <w:t>5%</w:t>
      </w:r>
      <w:r>
        <w:t>计算为</w:t>
      </w:r>
      <w:r>
        <w:rPr>
          <w:rFonts w:hint="eastAsia" w:ascii="Times New Roman" w:hAnsi="Times New Roman" w:eastAsia="宋体"/>
          <w:lang w:val="en-US" w:eastAsia="zh-CN"/>
        </w:rPr>
        <w:t>290</w:t>
      </w:r>
    </w:p>
    <w:p>
      <w:pPr>
        <w:pStyle w:val="7"/>
        <w:spacing w:before="161"/>
      </w:pPr>
      <w:r>
        <w:t>万元。</w:t>
      </w:r>
    </w:p>
    <w:p>
      <w:pPr>
        <w:pStyle w:val="7"/>
        <w:spacing w:before="160"/>
        <w:ind w:left="1020"/>
        <w:rPr>
          <w:rFonts w:ascii="Times New Roman" w:hAnsi="Times New Roman" w:eastAsia="Times New Roman"/>
        </w:rPr>
      </w:pPr>
      <w:r>
        <w:rPr>
          <w:rFonts w:hint="eastAsia"/>
          <w:lang w:val="en-US" w:eastAsia="zh-CN"/>
        </w:rPr>
        <w:t>5.</w:t>
      </w:r>
      <w:r>
        <w:t>管理费用：根据国家有关规定和实际情况，管理费按生产成本费用的</w:t>
      </w:r>
      <w:r>
        <w:rPr>
          <w:rFonts w:ascii="Times New Roman" w:hAnsi="Times New Roman" w:eastAsia="Times New Roman"/>
        </w:rPr>
        <w:t>10%</w:t>
      </w:r>
    </w:p>
    <w:p>
      <w:pPr>
        <w:pStyle w:val="7"/>
        <w:spacing w:before="161"/>
      </w:pPr>
      <w:r>
        <w:t>计算，为</w:t>
      </w:r>
      <w:r>
        <w:rPr>
          <w:rFonts w:hint="eastAsia" w:ascii="Times New Roman" w:eastAsia="宋体"/>
          <w:lang w:val="en-US" w:eastAsia="zh-CN"/>
        </w:rPr>
        <w:t>112</w:t>
      </w:r>
      <w:r>
        <w:t>万元。</w:t>
      </w:r>
    </w:p>
    <w:p>
      <w:pPr>
        <w:pStyle w:val="7"/>
        <w:spacing w:before="160"/>
        <w:ind w:left="1020"/>
      </w:pPr>
      <w:r>
        <w:t>以上各项合计为项目总成本费用</w:t>
      </w:r>
      <w:r>
        <w:rPr>
          <w:rFonts w:hint="eastAsia"/>
          <w:lang w:val="en-US" w:eastAsia="zh-CN"/>
        </w:rPr>
        <w:t>3247.4</w:t>
      </w:r>
      <w:r>
        <w:t>万元。</w:t>
      </w:r>
    </w:p>
    <w:p>
      <w:pPr>
        <w:pStyle w:val="18"/>
        <w:numPr>
          <w:ilvl w:val="3"/>
          <w:numId w:val="75"/>
        </w:numPr>
        <w:tabs>
          <w:tab w:val="left" w:pos="1320"/>
        </w:tabs>
        <w:spacing w:before="171" w:after="0" w:line="240" w:lineRule="auto"/>
        <w:ind w:left="1320" w:right="0" w:hanging="780"/>
        <w:jc w:val="left"/>
        <w:rPr>
          <w:sz w:val="24"/>
        </w:rPr>
      </w:pPr>
      <w:bookmarkStart w:id="433" w:name="7.1.2.2 销售收入"/>
      <w:bookmarkEnd w:id="433"/>
      <w:bookmarkStart w:id="434" w:name="7.1.2.2 销售收入"/>
      <w:bookmarkEnd w:id="434"/>
      <w:r>
        <w:rPr>
          <w:sz w:val="24"/>
        </w:rPr>
        <w:t>销售收入</w:t>
      </w:r>
    </w:p>
    <w:p>
      <w:pPr>
        <w:pStyle w:val="7"/>
        <w:spacing w:before="167" w:line="364" w:lineRule="auto"/>
        <w:ind w:right="577" w:firstLine="480"/>
      </w:pPr>
      <w:r>
        <w:rPr>
          <w:spacing w:val="-5"/>
        </w:rPr>
        <w:t>本项目产品的销售价格参照近几年市场上同类产品的销售平均价格、目前的</w:t>
      </w:r>
      <w:r>
        <w:t>市场价格及当地目前的实际销售价格测算。</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482" w:right="187" w:rightChars="85" w:firstLine="480" w:firstLineChars="200"/>
        <w:textAlignment w:val="auto"/>
        <w:rPr>
          <w:color w:val="0000FF"/>
        </w:rPr>
      </w:pPr>
      <w:r>
        <w:rPr>
          <w:color w:val="0000FF"/>
        </w:rPr>
        <w:t>项目建成后可实现年标准肉羊出栏量</w:t>
      </w:r>
      <w:r>
        <w:rPr>
          <w:rFonts w:hint="eastAsia" w:ascii="Times New Roman" w:eastAsia="宋体"/>
          <w:color w:val="0000FF"/>
          <w:lang w:val="en-US" w:eastAsia="zh-CN"/>
        </w:rPr>
        <w:t>4</w:t>
      </w:r>
      <w:r>
        <w:rPr>
          <w:color w:val="0000FF"/>
        </w:rPr>
        <w:t>万只（</w:t>
      </w:r>
      <w:r>
        <w:rPr>
          <w:rFonts w:ascii="Times New Roman" w:eastAsia="Times New Roman"/>
          <w:color w:val="0000FF"/>
        </w:rPr>
        <w:t>100%</w:t>
      </w:r>
      <w:r>
        <w:rPr>
          <w:color w:val="0000FF"/>
        </w:rPr>
        <w:t>计），按死淘率</w:t>
      </w:r>
      <w:r>
        <w:rPr>
          <w:rFonts w:ascii="Times New Roman" w:eastAsia="Times New Roman"/>
          <w:color w:val="0000FF"/>
        </w:rPr>
        <w:t>10%</w:t>
      </w:r>
      <w:r>
        <w:rPr>
          <w:color w:val="0000FF"/>
        </w:rPr>
        <w:t>计算，年出售</w:t>
      </w:r>
      <w:r>
        <w:rPr>
          <w:rFonts w:hint="eastAsia" w:ascii="Times New Roman" w:eastAsia="宋体"/>
          <w:color w:val="0000FF"/>
          <w:lang w:val="en-US" w:eastAsia="zh-CN"/>
        </w:rPr>
        <w:t>3.</w:t>
      </w:r>
      <w:r>
        <w:rPr>
          <w:rFonts w:ascii="Times New Roman" w:eastAsia="Times New Roman"/>
          <w:color w:val="0000FF"/>
        </w:rPr>
        <w:t>6</w:t>
      </w:r>
      <w:r>
        <w:rPr>
          <w:color w:val="0000FF"/>
        </w:rPr>
        <w:t>万只标准化肉羊，每只羊售价</w:t>
      </w:r>
      <w:r>
        <w:rPr>
          <w:rFonts w:ascii="Times New Roman" w:eastAsia="Times New Roman"/>
          <w:color w:val="0000FF"/>
        </w:rPr>
        <w:t>1500</w:t>
      </w:r>
      <w:r>
        <w:rPr>
          <w:color w:val="0000FF"/>
        </w:rPr>
        <w:t>元，年销售收入</w:t>
      </w:r>
      <w:r>
        <w:rPr>
          <w:rFonts w:hint="eastAsia" w:ascii="Times New Roman" w:eastAsia="宋体"/>
          <w:color w:val="0000FF"/>
          <w:lang w:val="en-US" w:eastAsia="zh-CN"/>
        </w:rPr>
        <w:t>5400</w:t>
      </w:r>
      <w:r>
        <w:rPr>
          <w:color w:val="0000FF"/>
        </w:rPr>
        <w:t>万元。羊粪每只羊</w:t>
      </w:r>
      <w:r>
        <w:rPr>
          <w:rFonts w:ascii="Times New Roman" w:eastAsia="Times New Roman"/>
          <w:color w:val="0000FF"/>
        </w:rPr>
        <w:t>10</w:t>
      </w:r>
      <w:r>
        <w:rPr>
          <w:color w:val="0000FF"/>
        </w:rPr>
        <w:t>元</w:t>
      </w:r>
      <w:r>
        <w:rPr>
          <w:rFonts w:ascii="Times New Roman" w:eastAsia="Times New Roman"/>
          <w:color w:val="0000FF"/>
        </w:rPr>
        <w:t>/</w:t>
      </w:r>
      <w:r>
        <w:rPr>
          <w:color w:val="0000FF"/>
        </w:rPr>
        <w:t>只，可收入</w:t>
      </w:r>
      <w:r>
        <w:rPr>
          <w:rFonts w:hint="eastAsia"/>
          <w:color w:val="0000FF"/>
          <w:lang w:val="en-US" w:eastAsia="zh-CN"/>
        </w:rPr>
        <w:t>400</w:t>
      </w:r>
      <w:r>
        <w:rPr>
          <w:color w:val="0000FF"/>
        </w:rPr>
        <w:t>万元。正常年共计销售收入</w:t>
      </w:r>
      <w:r>
        <w:rPr>
          <w:rFonts w:hint="eastAsia" w:ascii="Times New Roman" w:eastAsia="宋体"/>
          <w:color w:val="0000FF"/>
          <w:lang w:val="en-US" w:eastAsia="zh-CN"/>
        </w:rPr>
        <w:t>5800</w:t>
      </w:r>
      <w:r>
        <w:rPr>
          <w:color w:val="0000FF"/>
        </w:rPr>
        <w:t>万元。</w:t>
      </w:r>
    </w:p>
    <w:p>
      <w:pPr>
        <w:pStyle w:val="7"/>
        <w:spacing w:before="160"/>
        <w:ind w:left="1020"/>
      </w:pPr>
      <w:r>
        <w:t>通过以上分析，本项目经济效益十分显著，项目属于完全可行的范畴。</w:t>
      </w:r>
    </w:p>
    <w:p>
      <w:pPr>
        <w:pStyle w:val="7"/>
        <w:spacing w:before="4"/>
        <w:ind w:left="0"/>
      </w:pPr>
    </w:p>
    <w:p>
      <w:pPr>
        <w:pStyle w:val="4"/>
        <w:numPr>
          <w:ilvl w:val="1"/>
          <w:numId w:val="76"/>
        </w:numPr>
        <w:tabs>
          <w:tab w:val="left" w:pos="1100"/>
        </w:tabs>
        <w:spacing w:before="0" w:after="0" w:line="240" w:lineRule="auto"/>
        <w:ind w:left="1099" w:right="0" w:hanging="560"/>
        <w:jc w:val="left"/>
        <w:outlineLvl w:val="1"/>
      </w:pPr>
      <w:bookmarkStart w:id="435" w:name="_bookmark32"/>
      <w:bookmarkEnd w:id="435"/>
      <w:bookmarkStart w:id="436" w:name="7.2 社会效益分析"/>
      <w:bookmarkEnd w:id="436"/>
      <w:bookmarkStart w:id="437" w:name="_bookmark32"/>
      <w:bookmarkEnd w:id="437"/>
      <w:bookmarkStart w:id="438" w:name="_Toc4100"/>
      <w:r>
        <w:t>社会效益分析</w:t>
      </w:r>
      <w:bookmarkEnd w:id="438"/>
    </w:p>
    <w:p>
      <w:pPr>
        <w:pStyle w:val="7"/>
        <w:spacing w:before="5"/>
        <w:ind w:left="0"/>
        <w:rPr>
          <w:b/>
        </w:rPr>
      </w:pPr>
    </w:p>
    <w:p>
      <w:pPr>
        <w:pStyle w:val="7"/>
        <w:spacing w:before="1"/>
        <w:ind w:left="1020"/>
      </w:pPr>
      <w:r>
        <w:t>本项目的社会效益主要体现在以下几个方面：</w:t>
      </w:r>
    </w:p>
    <w:p>
      <w:pPr>
        <w:pStyle w:val="18"/>
        <w:numPr>
          <w:ilvl w:val="2"/>
          <w:numId w:val="76"/>
        </w:numPr>
        <w:tabs>
          <w:tab w:val="left" w:pos="1621"/>
        </w:tabs>
        <w:spacing w:before="160" w:after="0" w:line="364" w:lineRule="auto"/>
        <w:ind w:left="540" w:right="577" w:firstLine="480"/>
        <w:jc w:val="both"/>
        <w:rPr>
          <w:color w:val="0000FF"/>
          <w:sz w:val="24"/>
        </w:rPr>
      </w:pPr>
      <w:r>
        <w:rPr>
          <w:color w:val="0000FF"/>
          <w:spacing w:val="-6"/>
          <w:sz w:val="24"/>
        </w:rPr>
        <w:t>项目的建设，充分发挥了资源优势，每年可为社会提供</w:t>
      </w:r>
      <w:r>
        <w:rPr>
          <w:rFonts w:hint="eastAsia"/>
          <w:color w:val="0000FF"/>
          <w:spacing w:val="-6"/>
          <w:sz w:val="24"/>
          <w:lang w:val="en-US" w:eastAsia="zh-CN"/>
        </w:rPr>
        <w:t>4</w:t>
      </w:r>
      <w:r>
        <w:rPr>
          <w:color w:val="0000FF"/>
          <w:spacing w:val="-5"/>
          <w:sz w:val="24"/>
        </w:rPr>
        <w:t>万只商品</w:t>
      </w:r>
      <w:r>
        <w:rPr>
          <w:color w:val="0000FF"/>
          <w:spacing w:val="-9"/>
          <w:sz w:val="24"/>
        </w:rPr>
        <w:t>羊，为促进当地农副食品产业发挥一定作用。同时，由经济效益分析可见，本项目的建成投产，具有良好的经济效益，这样一方面可为国家带来一定的利税，另</w:t>
      </w:r>
    </w:p>
    <w:p>
      <w:pPr>
        <w:spacing w:after="0" w:line="364" w:lineRule="auto"/>
        <w:jc w:val="both"/>
        <w:rPr>
          <w:color w:val="0000FF"/>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577"/>
        <w:rPr>
          <w:color w:val="0000FF"/>
        </w:rPr>
      </w:pPr>
      <w:r>
        <w:rPr>
          <w:color w:val="0000FF"/>
          <w:spacing w:val="-10"/>
        </w:rPr>
        <w:t>一方面，也可带动当地相关企业的发展，促进地区经济的活跃，为当地带来新的</w:t>
      </w:r>
      <w:r>
        <w:rPr>
          <w:color w:val="0000FF"/>
        </w:rPr>
        <w:t>经济增长点。</w:t>
      </w:r>
    </w:p>
    <w:p>
      <w:pPr>
        <w:pStyle w:val="18"/>
        <w:numPr>
          <w:ilvl w:val="2"/>
          <w:numId w:val="76"/>
        </w:numPr>
        <w:tabs>
          <w:tab w:val="left" w:pos="1621"/>
        </w:tabs>
        <w:spacing w:before="1" w:after="0" w:line="364" w:lineRule="auto"/>
        <w:ind w:left="540" w:right="580" w:firstLine="480"/>
        <w:jc w:val="left"/>
        <w:rPr>
          <w:sz w:val="24"/>
        </w:rPr>
      </w:pPr>
      <w:r>
        <w:rPr>
          <w:spacing w:val="-1"/>
          <w:sz w:val="24"/>
        </w:rPr>
        <w:t>项目的实施，调整了种植业结构，加大农业综合开发利用的力度，将</w:t>
      </w:r>
      <w:r>
        <w:rPr>
          <w:sz w:val="24"/>
        </w:rPr>
        <w:t>现有的资源优势转化为产业优势，提高了土地的产出效益。</w:t>
      </w:r>
    </w:p>
    <w:p>
      <w:pPr>
        <w:pStyle w:val="18"/>
        <w:numPr>
          <w:ilvl w:val="2"/>
          <w:numId w:val="76"/>
        </w:numPr>
        <w:tabs>
          <w:tab w:val="left" w:pos="1621"/>
        </w:tabs>
        <w:spacing w:before="1" w:after="0" w:line="364" w:lineRule="auto"/>
        <w:ind w:left="540" w:right="577" w:firstLine="480"/>
        <w:jc w:val="both"/>
        <w:rPr>
          <w:sz w:val="24"/>
        </w:rPr>
      </w:pPr>
      <w:r>
        <w:rPr>
          <w:spacing w:val="-1"/>
          <w:sz w:val="24"/>
        </w:rPr>
        <w:t>本项目未来的标准化、规模化建设将形成农村能源产业，由此所需的</w:t>
      </w:r>
      <w:r>
        <w:rPr>
          <w:spacing w:val="-10"/>
          <w:sz w:val="24"/>
        </w:rPr>
        <w:t>技术、管理队伍可就地吸纳农村剩余劳动力，有利于维护农村社会稳定，对提高</w:t>
      </w:r>
      <w:r>
        <w:rPr>
          <w:sz w:val="24"/>
        </w:rPr>
        <w:t>人民生活水平起到积极作用。</w:t>
      </w:r>
    </w:p>
    <w:p>
      <w:pPr>
        <w:pStyle w:val="18"/>
        <w:numPr>
          <w:ilvl w:val="2"/>
          <w:numId w:val="76"/>
        </w:numPr>
        <w:tabs>
          <w:tab w:val="left" w:pos="1621"/>
        </w:tabs>
        <w:spacing w:before="2" w:after="0" w:line="364" w:lineRule="auto"/>
        <w:ind w:left="540" w:right="577" w:firstLine="480"/>
        <w:jc w:val="both"/>
        <w:rPr>
          <w:sz w:val="24"/>
        </w:rPr>
      </w:pPr>
      <w:r>
        <w:rPr>
          <w:spacing w:val="-1"/>
          <w:sz w:val="24"/>
        </w:rPr>
        <w:t>项目的建设可拉动周边畜禽养殖业、肉制品加工业、饲料加工业等行</w:t>
      </w:r>
      <w:r>
        <w:rPr>
          <w:spacing w:val="-9"/>
          <w:sz w:val="24"/>
        </w:rPr>
        <w:t>业的快速发展，同时为周围种植业提供了大量优质有机肥，降低了化肥、农药在</w:t>
      </w:r>
      <w:r>
        <w:rPr>
          <w:spacing w:val="-8"/>
          <w:sz w:val="24"/>
        </w:rPr>
        <w:t>农产品生产中的使用量，为无公害农产品生产提供了有利条件，有利于促进周围</w:t>
      </w:r>
      <w:r>
        <w:rPr>
          <w:sz w:val="24"/>
        </w:rPr>
        <w:t>农村产业结构调整。</w:t>
      </w:r>
    </w:p>
    <w:p>
      <w:pPr>
        <w:pStyle w:val="18"/>
        <w:numPr>
          <w:ilvl w:val="2"/>
          <w:numId w:val="76"/>
        </w:numPr>
        <w:tabs>
          <w:tab w:val="left" w:pos="1621"/>
        </w:tabs>
        <w:spacing w:before="2" w:after="0" w:line="364" w:lineRule="auto"/>
        <w:ind w:left="540" w:right="580" w:firstLine="480"/>
        <w:jc w:val="left"/>
        <w:rPr>
          <w:sz w:val="24"/>
        </w:rPr>
      </w:pPr>
      <w:r>
        <w:rPr>
          <w:spacing w:val="-1"/>
          <w:sz w:val="24"/>
        </w:rPr>
        <w:t>项目投产后，可增加当地财政收入，提高当地社会经济发展水平，对</w:t>
      </w:r>
      <w:r>
        <w:rPr>
          <w:sz w:val="24"/>
        </w:rPr>
        <w:t>区域社会稳定发挥了较强作用。</w:t>
      </w:r>
    </w:p>
    <w:p>
      <w:pPr>
        <w:pStyle w:val="7"/>
        <w:spacing w:before="2"/>
        <w:ind w:left="1020"/>
      </w:pPr>
      <w:r>
        <w:t>由此可见，本工程的社会效益正大于负，正效益显著。</w:t>
      </w:r>
    </w:p>
    <w:p>
      <w:pPr>
        <w:pStyle w:val="7"/>
        <w:spacing w:before="5"/>
        <w:ind w:left="0"/>
      </w:pPr>
    </w:p>
    <w:p>
      <w:pPr>
        <w:pStyle w:val="4"/>
        <w:numPr>
          <w:ilvl w:val="1"/>
          <w:numId w:val="76"/>
        </w:numPr>
        <w:tabs>
          <w:tab w:val="left" w:pos="1100"/>
        </w:tabs>
        <w:spacing w:before="0" w:after="0" w:line="240" w:lineRule="auto"/>
        <w:ind w:left="1099" w:right="0" w:hanging="560"/>
        <w:jc w:val="left"/>
        <w:outlineLvl w:val="1"/>
      </w:pPr>
      <w:bookmarkStart w:id="439" w:name="_bookmark33"/>
      <w:bookmarkEnd w:id="439"/>
      <w:bookmarkStart w:id="440" w:name="_bookmark33"/>
      <w:bookmarkEnd w:id="440"/>
      <w:bookmarkStart w:id="441" w:name="7.3 环境效益分析"/>
      <w:bookmarkEnd w:id="441"/>
      <w:bookmarkStart w:id="442" w:name="_Toc27702"/>
      <w:r>
        <w:t>环境效益分析</w:t>
      </w:r>
      <w:bookmarkEnd w:id="442"/>
    </w:p>
    <w:p>
      <w:pPr>
        <w:pStyle w:val="7"/>
        <w:spacing w:before="6"/>
        <w:ind w:left="0"/>
        <w:rPr>
          <w:b/>
          <w:sz w:val="28"/>
        </w:rPr>
      </w:pPr>
    </w:p>
    <w:p>
      <w:pPr>
        <w:pStyle w:val="5"/>
        <w:numPr>
          <w:ilvl w:val="2"/>
          <w:numId w:val="77"/>
        </w:numPr>
        <w:tabs>
          <w:tab w:val="left" w:pos="1241"/>
        </w:tabs>
        <w:spacing w:before="0" w:after="0" w:line="240" w:lineRule="auto"/>
        <w:ind w:left="1240" w:right="0" w:hanging="701"/>
        <w:jc w:val="left"/>
        <w:outlineLvl w:val="2"/>
      </w:pPr>
      <w:bookmarkStart w:id="443" w:name="7.3.1 环保投资估算"/>
      <w:bookmarkEnd w:id="443"/>
      <w:bookmarkStart w:id="444" w:name="7.3.1 环保投资估算"/>
      <w:bookmarkEnd w:id="444"/>
      <w:bookmarkStart w:id="445" w:name="_Toc2734"/>
      <w:r>
        <w:t>环保投资估算</w:t>
      </w:r>
      <w:bookmarkEnd w:id="445"/>
    </w:p>
    <w:p>
      <w:pPr>
        <w:pStyle w:val="7"/>
        <w:spacing w:before="3"/>
        <w:ind w:left="0"/>
        <w:rPr>
          <w:b/>
          <w:sz w:val="21"/>
        </w:rPr>
      </w:pPr>
    </w:p>
    <w:p>
      <w:pPr>
        <w:pStyle w:val="7"/>
        <w:spacing w:before="67"/>
        <w:ind w:left="1020"/>
      </w:pPr>
      <w:r>
        <w:t>环保投资比按下式计算：</w:t>
      </w:r>
    </w:p>
    <w:p>
      <w:pPr>
        <w:spacing w:before="192" w:line="383" w:lineRule="exact"/>
        <w:ind w:left="449" w:right="17" w:firstLine="0"/>
        <w:jc w:val="center"/>
        <w:rPr>
          <w:rFonts w:ascii="Times New Roman" w:hAnsi="Times New Roman"/>
          <w:sz w:val="24"/>
        </w:rPr>
      </w:pPr>
      <w:r>
        <w:pict>
          <v:line id="_x0000_s1172" o:spid="_x0000_s1172" o:spt="20" style="position:absolute;left:0pt;margin-left:295.75pt;margin-top:25.25pt;height:0pt;width:18.6pt;mso-position-horizontal-relative:page;z-index:-270977024;mso-width-relative:page;mso-height-relative:page;" stroked="t" coordsize="21600,21600">
            <v:path arrowok="t"/>
            <v:fill focussize="0,0"/>
            <v:stroke weight="0.502992125984252pt" color="#000000"/>
            <v:imagedata o:title=""/>
            <o:lock v:ext="edit"/>
          </v:line>
        </w:pict>
      </w:r>
      <w:r>
        <w:rPr>
          <w:rFonts w:ascii="Times New Roman" w:hAnsi="Times New Roman"/>
          <w:i/>
          <w:sz w:val="24"/>
        </w:rPr>
        <w:t>HJ</w:t>
      </w:r>
      <w:r>
        <w:rPr>
          <w:rFonts w:ascii="Symbol" w:hAnsi="Symbol"/>
          <w:sz w:val="24"/>
        </w:rPr>
        <w:t></w:t>
      </w:r>
      <w:r>
        <w:rPr>
          <w:rFonts w:ascii="Times New Roman" w:hAnsi="Times New Roman"/>
          <w:i/>
          <w:position w:val="15"/>
          <w:sz w:val="24"/>
        </w:rPr>
        <w:t>HT</w:t>
      </w:r>
      <w:r>
        <w:rPr>
          <w:rFonts w:ascii="Symbol" w:hAnsi="Symbol"/>
          <w:sz w:val="24"/>
        </w:rPr>
        <w:t></w:t>
      </w:r>
      <w:r>
        <w:rPr>
          <w:rFonts w:ascii="Times New Roman" w:hAnsi="Times New Roman"/>
          <w:sz w:val="24"/>
        </w:rPr>
        <w:t>100%</w:t>
      </w:r>
    </w:p>
    <w:p>
      <w:pPr>
        <w:spacing w:before="0" w:line="232" w:lineRule="exact"/>
        <w:ind w:left="285" w:right="40" w:firstLine="0"/>
        <w:jc w:val="center"/>
        <w:rPr>
          <w:rFonts w:ascii="Times New Roman"/>
          <w:i/>
          <w:sz w:val="24"/>
        </w:rPr>
      </w:pPr>
      <w:r>
        <w:rPr>
          <w:rFonts w:ascii="Times New Roman"/>
          <w:i/>
          <w:sz w:val="24"/>
        </w:rPr>
        <w:t>JI</w:t>
      </w:r>
    </w:p>
    <w:p>
      <w:pPr>
        <w:pStyle w:val="7"/>
        <w:spacing w:before="9"/>
        <w:ind w:left="0"/>
        <w:rPr>
          <w:rFonts w:ascii="Times New Roman"/>
          <w:i/>
          <w:sz w:val="19"/>
        </w:rPr>
      </w:pPr>
    </w:p>
    <w:p>
      <w:pPr>
        <w:pStyle w:val="7"/>
        <w:spacing w:before="74"/>
        <w:ind w:left="0" w:right="3157"/>
        <w:jc w:val="center"/>
      </w:pPr>
      <w:r>
        <w:t>式中：</w:t>
      </w:r>
      <w:r>
        <w:rPr>
          <w:rFonts w:ascii="Times New Roman" w:hAnsi="Times New Roman" w:eastAsia="Times New Roman"/>
        </w:rPr>
        <w:t>HJ</w:t>
      </w:r>
      <w:r>
        <w:t>——环保费用投资比，</w:t>
      </w:r>
      <w:r>
        <w:rPr>
          <w:rFonts w:ascii="Times New Roman" w:hAnsi="Times New Roman" w:eastAsia="Times New Roman"/>
        </w:rPr>
        <w:t>100</w:t>
      </w:r>
      <w:r>
        <w:t>％；</w:t>
      </w:r>
    </w:p>
    <w:p>
      <w:pPr>
        <w:pStyle w:val="7"/>
        <w:spacing w:before="173" w:line="374" w:lineRule="auto"/>
        <w:ind w:left="1740" w:right="4871" w:hanging="94"/>
        <w:jc w:val="center"/>
      </w:pPr>
      <w:r>
        <w:rPr>
          <w:rFonts w:ascii="Times New Roman" w:hAnsi="Times New Roman" w:eastAsia="Times New Roman"/>
        </w:rPr>
        <w:t>HT</w:t>
      </w:r>
      <w:r>
        <w:t>——环保投资，万元；</w:t>
      </w:r>
      <w:r>
        <w:rPr>
          <w:rFonts w:ascii="Times New Roman" w:hAnsi="Times New Roman" w:eastAsia="Times New Roman"/>
        </w:rPr>
        <w:t>JI</w:t>
      </w:r>
      <w:r>
        <w:t>——项目总投资，万元。</w:t>
      </w:r>
    </w:p>
    <w:p>
      <w:pPr>
        <w:pStyle w:val="7"/>
        <w:spacing w:line="374" w:lineRule="auto"/>
        <w:ind w:right="577" w:firstLine="480"/>
      </w:pPr>
      <w:r>
        <w:t>本项目环境保护投入全部为扶贫资金，估算见表</w:t>
      </w:r>
      <w:r>
        <w:rPr>
          <w:rFonts w:ascii="Times New Roman" w:eastAsia="Times New Roman"/>
        </w:rPr>
        <w:t>7.3-1</w:t>
      </w:r>
      <w:r>
        <w:t>。本项目总投资</w:t>
      </w:r>
      <w:r>
        <w:rPr>
          <w:rFonts w:hint="eastAsia" w:ascii="Times New Roman" w:eastAsia="宋体"/>
          <w:lang w:val="en-US" w:eastAsia="zh-CN"/>
        </w:rPr>
        <w:t>3120</w:t>
      </w:r>
      <w:r>
        <w:t>万元，其中，环境保护投入建设费用</w:t>
      </w:r>
      <w:r>
        <w:rPr>
          <w:rFonts w:hint="eastAsia" w:ascii="Times New Roman"/>
          <w:lang w:val="en-US" w:eastAsia="zh-CN"/>
        </w:rPr>
        <w:t>156</w:t>
      </w:r>
      <w:r>
        <w:t>万元，占总投资的</w:t>
      </w:r>
      <w:r>
        <w:rPr>
          <w:rFonts w:hint="eastAsia" w:ascii="Times New Roman" w:eastAsia="宋体"/>
          <w:lang w:val="en-US" w:eastAsia="zh-CN"/>
        </w:rPr>
        <w:t>5</w:t>
      </w:r>
      <w:r>
        <w:rPr>
          <w:rFonts w:ascii="Times New Roman" w:eastAsia="Times New Roman"/>
        </w:rPr>
        <w:t>%</w:t>
      </w:r>
      <w:r>
        <w:t>。</w:t>
      </w:r>
    </w:p>
    <w:p>
      <w:pPr>
        <w:spacing w:after="0" w:line="374" w:lineRule="auto"/>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ind w:left="0"/>
        <w:rPr>
          <w:sz w:val="20"/>
        </w:rPr>
      </w:pPr>
    </w:p>
    <w:p>
      <w:pPr>
        <w:pStyle w:val="7"/>
        <w:spacing w:before="9"/>
        <w:ind w:left="0"/>
        <w:rPr>
          <w:sz w:val="15"/>
        </w:rPr>
      </w:pPr>
    </w:p>
    <w:p>
      <w:pPr>
        <w:pStyle w:val="7"/>
        <w:bidi w:val="0"/>
        <w:jc w:val="center"/>
      </w:pPr>
      <w:r>
        <w:t>表</w:t>
      </w:r>
      <w:r>
        <w:rPr>
          <w:rFonts w:ascii="Times New Roman" w:eastAsia="Times New Roman"/>
        </w:rPr>
        <w:t>7.3-1</w:t>
      </w:r>
      <w:r>
        <w:rPr>
          <w:rFonts w:ascii="Times New Roman" w:eastAsia="Times New Roman"/>
        </w:rPr>
        <w:tab/>
      </w:r>
      <w:r>
        <w:t>环保投资估算一览表</w:t>
      </w:r>
    </w:p>
    <w:tbl>
      <w:tblPr>
        <w:tblStyle w:val="15"/>
        <w:tblpPr w:leftFromText="180" w:rightFromText="180" w:vertAnchor="text" w:horzAnchor="page" w:tblpX="1711" w:tblpY="3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0"/>
        <w:gridCol w:w="1082"/>
        <w:gridCol w:w="2195"/>
        <w:gridCol w:w="3436"/>
        <w:gridCol w:w="9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0" w:type="dxa"/>
          </w:tcPr>
          <w:p>
            <w:pPr>
              <w:pStyle w:val="19"/>
              <w:spacing w:line="240" w:lineRule="exact"/>
              <w:ind w:left="209" w:right="197"/>
              <w:jc w:val="left"/>
              <w:rPr>
                <w:b/>
                <w:color w:val="0000FF"/>
                <w:sz w:val="21"/>
              </w:rPr>
            </w:pPr>
            <w:r>
              <w:rPr>
                <w:b/>
                <w:color w:val="0000FF"/>
                <w:sz w:val="21"/>
              </w:rPr>
              <w:t>实施阶段</w:t>
            </w:r>
          </w:p>
        </w:tc>
        <w:tc>
          <w:tcPr>
            <w:tcW w:w="3277" w:type="dxa"/>
            <w:gridSpan w:val="2"/>
          </w:tcPr>
          <w:p>
            <w:pPr>
              <w:pStyle w:val="19"/>
              <w:spacing w:before="102"/>
              <w:ind w:left="1196" w:right="1185"/>
              <w:rPr>
                <w:b/>
                <w:color w:val="0000FF"/>
                <w:sz w:val="21"/>
              </w:rPr>
            </w:pPr>
            <w:r>
              <w:rPr>
                <w:b/>
                <w:color w:val="0000FF"/>
                <w:sz w:val="21"/>
              </w:rPr>
              <w:t>污染源</w:t>
            </w:r>
          </w:p>
        </w:tc>
        <w:tc>
          <w:tcPr>
            <w:tcW w:w="3436" w:type="dxa"/>
          </w:tcPr>
          <w:p>
            <w:pPr>
              <w:pStyle w:val="19"/>
              <w:spacing w:before="102"/>
              <w:ind w:left="328" w:right="317"/>
              <w:rPr>
                <w:b/>
                <w:color w:val="0000FF"/>
                <w:sz w:val="21"/>
              </w:rPr>
            </w:pPr>
            <w:r>
              <w:rPr>
                <w:b/>
                <w:color w:val="0000FF"/>
                <w:sz w:val="21"/>
              </w:rPr>
              <w:t>治理设施内容</w:t>
            </w:r>
          </w:p>
        </w:tc>
        <w:tc>
          <w:tcPr>
            <w:tcW w:w="966" w:type="dxa"/>
          </w:tcPr>
          <w:p>
            <w:pPr>
              <w:pStyle w:val="19"/>
              <w:spacing w:line="237" w:lineRule="exact"/>
              <w:ind w:left="8"/>
              <w:rPr>
                <w:b/>
                <w:color w:val="0000FF"/>
                <w:sz w:val="21"/>
              </w:rPr>
            </w:pPr>
            <w:r>
              <w:rPr>
                <w:b/>
                <w:color w:val="0000FF"/>
                <w:sz w:val="21"/>
              </w:rPr>
              <w:t>投资</w:t>
            </w:r>
          </w:p>
          <w:p>
            <w:pPr>
              <w:pStyle w:val="19"/>
              <w:spacing w:line="223" w:lineRule="exact"/>
              <w:ind w:left="102"/>
              <w:rPr>
                <w:b/>
                <w:color w:val="0000FF"/>
                <w:sz w:val="21"/>
              </w:rPr>
            </w:pPr>
            <w:r>
              <w:rPr>
                <w:b/>
                <w:color w:val="0000FF"/>
                <w:sz w:val="2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restart"/>
          </w:tcPr>
          <w:p>
            <w:pPr>
              <w:pStyle w:val="19"/>
              <w:jc w:val="left"/>
              <w:rPr>
                <w:b/>
                <w:color w:val="0000FF"/>
                <w:sz w:val="20"/>
              </w:rPr>
            </w:pPr>
          </w:p>
          <w:p>
            <w:pPr>
              <w:pStyle w:val="19"/>
              <w:spacing w:before="1"/>
              <w:jc w:val="left"/>
              <w:rPr>
                <w:b/>
                <w:color w:val="0000FF"/>
                <w:sz w:val="18"/>
              </w:rPr>
            </w:pPr>
          </w:p>
          <w:p>
            <w:pPr>
              <w:pStyle w:val="19"/>
              <w:spacing w:before="1" w:line="278" w:lineRule="auto"/>
              <w:ind w:left="315" w:right="200" w:hanging="106"/>
              <w:jc w:val="left"/>
              <w:rPr>
                <w:color w:val="0000FF"/>
                <w:sz w:val="21"/>
              </w:rPr>
            </w:pPr>
            <w:r>
              <w:rPr>
                <w:color w:val="0000FF"/>
                <w:sz w:val="21"/>
              </w:rPr>
              <w:t>施工期</w:t>
            </w:r>
          </w:p>
        </w:tc>
        <w:tc>
          <w:tcPr>
            <w:tcW w:w="1082" w:type="dxa"/>
          </w:tcPr>
          <w:p>
            <w:pPr>
              <w:pStyle w:val="19"/>
              <w:spacing w:before="35"/>
              <w:ind w:left="100" w:right="92"/>
              <w:rPr>
                <w:color w:val="0000FF"/>
                <w:sz w:val="21"/>
              </w:rPr>
            </w:pPr>
            <w:r>
              <w:rPr>
                <w:color w:val="0000FF"/>
                <w:sz w:val="21"/>
              </w:rPr>
              <w:t>噪声防治</w:t>
            </w:r>
          </w:p>
        </w:tc>
        <w:tc>
          <w:tcPr>
            <w:tcW w:w="2195" w:type="dxa"/>
          </w:tcPr>
          <w:p>
            <w:pPr>
              <w:pStyle w:val="19"/>
              <w:spacing w:before="35"/>
              <w:ind w:left="130" w:right="123"/>
              <w:rPr>
                <w:color w:val="0000FF"/>
                <w:sz w:val="21"/>
              </w:rPr>
            </w:pPr>
            <w:r>
              <w:rPr>
                <w:color w:val="0000FF"/>
                <w:sz w:val="21"/>
              </w:rPr>
              <w:t>噪声</w:t>
            </w:r>
          </w:p>
        </w:tc>
        <w:tc>
          <w:tcPr>
            <w:tcW w:w="3436" w:type="dxa"/>
          </w:tcPr>
          <w:p>
            <w:pPr>
              <w:pStyle w:val="19"/>
              <w:spacing w:before="35"/>
              <w:ind w:left="328" w:right="320"/>
              <w:rPr>
                <w:color w:val="0000FF"/>
                <w:sz w:val="21"/>
              </w:rPr>
            </w:pPr>
            <w:r>
              <w:rPr>
                <w:color w:val="0000FF"/>
                <w:sz w:val="21"/>
              </w:rPr>
              <w:t>设备维护保养及噪声环境管理</w:t>
            </w:r>
          </w:p>
        </w:tc>
        <w:tc>
          <w:tcPr>
            <w:tcW w:w="966" w:type="dxa"/>
          </w:tcPr>
          <w:p>
            <w:pPr>
              <w:pStyle w:val="19"/>
              <w:spacing w:before="49"/>
              <w:ind w:left="9"/>
              <w:rPr>
                <w:rFonts w:hint="default" w:ascii="Times New Roman" w:eastAsia="宋体"/>
                <w:color w:val="0000FF"/>
                <w:sz w:val="21"/>
                <w:lang w:val="en-US" w:eastAsia="zh-CN"/>
              </w:rPr>
            </w:pPr>
            <w:r>
              <w:rPr>
                <w:rFonts w:hint="eastAsia" w:ascii="Times New Roman"/>
                <w:color w:val="0000FF"/>
                <w:sz w:val="21"/>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0" w:type="dxa"/>
            <w:vMerge w:val="continue"/>
            <w:tcBorders>
              <w:top w:val="nil"/>
            </w:tcBorders>
          </w:tcPr>
          <w:p>
            <w:pPr>
              <w:rPr>
                <w:color w:val="0000FF"/>
                <w:sz w:val="2"/>
                <w:szCs w:val="2"/>
              </w:rPr>
            </w:pPr>
          </w:p>
        </w:tc>
        <w:tc>
          <w:tcPr>
            <w:tcW w:w="1082" w:type="dxa"/>
          </w:tcPr>
          <w:p>
            <w:pPr>
              <w:pStyle w:val="19"/>
              <w:spacing w:before="105"/>
              <w:ind w:left="100" w:right="92"/>
              <w:rPr>
                <w:color w:val="0000FF"/>
                <w:sz w:val="21"/>
              </w:rPr>
            </w:pPr>
            <w:r>
              <w:rPr>
                <w:color w:val="0000FF"/>
                <w:sz w:val="21"/>
              </w:rPr>
              <w:t>废气治理</w:t>
            </w:r>
          </w:p>
        </w:tc>
        <w:tc>
          <w:tcPr>
            <w:tcW w:w="2195" w:type="dxa"/>
          </w:tcPr>
          <w:p>
            <w:pPr>
              <w:pStyle w:val="19"/>
              <w:spacing w:before="105"/>
              <w:ind w:left="130" w:right="123"/>
              <w:rPr>
                <w:color w:val="0000FF"/>
                <w:sz w:val="21"/>
              </w:rPr>
            </w:pPr>
            <w:r>
              <w:rPr>
                <w:color w:val="0000FF"/>
                <w:sz w:val="21"/>
              </w:rPr>
              <w:t>扬尘及尾气污染</w:t>
            </w:r>
          </w:p>
        </w:tc>
        <w:tc>
          <w:tcPr>
            <w:tcW w:w="3436" w:type="dxa"/>
          </w:tcPr>
          <w:p>
            <w:pPr>
              <w:pStyle w:val="19"/>
              <w:spacing w:line="240" w:lineRule="exact"/>
              <w:ind w:left="108" w:right="-15"/>
              <w:jc w:val="left"/>
              <w:rPr>
                <w:color w:val="0000FF"/>
                <w:sz w:val="21"/>
              </w:rPr>
            </w:pPr>
            <w:r>
              <w:rPr>
                <w:color w:val="0000FF"/>
                <w:spacing w:val="-6"/>
                <w:sz w:val="21"/>
              </w:rPr>
              <w:t>洒水抑尘、设置围栏，防尘布覆盖，车辆冲洗等</w:t>
            </w:r>
          </w:p>
        </w:tc>
        <w:tc>
          <w:tcPr>
            <w:tcW w:w="966" w:type="dxa"/>
          </w:tcPr>
          <w:p>
            <w:pPr>
              <w:pStyle w:val="19"/>
              <w:spacing w:before="119"/>
              <w:ind w:left="9"/>
              <w:rPr>
                <w:rFonts w:hint="default" w:ascii="Times New Roman" w:eastAsia="宋体"/>
                <w:color w:val="0000FF"/>
                <w:sz w:val="21"/>
                <w:lang w:val="en-US" w:eastAsia="zh-CN"/>
              </w:rPr>
            </w:pPr>
            <w:r>
              <w:rPr>
                <w:rFonts w:hint="eastAsia" w:ascii="Times New Roman"/>
                <w:color w:val="0000FF"/>
                <w:sz w:val="21"/>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40" w:type="dxa"/>
            <w:vMerge w:val="continue"/>
            <w:tcBorders>
              <w:top w:val="nil"/>
            </w:tcBorders>
          </w:tcPr>
          <w:p>
            <w:pPr>
              <w:rPr>
                <w:color w:val="0000FF"/>
                <w:sz w:val="2"/>
                <w:szCs w:val="2"/>
              </w:rPr>
            </w:pPr>
          </w:p>
        </w:tc>
        <w:tc>
          <w:tcPr>
            <w:tcW w:w="1082" w:type="dxa"/>
          </w:tcPr>
          <w:p>
            <w:pPr>
              <w:pStyle w:val="19"/>
              <w:spacing w:before="6"/>
              <w:jc w:val="left"/>
              <w:rPr>
                <w:b/>
                <w:color w:val="0000FF"/>
                <w:sz w:val="17"/>
              </w:rPr>
            </w:pPr>
          </w:p>
          <w:p>
            <w:pPr>
              <w:pStyle w:val="19"/>
              <w:spacing w:before="1"/>
              <w:ind w:left="100" w:right="92"/>
              <w:rPr>
                <w:color w:val="0000FF"/>
                <w:sz w:val="21"/>
              </w:rPr>
            </w:pPr>
            <w:r>
              <w:rPr>
                <w:color w:val="0000FF"/>
                <w:sz w:val="21"/>
              </w:rPr>
              <w:t>固废治理</w:t>
            </w:r>
          </w:p>
        </w:tc>
        <w:tc>
          <w:tcPr>
            <w:tcW w:w="2195" w:type="dxa"/>
          </w:tcPr>
          <w:p>
            <w:pPr>
              <w:pStyle w:val="19"/>
              <w:spacing w:before="6"/>
              <w:jc w:val="left"/>
              <w:rPr>
                <w:b/>
                <w:color w:val="0000FF"/>
                <w:sz w:val="17"/>
              </w:rPr>
            </w:pPr>
          </w:p>
          <w:p>
            <w:pPr>
              <w:pStyle w:val="19"/>
              <w:spacing w:before="1"/>
              <w:ind w:left="132" w:right="123"/>
              <w:rPr>
                <w:color w:val="0000FF"/>
                <w:sz w:val="21"/>
              </w:rPr>
            </w:pPr>
            <w:r>
              <w:rPr>
                <w:color w:val="0000FF"/>
                <w:sz w:val="21"/>
              </w:rPr>
              <w:t>生活垃圾、建筑垃圾</w:t>
            </w:r>
          </w:p>
        </w:tc>
        <w:tc>
          <w:tcPr>
            <w:tcW w:w="3436" w:type="dxa"/>
          </w:tcPr>
          <w:p>
            <w:pPr>
              <w:pStyle w:val="19"/>
              <w:spacing w:line="240" w:lineRule="exact"/>
              <w:ind w:left="108" w:right="-15"/>
              <w:jc w:val="left"/>
              <w:rPr>
                <w:color w:val="0000FF"/>
                <w:sz w:val="21"/>
              </w:rPr>
            </w:pPr>
            <w:r>
              <w:rPr>
                <w:color w:val="0000FF"/>
                <w:spacing w:val="-5"/>
                <w:sz w:val="21"/>
              </w:rPr>
              <w:t>临时生活垃圾箱，交市政部门处理；集中收集，运至环保部门指定的建筑垃圾填埋场填埋处置</w:t>
            </w:r>
          </w:p>
        </w:tc>
        <w:tc>
          <w:tcPr>
            <w:tcW w:w="966" w:type="dxa"/>
          </w:tcPr>
          <w:p>
            <w:pPr>
              <w:pStyle w:val="19"/>
              <w:spacing w:before="8"/>
              <w:jc w:val="left"/>
              <w:rPr>
                <w:b/>
                <w:color w:val="0000FF"/>
                <w:sz w:val="18"/>
              </w:rPr>
            </w:pPr>
          </w:p>
          <w:p>
            <w:pPr>
              <w:pStyle w:val="19"/>
              <w:ind w:left="9"/>
              <w:rPr>
                <w:rFonts w:hint="default" w:ascii="Times New Roman" w:eastAsia="宋体"/>
                <w:color w:val="0000FF"/>
                <w:sz w:val="21"/>
                <w:lang w:val="en-US" w:eastAsia="zh-CN"/>
              </w:rPr>
            </w:pPr>
            <w:r>
              <w:rPr>
                <w:rFonts w:hint="eastAsia" w:ascii="Times New Roman"/>
                <w:color w:val="0000FF"/>
                <w:sz w:val="21"/>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0" w:type="dxa"/>
            <w:vMerge w:val="restart"/>
          </w:tcPr>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spacing w:before="10"/>
              <w:jc w:val="left"/>
              <w:rPr>
                <w:b/>
                <w:color w:val="0000FF"/>
                <w:sz w:val="15"/>
              </w:rPr>
            </w:pPr>
          </w:p>
          <w:p>
            <w:pPr>
              <w:pStyle w:val="19"/>
              <w:spacing w:before="1" w:line="278" w:lineRule="auto"/>
              <w:ind w:left="315" w:right="200" w:hanging="106"/>
              <w:jc w:val="left"/>
              <w:rPr>
                <w:color w:val="0000FF"/>
                <w:sz w:val="21"/>
              </w:rPr>
            </w:pPr>
            <w:r>
              <w:rPr>
                <w:color w:val="0000FF"/>
                <w:sz w:val="21"/>
              </w:rPr>
              <w:t>运营期</w:t>
            </w:r>
          </w:p>
        </w:tc>
        <w:tc>
          <w:tcPr>
            <w:tcW w:w="1082" w:type="dxa"/>
            <w:vMerge w:val="restart"/>
          </w:tcPr>
          <w:p>
            <w:pPr>
              <w:pStyle w:val="19"/>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color w:val="0000FF"/>
                <w:sz w:val="21"/>
              </w:rPr>
            </w:pPr>
          </w:p>
          <w:p>
            <w:pPr>
              <w:pStyle w:val="19"/>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color w:val="0000FF"/>
                <w:sz w:val="21"/>
              </w:rPr>
            </w:pPr>
            <w:r>
              <w:rPr>
                <w:color w:val="0000FF"/>
                <w:sz w:val="21"/>
              </w:rPr>
              <w:t>废水治理</w:t>
            </w:r>
          </w:p>
        </w:tc>
        <w:tc>
          <w:tcPr>
            <w:tcW w:w="2195" w:type="dxa"/>
          </w:tcPr>
          <w:p>
            <w:pPr>
              <w:pStyle w:val="19"/>
              <w:spacing w:before="104"/>
              <w:ind w:left="127" w:right="123"/>
              <w:rPr>
                <w:color w:val="0000FF"/>
                <w:sz w:val="21"/>
              </w:rPr>
            </w:pPr>
            <w:r>
              <w:rPr>
                <w:color w:val="0000FF"/>
                <w:sz w:val="21"/>
              </w:rPr>
              <w:t>防渗工程</w:t>
            </w:r>
          </w:p>
        </w:tc>
        <w:tc>
          <w:tcPr>
            <w:tcW w:w="3436" w:type="dxa"/>
          </w:tcPr>
          <w:p>
            <w:pPr>
              <w:pStyle w:val="19"/>
              <w:spacing w:line="240" w:lineRule="exact"/>
              <w:ind w:left="108" w:right="128"/>
              <w:jc w:val="left"/>
              <w:rPr>
                <w:color w:val="0000FF"/>
                <w:sz w:val="21"/>
              </w:rPr>
            </w:pPr>
            <w:r>
              <w:rPr>
                <w:color w:val="0000FF"/>
                <w:sz w:val="21"/>
              </w:rPr>
              <w:t>羊舍、储液池、发酵区、安全填埋井和羊粪堆场防渗处理措施</w:t>
            </w:r>
          </w:p>
        </w:tc>
        <w:tc>
          <w:tcPr>
            <w:tcW w:w="966" w:type="dxa"/>
          </w:tcPr>
          <w:p>
            <w:pPr>
              <w:pStyle w:val="19"/>
              <w:spacing w:before="118"/>
              <w:ind w:left="9"/>
              <w:rPr>
                <w:rFonts w:hint="default" w:ascii="Times New Roman" w:eastAsia="宋体"/>
                <w:color w:val="0000FF"/>
                <w:sz w:val="21"/>
                <w:lang w:val="en-US" w:eastAsia="zh-CN"/>
              </w:rPr>
            </w:pPr>
            <w:r>
              <w:rPr>
                <w:rFonts w:hint="eastAsia" w:ascii="Times New Roman"/>
                <w:color w:val="0000FF"/>
                <w:sz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40" w:type="dxa"/>
            <w:vMerge w:val="continue"/>
          </w:tcPr>
          <w:p>
            <w:pPr>
              <w:pStyle w:val="19"/>
              <w:spacing w:before="1" w:line="278" w:lineRule="auto"/>
              <w:ind w:left="315" w:right="200" w:hanging="106"/>
              <w:jc w:val="left"/>
              <w:rPr>
                <w:color w:val="0000FF"/>
                <w:sz w:val="21"/>
              </w:rPr>
            </w:pPr>
          </w:p>
        </w:tc>
        <w:tc>
          <w:tcPr>
            <w:tcW w:w="1082" w:type="dxa"/>
            <w:vMerge w:val="continue"/>
          </w:tcPr>
          <w:p>
            <w:pPr>
              <w:pStyle w:val="19"/>
              <w:spacing w:before="104"/>
              <w:ind w:left="100" w:right="92"/>
              <w:rPr>
                <w:color w:val="0000FF"/>
                <w:sz w:val="21"/>
              </w:rPr>
            </w:pPr>
          </w:p>
        </w:tc>
        <w:tc>
          <w:tcPr>
            <w:tcW w:w="2195" w:type="dxa"/>
          </w:tcPr>
          <w:p>
            <w:pPr>
              <w:pStyle w:val="19"/>
              <w:spacing w:before="104"/>
              <w:ind w:left="127" w:right="123"/>
              <w:rPr>
                <w:rFonts w:hint="default" w:eastAsia="宋体"/>
                <w:color w:val="0000FF"/>
                <w:sz w:val="21"/>
                <w:lang w:val="en-US" w:eastAsia="zh-CN"/>
              </w:rPr>
            </w:pPr>
            <w:r>
              <w:rPr>
                <w:rFonts w:hint="eastAsia"/>
                <w:color w:val="0000FF"/>
                <w:sz w:val="21"/>
                <w:lang w:val="en-US" w:eastAsia="zh-CN"/>
              </w:rPr>
              <w:t>污水处理</w:t>
            </w:r>
          </w:p>
        </w:tc>
        <w:tc>
          <w:tcPr>
            <w:tcW w:w="3436" w:type="dxa"/>
          </w:tcPr>
          <w:p>
            <w:pPr>
              <w:pStyle w:val="19"/>
              <w:keepNext w:val="0"/>
              <w:keepLines w:val="0"/>
              <w:pageBreakBefore w:val="0"/>
              <w:widowControl w:val="0"/>
              <w:kinsoku/>
              <w:wordWrap/>
              <w:overflowPunct/>
              <w:topLinePunct w:val="0"/>
              <w:autoSpaceDE w:val="0"/>
              <w:autoSpaceDN w:val="0"/>
              <w:bidi w:val="0"/>
              <w:adjustRightInd/>
              <w:snapToGrid/>
              <w:spacing w:before="0" w:beforeLines="50" w:line="240" w:lineRule="auto"/>
              <w:ind w:left="108" w:right="130"/>
              <w:jc w:val="both"/>
              <w:textAlignment w:val="auto"/>
              <w:rPr>
                <w:color w:val="0000FF"/>
                <w:sz w:val="21"/>
              </w:rPr>
            </w:pPr>
            <w:r>
              <w:rPr>
                <w:rFonts w:hint="eastAsia" w:ascii="宋体" w:hAnsi="宋体" w:eastAsia="宋体" w:cs="宋体"/>
                <w:color w:val="FF0000"/>
                <w:sz w:val="21"/>
                <w:szCs w:val="21"/>
              </w:rPr>
              <w:t>化粪池及一套地埋式</w:t>
            </w:r>
            <w:r>
              <w:rPr>
                <w:rFonts w:hint="eastAsia" w:cs="宋体"/>
                <w:color w:val="FF0000"/>
                <w:sz w:val="21"/>
                <w:szCs w:val="21"/>
                <w:lang w:val="en-US" w:eastAsia="zh-CN"/>
              </w:rPr>
              <w:t>一体化</w:t>
            </w:r>
            <w:r>
              <w:rPr>
                <w:rFonts w:hint="eastAsia" w:ascii="宋体" w:hAnsi="宋体" w:eastAsia="宋体" w:cs="宋体"/>
                <w:color w:val="FF0000"/>
                <w:sz w:val="21"/>
                <w:szCs w:val="21"/>
              </w:rPr>
              <w:t>污水处理设备</w:t>
            </w:r>
          </w:p>
        </w:tc>
        <w:tc>
          <w:tcPr>
            <w:tcW w:w="966" w:type="dxa"/>
          </w:tcPr>
          <w:p>
            <w:pPr>
              <w:pStyle w:val="19"/>
              <w:spacing w:before="118"/>
              <w:ind w:left="9"/>
              <w:rPr>
                <w:rFonts w:hint="default" w:ascii="Times New Roman"/>
                <w:color w:val="0000FF"/>
                <w:sz w:val="21"/>
                <w:lang w:val="en-US" w:eastAsia="zh-CN"/>
              </w:rPr>
            </w:pPr>
            <w:r>
              <w:rPr>
                <w:rFonts w:hint="eastAsia" w:ascii="Times New Roman"/>
                <w:color w:val="0000FF"/>
                <w:sz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840" w:type="dxa"/>
            <w:vMerge w:val="continue"/>
            <w:tcBorders>
              <w:top w:val="nil"/>
            </w:tcBorders>
          </w:tcPr>
          <w:p>
            <w:pPr>
              <w:rPr>
                <w:color w:val="0000FF"/>
                <w:sz w:val="2"/>
                <w:szCs w:val="2"/>
              </w:rPr>
            </w:pPr>
          </w:p>
        </w:tc>
        <w:tc>
          <w:tcPr>
            <w:tcW w:w="1082" w:type="dxa"/>
            <w:vMerge w:val="restart"/>
          </w:tcPr>
          <w:p>
            <w:pPr>
              <w:pStyle w:val="19"/>
              <w:jc w:val="left"/>
              <w:rPr>
                <w:b/>
                <w:color w:val="0000FF"/>
                <w:sz w:val="20"/>
              </w:rPr>
            </w:pPr>
          </w:p>
          <w:p>
            <w:pPr>
              <w:pStyle w:val="19"/>
              <w:spacing w:before="6"/>
              <w:jc w:val="left"/>
              <w:rPr>
                <w:b/>
                <w:color w:val="0000FF"/>
                <w:sz w:val="20"/>
              </w:rPr>
            </w:pPr>
          </w:p>
          <w:p>
            <w:pPr>
              <w:pStyle w:val="19"/>
              <w:ind w:left="121"/>
              <w:jc w:val="left"/>
              <w:rPr>
                <w:color w:val="0000FF"/>
                <w:sz w:val="21"/>
              </w:rPr>
            </w:pPr>
            <w:r>
              <w:rPr>
                <w:color w:val="0000FF"/>
                <w:sz w:val="21"/>
              </w:rPr>
              <w:t>废气治理</w:t>
            </w:r>
          </w:p>
        </w:tc>
        <w:tc>
          <w:tcPr>
            <w:tcW w:w="2195" w:type="dxa"/>
          </w:tcPr>
          <w:p>
            <w:pPr>
              <w:pStyle w:val="19"/>
              <w:spacing w:before="10"/>
              <w:jc w:val="left"/>
              <w:rPr>
                <w:b/>
                <w:color w:val="0000FF"/>
                <w:sz w:val="26"/>
              </w:rPr>
            </w:pPr>
          </w:p>
          <w:p>
            <w:pPr>
              <w:pStyle w:val="19"/>
              <w:spacing w:before="1"/>
              <w:ind w:left="130" w:right="123"/>
              <w:rPr>
                <w:color w:val="0000FF"/>
                <w:sz w:val="21"/>
              </w:rPr>
            </w:pPr>
            <w:r>
              <w:rPr>
                <w:color w:val="0000FF"/>
                <w:sz w:val="21"/>
              </w:rPr>
              <w:t>恶臭</w:t>
            </w:r>
          </w:p>
        </w:tc>
        <w:tc>
          <w:tcPr>
            <w:tcW w:w="3436" w:type="dxa"/>
          </w:tcPr>
          <w:p>
            <w:pPr>
              <w:pStyle w:val="19"/>
              <w:spacing w:before="4" w:line="213" w:lineRule="auto"/>
              <w:ind w:left="108" w:right="166"/>
              <w:jc w:val="both"/>
              <w:rPr>
                <w:rFonts w:hint="eastAsia" w:ascii="宋体" w:hAnsi="宋体" w:eastAsia="宋体" w:cs="宋体"/>
                <w:color w:val="0000FF"/>
                <w:sz w:val="21"/>
                <w:szCs w:val="21"/>
              </w:rPr>
            </w:pPr>
            <w:r>
              <w:rPr>
                <w:rFonts w:hint="eastAsia" w:ascii="宋体" w:hAnsi="宋体" w:eastAsia="宋体" w:cs="宋体"/>
                <w:b w:val="0"/>
                <w:bCs w:val="0"/>
                <w:color w:val="0000FF"/>
                <w:w w:val="95"/>
                <w:sz w:val="21"/>
                <w:szCs w:val="21"/>
              </w:rPr>
              <w:t>羊粪采用密闭的清粪车输送，及时</w:t>
            </w:r>
            <w:r>
              <w:rPr>
                <w:rFonts w:hint="eastAsia" w:ascii="宋体" w:hAnsi="宋体" w:eastAsia="宋体" w:cs="宋体"/>
                <w:color w:val="0000FF"/>
                <w:spacing w:val="-1"/>
                <w:sz w:val="21"/>
                <w:szCs w:val="21"/>
              </w:rPr>
              <w:t>清运，减少恶臭；发酵区应加入发</w:t>
            </w:r>
            <w:r>
              <w:rPr>
                <w:rFonts w:hint="eastAsia" w:ascii="宋体" w:hAnsi="宋体" w:eastAsia="宋体" w:cs="宋体"/>
                <w:color w:val="0000FF"/>
                <w:w w:val="95"/>
                <w:sz w:val="21"/>
                <w:szCs w:val="21"/>
              </w:rPr>
              <w:t>酵专用菌剂；羊舍通风换气系统、</w:t>
            </w:r>
          </w:p>
          <w:p>
            <w:pPr>
              <w:pStyle w:val="19"/>
              <w:spacing w:line="217" w:lineRule="exact"/>
              <w:ind w:left="108"/>
              <w:jc w:val="left"/>
              <w:rPr>
                <w:color w:val="0000FF"/>
                <w:sz w:val="21"/>
              </w:rPr>
            </w:pPr>
            <w:r>
              <w:rPr>
                <w:rFonts w:hint="eastAsia" w:ascii="宋体" w:hAnsi="宋体" w:eastAsia="宋体" w:cs="宋体"/>
                <w:color w:val="0000FF"/>
                <w:w w:val="95"/>
                <w:sz w:val="21"/>
                <w:szCs w:val="21"/>
              </w:rPr>
              <w:t>喷洒除臭剂；羊粪堆场喷洒除臭剂</w:t>
            </w:r>
          </w:p>
        </w:tc>
        <w:tc>
          <w:tcPr>
            <w:tcW w:w="966" w:type="dxa"/>
          </w:tcPr>
          <w:p>
            <w:pPr>
              <w:pStyle w:val="19"/>
              <w:spacing w:before="12"/>
              <w:jc w:val="left"/>
              <w:rPr>
                <w:b/>
                <w:color w:val="0000FF"/>
                <w:sz w:val="27"/>
              </w:rPr>
            </w:pPr>
          </w:p>
          <w:p>
            <w:pPr>
              <w:pStyle w:val="19"/>
              <w:ind w:left="9"/>
              <w:rPr>
                <w:rFonts w:hint="default" w:ascii="Times New Roman" w:eastAsia="宋体"/>
                <w:color w:val="0000FF"/>
                <w:sz w:val="21"/>
                <w:lang w:val="en-US" w:eastAsia="zh-CN"/>
              </w:rPr>
            </w:pPr>
            <w:r>
              <w:rPr>
                <w:rFonts w:hint="eastAsia" w:ascii="Times New Roman"/>
                <w:color w:val="0000FF"/>
                <w:sz w:val="21"/>
                <w:lang w:val="en-US" w:eastAsia="zh-CN"/>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1082" w:type="dxa"/>
            <w:vMerge w:val="continue"/>
            <w:tcBorders>
              <w:top w:val="nil"/>
            </w:tcBorders>
          </w:tcPr>
          <w:p>
            <w:pPr>
              <w:rPr>
                <w:color w:val="0000FF"/>
                <w:sz w:val="2"/>
                <w:szCs w:val="2"/>
              </w:rPr>
            </w:pPr>
          </w:p>
        </w:tc>
        <w:tc>
          <w:tcPr>
            <w:tcW w:w="2195" w:type="dxa"/>
          </w:tcPr>
          <w:p>
            <w:pPr>
              <w:pStyle w:val="19"/>
              <w:spacing w:before="34"/>
              <w:ind w:left="132" w:right="123"/>
              <w:rPr>
                <w:color w:val="0000FF"/>
                <w:sz w:val="21"/>
              </w:rPr>
            </w:pPr>
            <w:r>
              <w:rPr>
                <w:color w:val="0000FF"/>
                <w:sz w:val="21"/>
              </w:rPr>
              <w:t>无害化处理车间废气</w:t>
            </w:r>
          </w:p>
        </w:tc>
        <w:tc>
          <w:tcPr>
            <w:tcW w:w="3436" w:type="dxa"/>
          </w:tcPr>
          <w:p>
            <w:pPr>
              <w:pStyle w:val="19"/>
              <w:spacing w:before="31"/>
              <w:ind w:left="328" w:right="322"/>
              <w:rPr>
                <w:color w:val="0000FF"/>
                <w:sz w:val="21"/>
              </w:rPr>
            </w:pPr>
            <w:r>
              <w:rPr>
                <w:color w:val="0000FF"/>
                <w:sz w:val="21"/>
              </w:rPr>
              <w:t>光解除臭装置＋</w:t>
            </w:r>
            <w:r>
              <w:rPr>
                <w:rFonts w:ascii="Times New Roman" w:eastAsia="Times New Roman"/>
                <w:color w:val="0000FF"/>
                <w:sz w:val="21"/>
              </w:rPr>
              <w:t>15m</w:t>
            </w:r>
            <w:r>
              <w:rPr>
                <w:color w:val="0000FF"/>
                <w:sz w:val="21"/>
              </w:rPr>
              <w:t>高排气筒</w:t>
            </w:r>
          </w:p>
        </w:tc>
        <w:tc>
          <w:tcPr>
            <w:tcW w:w="966" w:type="dxa"/>
          </w:tcPr>
          <w:p>
            <w:pPr>
              <w:pStyle w:val="19"/>
              <w:spacing w:before="48"/>
              <w:ind w:left="9"/>
              <w:rPr>
                <w:rFonts w:hint="default" w:ascii="Times New Roman" w:eastAsia="宋体"/>
                <w:color w:val="0000FF"/>
                <w:sz w:val="21"/>
                <w:lang w:val="en-US" w:eastAsia="zh-CN"/>
              </w:rPr>
            </w:pPr>
            <w:r>
              <w:rPr>
                <w:rFonts w:hint="eastAsia" w:ascii="Times New Roman"/>
                <w:color w:val="0000FF"/>
                <w:sz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1082" w:type="dxa"/>
            <w:vMerge w:val="restart"/>
          </w:tcPr>
          <w:p>
            <w:pPr>
              <w:pStyle w:val="19"/>
              <w:spacing w:before="4"/>
              <w:jc w:val="left"/>
              <w:rPr>
                <w:b/>
                <w:color w:val="0000FF"/>
                <w:sz w:val="16"/>
              </w:rPr>
            </w:pPr>
          </w:p>
          <w:p>
            <w:pPr>
              <w:pStyle w:val="19"/>
              <w:ind w:left="121"/>
              <w:jc w:val="left"/>
              <w:rPr>
                <w:color w:val="0000FF"/>
                <w:sz w:val="21"/>
              </w:rPr>
            </w:pPr>
            <w:r>
              <w:rPr>
                <w:color w:val="0000FF"/>
                <w:sz w:val="21"/>
              </w:rPr>
              <w:t>固废处理</w:t>
            </w:r>
          </w:p>
        </w:tc>
        <w:tc>
          <w:tcPr>
            <w:tcW w:w="2195" w:type="dxa"/>
          </w:tcPr>
          <w:p>
            <w:pPr>
              <w:pStyle w:val="19"/>
              <w:spacing w:before="34"/>
              <w:ind w:left="130" w:right="123"/>
              <w:rPr>
                <w:color w:val="0000FF"/>
                <w:sz w:val="21"/>
              </w:rPr>
            </w:pPr>
            <w:r>
              <w:rPr>
                <w:color w:val="0000FF"/>
                <w:sz w:val="21"/>
              </w:rPr>
              <w:t>病死羊及分娩物</w:t>
            </w:r>
          </w:p>
        </w:tc>
        <w:tc>
          <w:tcPr>
            <w:tcW w:w="3436" w:type="dxa"/>
          </w:tcPr>
          <w:p>
            <w:pPr>
              <w:pStyle w:val="19"/>
              <w:spacing w:before="34"/>
              <w:ind w:left="328" w:right="322"/>
              <w:rPr>
                <w:color w:val="0000FF"/>
                <w:sz w:val="21"/>
              </w:rPr>
            </w:pPr>
            <w:r>
              <w:rPr>
                <w:color w:val="0000FF"/>
                <w:sz w:val="21"/>
              </w:rPr>
              <w:t>无害化处理设备</w:t>
            </w:r>
          </w:p>
        </w:tc>
        <w:tc>
          <w:tcPr>
            <w:tcW w:w="966" w:type="dxa"/>
          </w:tcPr>
          <w:p>
            <w:pPr>
              <w:pStyle w:val="19"/>
              <w:spacing w:before="48"/>
              <w:ind w:left="9"/>
              <w:rPr>
                <w:rFonts w:hint="default" w:ascii="Times New Roman" w:eastAsia="宋体"/>
                <w:color w:val="0000FF"/>
                <w:sz w:val="21"/>
                <w:lang w:val="en-US" w:eastAsia="zh-CN"/>
              </w:rPr>
            </w:pPr>
            <w:r>
              <w:rPr>
                <w:rFonts w:hint="eastAsia" w:ascii="Times New Roman"/>
                <w:color w:val="0000FF"/>
                <w:sz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1082" w:type="dxa"/>
            <w:vMerge w:val="continue"/>
            <w:tcBorders>
              <w:top w:val="nil"/>
            </w:tcBorders>
          </w:tcPr>
          <w:p>
            <w:pPr>
              <w:rPr>
                <w:color w:val="0000FF"/>
                <w:sz w:val="2"/>
                <w:szCs w:val="2"/>
              </w:rPr>
            </w:pPr>
          </w:p>
        </w:tc>
        <w:tc>
          <w:tcPr>
            <w:tcW w:w="2195" w:type="dxa"/>
          </w:tcPr>
          <w:p>
            <w:pPr>
              <w:pStyle w:val="19"/>
              <w:spacing w:before="34"/>
              <w:ind w:left="127" w:right="123"/>
              <w:rPr>
                <w:color w:val="0000FF"/>
                <w:sz w:val="21"/>
              </w:rPr>
            </w:pPr>
            <w:r>
              <w:rPr>
                <w:color w:val="0000FF"/>
                <w:sz w:val="21"/>
              </w:rPr>
              <w:t>生活垃圾</w:t>
            </w:r>
          </w:p>
        </w:tc>
        <w:tc>
          <w:tcPr>
            <w:tcW w:w="3436" w:type="dxa"/>
          </w:tcPr>
          <w:p>
            <w:pPr>
              <w:pStyle w:val="19"/>
              <w:spacing w:before="34"/>
              <w:ind w:left="328" w:right="320"/>
              <w:rPr>
                <w:color w:val="0000FF"/>
                <w:sz w:val="21"/>
              </w:rPr>
            </w:pPr>
            <w:r>
              <w:rPr>
                <w:color w:val="0000FF"/>
                <w:sz w:val="21"/>
              </w:rPr>
              <w:t>垃圾桶、清运设备等</w:t>
            </w:r>
          </w:p>
        </w:tc>
        <w:tc>
          <w:tcPr>
            <w:tcW w:w="966" w:type="dxa"/>
          </w:tcPr>
          <w:p>
            <w:pPr>
              <w:pStyle w:val="19"/>
              <w:spacing w:before="48"/>
              <w:ind w:left="9"/>
              <w:rPr>
                <w:rFonts w:hint="default" w:ascii="Times New Roman" w:eastAsia="宋体"/>
                <w:color w:val="0000FF"/>
                <w:sz w:val="21"/>
                <w:lang w:val="en-US" w:eastAsia="zh-CN"/>
              </w:rPr>
            </w:pPr>
            <w:r>
              <w:rPr>
                <w:rFonts w:hint="eastAsia" w:ascii="Times New Roman"/>
                <w:color w:val="0000FF"/>
                <w:sz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1082" w:type="dxa"/>
          </w:tcPr>
          <w:p>
            <w:pPr>
              <w:pStyle w:val="19"/>
              <w:spacing w:before="35"/>
              <w:ind w:left="100" w:right="92"/>
              <w:rPr>
                <w:color w:val="0000FF"/>
                <w:sz w:val="21"/>
              </w:rPr>
            </w:pPr>
            <w:r>
              <w:rPr>
                <w:color w:val="0000FF"/>
                <w:sz w:val="21"/>
              </w:rPr>
              <w:t>噪声防治</w:t>
            </w:r>
          </w:p>
        </w:tc>
        <w:tc>
          <w:tcPr>
            <w:tcW w:w="2195" w:type="dxa"/>
          </w:tcPr>
          <w:p>
            <w:pPr>
              <w:pStyle w:val="19"/>
              <w:spacing w:before="35"/>
              <w:ind w:left="130" w:right="123"/>
              <w:rPr>
                <w:color w:val="0000FF"/>
                <w:sz w:val="21"/>
              </w:rPr>
            </w:pPr>
            <w:r>
              <w:rPr>
                <w:color w:val="0000FF"/>
                <w:sz w:val="21"/>
              </w:rPr>
              <w:t>机械设备噪声</w:t>
            </w:r>
          </w:p>
        </w:tc>
        <w:tc>
          <w:tcPr>
            <w:tcW w:w="3436" w:type="dxa"/>
          </w:tcPr>
          <w:p>
            <w:pPr>
              <w:pStyle w:val="19"/>
              <w:spacing w:before="35"/>
              <w:ind w:left="328" w:right="320"/>
              <w:rPr>
                <w:color w:val="0000FF"/>
                <w:sz w:val="21"/>
              </w:rPr>
            </w:pPr>
            <w:r>
              <w:rPr>
                <w:color w:val="0000FF"/>
                <w:sz w:val="21"/>
              </w:rPr>
              <w:t>噪声设备的消声、减振措施</w:t>
            </w:r>
          </w:p>
        </w:tc>
        <w:tc>
          <w:tcPr>
            <w:tcW w:w="966" w:type="dxa"/>
          </w:tcPr>
          <w:p>
            <w:pPr>
              <w:pStyle w:val="19"/>
              <w:spacing w:before="49"/>
              <w:ind w:left="9"/>
              <w:rPr>
                <w:rFonts w:hint="eastAsia" w:ascii="Times New Roman" w:eastAsia="宋体"/>
                <w:color w:val="0000FF"/>
                <w:sz w:val="21"/>
                <w:lang w:eastAsia="zh-CN"/>
              </w:rPr>
            </w:pPr>
            <w:r>
              <w:rPr>
                <w:rFonts w:hint="eastAsia" w:ascii="Times New Roman"/>
                <w:color w:val="0000FF"/>
                <w:sz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3277" w:type="dxa"/>
            <w:gridSpan w:val="2"/>
          </w:tcPr>
          <w:p>
            <w:pPr>
              <w:pStyle w:val="19"/>
              <w:spacing w:before="35"/>
              <w:ind w:left="1196" w:right="1190"/>
              <w:rPr>
                <w:color w:val="0000FF"/>
                <w:sz w:val="21"/>
              </w:rPr>
            </w:pPr>
            <w:r>
              <w:rPr>
                <w:color w:val="0000FF"/>
                <w:sz w:val="21"/>
              </w:rPr>
              <w:t>绿化工程</w:t>
            </w:r>
          </w:p>
        </w:tc>
        <w:tc>
          <w:tcPr>
            <w:tcW w:w="3436" w:type="dxa"/>
          </w:tcPr>
          <w:p>
            <w:pPr>
              <w:pStyle w:val="19"/>
              <w:spacing w:before="35"/>
              <w:ind w:left="328" w:right="322"/>
              <w:rPr>
                <w:color w:val="0000FF"/>
                <w:sz w:val="21"/>
              </w:rPr>
            </w:pPr>
            <w:r>
              <w:rPr>
                <w:color w:val="0000FF"/>
                <w:sz w:val="21"/>
              </w:rPr>
              <w:t>场区及厂界种树</w:t>
            </w:r>
          </w:p>
        </w:tc>
        <w:tc>
          <w:tcPr>
            <w:tcW w:w="966" w:type="dxa"/>
          </w:tcPr>
          <w:p>
            <w:pPr>
              <w:pStyle w:val="19"/>
              <w:spacing w:before="49"/>
              <w:ind w:left="7"/>
              <w:rPr>
                <w:rFonts w:hint="default" w:ascii="Times New Roman" w:eastAsia="宋体"/>
                <w:color w:val="0000FF"/>
                <w:sz w:val="21"/>
                <w:lang w:val="en-US" w:eastAsia="zh-CN"/>
              </w:rPr>
            </w:pPr>
            <w:r>
              <w:rPr>
                <w:rFonts w:hint="eastAsia" w:ascii="Times New Roman"/>
                <w:color w:val="0000FF"/>
                <w:sz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dxa"/>
            <w:vMerge w:val="continue"/>
            <w:tcBorders>
              <w:top w:val="nil"/>
            </w:tcBorders>
          </w:tcPr>
          <w:p>
            <w:pPr>
              <w:rPr>
                <w:color w:val="0000FF"/>
                <w:sz w:val="2"/>
                <w:szCs w:val="2"/>
              </w:rPr>
            </w:pPr>
          </w:p>
        </w:tc>
        <w:tc>
          <w:tcPr>
            <w:tcW w:w="3277" w:type="dxa"/>
            <w:gridSpan w:val="2"/>
          </w:tcPr>
          <w:p>
            <w:pPr>
              <w:pStyle w:val="19"/>
              <w:spacing w:before="36"/>
              <w:ind w:left="1196" w:right="1190"/>
              <w:rPr>
                <w:color w:val="0000FF"/>
                <w:sz w:val="21"/>
              </w:rPr>
            </w:pPr>
            <w:r>
              <w:rPr>
                <w:color w:val="0000FF"/>
                <w:sz w:val="21"/>
              </w:rPr>
              <w:t>环境监测</w:t>
            </w:r>
          </w:p>
        </w:tc>
        <w:tc>
          <w:tcPr>
            <w:tcW w:w="3436" w:type="dxa"/>
          </w:tcPr>
          <w:p>
            <w:pPr>
              <w:pStyle w:val="19"/>
              <w:spacing w:before="36"/>
              <w:ind w:left="328" w:right="322"/>
              <w:rPr>
                <w:color w:val="0000FF"/>
                <w:sz w:val="21"/>
              </w:rPr>
            </w:pPr>
            <w:r>
              <w:rPr>
                <w:color w:val="0000FF"/>
                <w:sz w:val="21"/>
              </w:rPr>
              <w:t>定期委托监测</w:t>
            </w:r>
          </w:p>
        </w:tc>
        <w:tc>
          <w:tcPr>
            <w:tcW w:w="966" w:type="dxa"/>
          </w:tcPr>
          <w:p>
            <w:pPr>
              <w:pStyle w:val="19"/>
              <w:spacing w:before="50"/>
              <w:ind w:left="9"/>
              <w:rPr>
                <w:rFonts w:hint="eastAsia" w:ascii="Times New Roman" w:eastAsia="宋体"/>
                <w:color w:val="0000FF"/>
                <w:sz w:val="21"/>
                <w:lang w:eastAsia="zh-CN"/>
              </w:rPr>
            </w:pPr>
            <w:r>
              <w:rPr>
                <w:rFonts w:hint="eastAsia" w:ascii="Times New Roman"/>
                <w:color w:val="0000FF"/>
                <w:w w:val="99"/>
                <w:sz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53" w:type="dxa"/>
            <w:gridSpan w:val="4"/>
          </w:tcPr>
          <w:p>
            <w:pPr>
              <w:pStyle w:val="19"/>
              <w:spacing w:before="34"/>
              <w:ind w:left="3544" w:right="3539"/>
              <w:rPr>
                <w:color w:val="0000FF"/>
                <w:sz w:val="21"/>
              </w:rPr>
            </w:pPr>
            <w:r>
              <w:rPr>
                <w:color w:val="0000FF"/>
                <w:sz w:val="21"/>
              </w:rPr>
              <w:t>合计</w:t>
            </w:r>
          </w:p>
        </w:tc>
        <w:tc>
          <w:tcPr>
            <w:tcW w:w="966" w:type="dxa"/>
          </w:tcPr>
          <w:p>
            <w:pPr>
              <w:pStyle w:val="19"/>
              <w:spacing w:before="48"/>
              <w:ind w:left="9"/>
              <w:rPr>
                <w:rFonts w:hint="default" w:ascii="Times New Roman" w:eastAsia="宋体"/>
                <w:color w:val="0000FF"/>
                <w:sz w:val="21"/>
                <w:lang w:val="en-US" w:eastAsia="zh-CN"/>
              </w:rPr>
            </w:pPr>
            <w:r>
              <w:rPr>
                <w:rFonts w:hint="eastAsia" w:ascii="Times New Roman"/>
                <w:color w:val="0000FF"/>
                <w:sz w:val="21"/>
                <w:lang w:val="en-US" w:eastAsia="zh-CN"/>
              </w:rPr>
              <w:t>156</w:t>
            </w:r>
          </w:p>
        </w:tc>
      </w:tr>
    </w:tbl>
    <w:p/>
    <w:p>
      <w:pPr>
        <w:pStyle w:val="18"/>
        <w:numPr>
          <w:ilvl w:val="2"/>
          <w:numId w:val="77"/>
        </w:numPr>
        <w:tabs>
          <w:tab w:val="left" w:pos="1241"/>
        </w:tabs>
        <w:spacing w:before="195" w:after="0" w:line="240" w:lineRule="auto"/>
        <w:ind w:left="1240" w:right="0" w:hanging="701"/>
        <w:jc w:val="left"/>
        <w:outlineLvl w:val="2"/>
        <w:rPr>
          <w:b/>
          <w:sz w:val="28"/>
        </w:rPr>
      </w:pPr>
      <w:bookmarkStart w:id="446" w:name="7.3.2 环境效益分析"/>
      <w:bookmarkEnd w:id="446"/>
      <w:bookmarkStart w:id="447" w:name="7.3.2 环境效益分析"/>
      <w:bookmarkEnd w:id="447"/>
      <w:bookmarkStart w:id="448" w:name="_Toc11279"/>
      <w:r>
        <w:rPr>
          <w:b/>
          <w:sz w:val="28"/>
        </w:rPr>
        <w:t>环境效益分析</w:t>
      </w:r>
      <w:bookmarkEnd w:id="448"/>
    </w:p>
    <w:p>
      <w:pPr>
        <w:pStyle w:val="7"/>
        <w:spacing w:before="7"/>
        <w:ind w:left="0"/>
        <w:rPr>
          <w:b/>
          <w:sz w:val="21"/>
        </w:rPr>
      </w:pPr>
    </w:p>
    <w:p>
      <w:pPr>
        <w:pStyle w:val="7"/>
        <w:spacing w:line="364" w:lineRule="auto"/>
        <w:ind w:right="577" w:firstLine="480"/>
        <w:jc w:val="both"/>
      </w:pPr>
      <w:r>
        <w:rPr>
          <w:spacing w:val="-8"/>
        </w:rPr>
        <w:t>通过环保投资，采取各种环保措施对废气、废水、噪声、固体废物污染进行</w:t>
      </w:r>
      <w:r>
        <w:rPr>
          <w:spacing w:val="-10"/>
        </w:rPr>
        <w:t>控制，实现了废物资源化利用，同时减少了项目对环境造成的污染，达到了削减</w:t>
      </w:r>
      <w:r>
        <w:t>污染物排放量，保护环境的目的。具体表现在以下方面：</w:t>
      </w:r>
    </w:p>
    <w:p>
      <w:pPr>
        <w:pStyle w:val="18"/>
        <w:numPr>
          <w:ilvl w:val="3"/>
          <w:numId w:val="77"/>
        </w:numPr>
        <w:tabs>
          <w:tab w:val="left" w:pos="1621"/>
        </w:tabs>
        <w:spacing w:before="2" w:after="0" w:line="364" w:lineRule="auto"/>
        <w:ind w:left="540" w:right="485" w:firstLine="480"/>
        <w:jc w:val="left"/>
        <w:rPr>
          <w:sz w:val="24"/>
        </w:rPr>
      </w:pPr>
      <w:r>
        <w:rPr>
          <w:sz w:val="24"/>
        </w:rPr>
        <w:t>本项目每天产生的粪便由人工清理至堆肥厂通过高温堆肥发酵处理方式对固体粪污进行无害化处理，符合《粪便无害化卫生要求》（</w:t>
      </w:r>
      <w:r>
        <w:rPr>
          <w:rFonts w:ascii="Times New Roman" w:eastAsia="Times New Roman"/>
          <w:sz w:val="24"/>
        </w:rPr>
        <w:t>GB7959-2012</w:t>
      </w:r>
      <w:r>
        <w:rPr>
          <w:sz w:val="24"/>
        </w:rPr>
        <w:t>）</w:t>
      </w:r>
      <w:r>
        <w:rPr>
          <w:spacing w:val="-11"/>
          <w:sz w:val="24"/>
        </w:rPr>
        <w:t>后，外售给附近村民，直接还田进行土地利用，禁止未经处理的畜禽粪便直接施</w:t>
      </w:r>
      <w:r>
        <w:rPr>
          <w:spacing w:val="-10"/>
          <w:sz w:val="24"/>
        </w:rPr>
        <w:t>入农田。本项目养殖场每栋羊舍地面为混凝土地面，上端覆盖</w:t>
      </w:r>
      <w:r>
        <w:rPr>
          <w:rFonts w:ascii="Times New Roman" w:eastAsia="Times New Roman"/>
          <w:sz w:val="24"/>
        </w:rPr>
        <w:t>35cm</w:t>
      </w:r>
      <w:r>
        <w:rPr>
          <w:spacing w:val="-3"/>
          <w:sz w:val="24"/>
        </w:rPr>
        <w:t>厚垫料，铺</w:t>
      </w:r>
      <w:r>
        <w:rPr>
          <w:spacing w:val="-9"/>
          <w:sz w:val="24"/>
        </w:rPr>
        <w:t>设垫床一般采用废气杂草、农作物秸秆粉、锯末等农业材料，羊排泄的尿液和粪</w:t>
      </w:r>
      <w:r>
        <w:rPr>
          <w:spacing w:val="-11"/>
          <w:sz w:val="24"/>
        </w:rPr>
        <w:t>便进入垫料，经羊踩结形成粪床。根据业主提供的资料，粪床每</w:t>
      </w:r>
      <w:r>
        <w:rPr>
          <w:rFonts w:ascii="Times New Roman" w:eastAsia="Times New Roman"/>
          <w:sz w:val="24"/>
        </w:rPr>
        <w:t>1</w:t>
      </w:r>
      <w:r>
        <w:rPr>
          <w:spacing w:val="-4"/>
          <w:sz w:val="24"/>
        </w:rPr>
        <w:t>年清理一次，</w:t>
      </w:r>
      <w:r>
        <w:rPr>
          <w:spacing w:val="-8"/>
          <w:sz w:val="24"/>
        </w:rPr>
        <w:t>垫料层与羊粪、粪渣一起进入堆肥厂高温发酵无害化处理，不外排，实现综合利用。</w:t>
      </w:r>
    </w:p>
    <w:p>
      <w:pPr>
        <w:pStyle w:val="18"/>
        <w:numPr>
          <w:ilvl w:val="3"/>
          <w:numId w:val="77"/>
        </w:numPr>
        <w:tabs>
          <w:tab w:val="left" w:pos="1621"/>
        </w:tabs>
        <w:spacing w:before="5" w:after="0" w:line="364" w:lineRule="auto"/>
        <w:ind w:left="540" w:right="577" w:firstLine="480"/>
        <w:jc w:val="left"/>
        <w:rPr>
          <w:sz w:val="24"/>
        </w:rPr>
      </w:pPr>
      <w:r>
        <w:rPr>
          <w:spacing w:val="-1"/>
          <w:sz w:val="24"/>
        </w:rPr>
        <w:t>项目制成的有机肥施用于农田，使羊粪的减量化、无害化、资源化处</w:t>
      </w:r>
      <w:r>
        <w:rPr>
          <w:spacing w:val="-8"/>
          <w:sz w:val="24"/>
        </w:rPr>
        <w:t>理与处置满足环境保护要求，形成肉羊养殖</w:t>
      </w:r>
      <w:r>
        <w:rPr>
          <w:rFonts w:ascii="Times New Roman" w:hAnsi="Times New Roman" w:eastAsia="Times New Roman"/>
          <w:sz w:val="24"/>
        </w:rPr>
        <w:t>→</w:t>
      </w:r>
      <w:r>
        <w:rPr>
          <w:sz w:val="24"/>
        </w:rPr>
        <w:t>粪污</w:t>
      </w:r>
      <w:r>
        <w:rPr>
          <w:rFonts w:ascii="Times New Roman" w:hAnsi="Times New Roman" w:eastAsia="Times New Roman"/>
          <w:sz w:val="24"/>
        </w:rPr>
        <w:t>→</w:t>
      </w:r>
      <w:r>
        <w:rPr>
          <w:sz w:val="24"/>
        </w:rPr>
        <w:t>肥料还田</w:t>
      </w:r>
      <w:r>
        <w:rPr>
          <w:rFonts w:ascii="Times New Roman" w:hAnsi="Times New Roman" w:eastAsia="Times New Roman"/>
          <w:sz w:val="24"/>
        </w:rPr>
        <w:t>→</w:t>
      </w:r>
      <w:r>
        <w:rPr>
          <w:sz w:val="24"/>
        </w:rPr>
        <w:t>生产粮食</w:t>
      </w:r>
      <w:r>
        <w:rPr>
          <w:rFonts w:ascii="Times New Roman" w:hAnsi="Times New Roman" w:eastAsia="Times New Roman"/>
          <w:sz w:val="24"/>
        </w:rPr>
        <w:t>→</w:t>
      </w:r>
      <w:r>
        <w:rPr>
          <w:spacing w:val="-8"/>
          <w:sz w:val="24"/>
        </w:rPr>
        <w:t>养羊</w:t>
      </w:r>
    </w:p>
    <w:p>
      <w:pPr>
        <w:spacing w:after="0" w:line="364" w:lineRule="auto"/>
        <w:jc w:val="left"/>
        <w:rPr>
          <w:sz w:val="24"/>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line="364" w:lineRule="auto"/>
        <w:ind w:right="455"/>
      </w:pPr>
      <w:r>
        <w:rPr>
          <w:spacing w:val="-13"/>
        </w:rPr>
        <w:t>饲料良性循环的产业结构链，对项目区域农业生态环境、大气环境、地表水环境、</w:t>
      </w:r>
      <w:r>
        <w:t>地下水环境的改善都将产生积极作用。</w:t>
      </w:r>
    </w:p>
    <w:p>
      <w:pPr>
        <w:pStyle w:val="18"/>
        <w:numPr>
          <w:ilvl w:val="3"/>
          <w:numId w:val="77"/>
        </w:numPr>
        <w:tabs>
          <w:tab w:val="left" w:pos="1623"/>
        </w:tabs>
        <w:spacing w:before="1" w:after="0" w:line="364" w:lineRule="auto"/>
        <w:ind w:left="540" w:right="577" w:firstLine="480"/>
        <w:jc w:val="both"/>
        <w:rPr>
          <w:sz w:val="24"/>
        </w:rPr>
      </w:pPr>
      <w:r>
        <w:rPr>
          <w:spacing w:val="-1"/>
          <w:sz w:val="24"/>
        </w:rPr>
        <w:t>本项目病死畜禽无害化处理最终得到肉骨粉干品和工业用油脂。肉骨</w:t>
      </w:r>
      <w:r>
        <w:rPr>
          <w:spacing w:val="-8"/>
          <w:sz w:val="24"/>
        </w:rPr>
        <w:t>粉可出售给肉骨粉干品生产厂；油脂可作为化工用油及生物柴油的原料出售给工</w:t>
      </w:r>
      <w:r>
        <w:rPr>
          <w:sz w:val="24"/>
        </w:rPr>
        <w:t>业用油脂厂。</w:t>
      </w:r>
    </w:p>
    <w:p>
      <w:pPr>
        <w:pStyle w:val="18"/>
        <w:numPr>
          <w:ilvl w:val="3"/>
          <w:numId w:val="77"/>
        </w:numPr>
        <w:tabs>
          <w:tab w:val="left" w:pos="1621"/>
        </w:tabs>
        <w:spacing w:before="2" w:after="0" w:line="364" w:lineRule="auto"/>
        <w:ind w:left="540" w:right="580" w:firstLine="480"/>
        <w:jc w:val="left"/>
        <w:rPr>
          <w:sz w:val="24"/>
        </w:rPr>
      </w:pPr>
      <w:r>
        <w:rPr>
          <w:spacing w:val="-1"/>
          <w:sz w:val="24"/>
        </w:rPr>
        <w:t>项目噪声源经采取隔声减振等消声、降噪处理措施后，厂界噪声能达</w:t>
      </w:r>
      <w:r>
        <w:rPr>
          <w:sz w:val="24"/>
        </w:rPr>
        <w:t>到相关的标准要求，生产噪声对外环境的影响将减轻。</w:t>
      </w:r>
    </w:p>
    <w:p>
      <w:pPr>
        <w:pStyle w:val="18"/>
        <w:numPr>
          <w:ilvl w:val="3"/>
          <w:numId w:val="77"/>
        </w:numPr>
        <w:tabs>
          <w:tab w:val="left" w:pos="1623"/>
        </w:tabs>
        <w:spacing w:before="1" w:after="0" w:line="364" w:lineRule="auto"/>
        <w:ind w:left="540" w:right="577" w:firstLine="480"/>
        <w:jc w:val="left"/>
        <w:rPr>
          <w:sz w:val="24"/>
        </w:rPr>
      </w:pPr>
      <w:r>
        <w:rPr>
          <w:spacing w:val="-1"/>
          <w:sz w:val="24"/>
        </w:rPr>
        <w:t>病死尸体无害化处理车间配套安装光解除臭装置，臭气经处理后可达</w:t>
      </w:r>
      <w:r>
        <w:rPr>
          <w:sz w:val="24"/>
        </w:rPr>
        <w:t>标排放。</w:t>
      </w:r>
    </w:p>
    <w:p>
      <w:pPr>
        <w:pStyle w:val="18"/>
        <w:numPr>
          <w:ilvl w:val="3"/>
          <w:numId w:val="77"/>
        </w:numPr>
        <w:tabs>
          <w:tab w:val="left" w:pos="1621"/>
        </w:tabs>
        <w:spacing w:before="1" w:after="0" w:line="240" w:lineRule="auto"/>
        <w:ind w:left="1621" w:right="0" w:hanging="601"/>
        <w:jc w:val="left"/>
        <w:rPr>
          <w:sz w:val="24"/>
        </w:rPr>
      </w:pPr>
      <w:r>
        <w:rPr>
          <w:sz w:val="24"/>
        </w:rPr>
        <w:t>项目产生固废均得到了综合利用和合理处置。</w:t>
      </w:r>
    </w:p>
    <w:p>
      <w:pPr>
        <w:pStyle w:val="7"/>
        <w:spacing w:before="161" w:line="364" w:lineRule="auto"/>
        <w:ind w:right="577" w:firstLine="480"/>
        <w:jc w:val="both"/>
      </w:pPr>
      <w:r>
        <w:rPr>
          <w:spacing w:val="-6"/>
        </w:rPr>
        <w:t>环保设施的经济效益不仅表现在其创造了多少产值，还表现在它的间接经济</w:t>
      </w:r>
      <w:r>
        <w:rPr>
          <w:spacing w:val="-5"/>
        </w:rPr>
        <w:t>效益即环保设施的有效运行保证了人类良好的生活条件、生存环境和生产活动的</w:t>
      </w:r>
      <w:r>
        <w:rPr>
          <w:spacing w:val="-6"/>
        </w:rPr>
        <w:t>可持续发展以及由此创造的可观经济效益。从该意义上讲，项目环保设施的间接</w:t>
      </w:r>
      <w:r>
        <w:t>经济效益是非常明显的。</w:t>
      </w:r>
    </w:p>
    <w:p>
      <w:pPr>
        <w:pStyle w:val="4"/>
        <w:numPr>
          <w:ilvl w:val="1"/>
          <w:numId w:val="76"/>
        </w:numPr>
        <w:tabs>
          <w:tab w:val="left" w:pos="1100"/>
        </w:tabs>
        <w:spacing w:before="155" w:after="0" w:line="240" w:lineRule="auto"/>
        <w:ind w:left="1099" w:right="0" w:hanging="560"/>
        <w:jc w:val="left"/>
        <w:outlineLvl w:val="1"/>
      </w:pPr>
      <w:bookmarkStart w:id="449" w:name="_bookmark34"/>
      <w:bookmarkEnd w:id="449"/>
      <w:bookmarkStart w:id="450" w:name="7.4 环境经济损益分析结论"/>
      <w:bookmarkEnd w:id="450"/>
      <w:bookmarkStart w:id="451" w:name="_bookmark34"/>
      <w:bookmarkEnd w:id="451"/>
      <w:bookmarkStart w:id="452" w:name="_Toc20414"/>
      <w:r>
        <w:t>环境经济损益分析结论</w:t>
      </w:r>
      <w:bookmarkEnd w:id="452"/>
    </w:p>
    <w:p>
      <w:pPr>
        <w:pStyle w:val="7"/>
        <w:spacing w:before="3"/>
        <w:ind w:left="0"/>
        <w:rPr>
          <w:b/>
        </w:rPr>
      </w:pPr>
    </w:p>
    <w:p>
      <w:pPr>
        <w:pStyle w:val="7"/>
        <w:spacing w:line="364" w:lineRule="auto"/>
        <w:ind w:right="577" w:firstLine="480"/>
        <w:jc w:val="both"/>
      </w:pPr>
      <w:r>
        <w:rPr>
          <w:spacing w:val="-10"/>
        </w:rPr>
        <w:t>综上所述，通过对本项目的经济、社会和环境效益分析可知，在落实本评价</w:t>
      </w:r>
      <w:r>
        <w:rPr>
          <w:spacing w:val="-6"/>
        </w:rPr>
        <w:t>提出的各项污染防治措施的前提下，本项目的建设能够达到经济效益、社会效益</w:t>
      </w:r>
      <w:r>
        <w:rPr>
          <w:spacing w:val="-9"/>
        </w:rPr>
        <w:t>和环境效益的统一，既为地方经济发展做出贡献，又使污染物排放量在环境容量容许的范围内降低到最低。因此本项目的建设从环境经济损益的角度分析是可行</w:t>
      </w:r>
      <w:r>
        <w:t>的。</w:t>
      </w:r>
    </w:p>
    <w:p>
      <w:pPr>
        <w:spacing w:after="0" w:line="364" w:lineRule="auto"/>
        <w:jc w:val="both"/>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3"/>
        <w:tabs>
          <w:tab w:val="left" w:pos="1444"/>
        </w:tabs>
        <w:outlineLvl w:val="0"/>
      </w:pPr>
      <w:bookmarkStart w:id="453" w:name="第八章  环境管理及监测计划"/>
      <w:bookmarkEnd w:id="453"/>
      <w:bookmarkStart w:id="454" w:name="_bookmark35"/>
      <w:bookmarkEnd w:id="454"/>
      <w:bookmarkStart w:id="455" w:name="_Toc4778"/>
      <w:r>
        <w:t>第八章</w:t>
      </w:r>
      <w:r>
        <w:tab/>
      </w:r>
      <w:r>
        <w:t>环境管理及监测计划</w:t>
      </w:r>
      <w:bookmarkEnd w:id="455"/>
    </w:p>
    <w:p>
      <w:pPr>
        <w:pStyle w:val="4"/>
        <w:numPr>
          <w:ilvl w:val="1"/>
          <w:numId w:val="78"/>
        </w:numPr>
        <w:tabs>
          <w:tab w:val="left" w:pos="1100"/>
        </w:tabs>
        <w:spacing w:before="315" w:after="0" w:line="240" w:lineRule="auto"/>
        <w:ind w:left="1099" w:right="0" w:hanging="560"/>
        <w:jc w:val="left"/>
        <w:outlineLvl w:val="1"/>
      </w:pPr>
      <w:bookmarkStart w:id="456" w:name="_bookmark36"/>
      <w:bookmarkEnd w:id="456"/>
      <w:bookmarkStart w:id="457" w:name="_bookmark36"/>
      <w:bookmarkEnd w:id="457"/>
      <w:bookmarkStart w:id="458" w:name="8.1 环境管理"/>
      <w:bookmarkEnd w:id="458"/>
      <w:bookmarkStart w:id="459" w:name="_Toc12207"/>
      <w:r>
        <w:t>环境管理</w:t>
      </w:r>
      <w:bookmarkEnd w:id="459"/>
    </w:p>
    <w:p>
      <w:pPr>
        <w:pStyle w:val="7"/>
        <w:spacing w:before="6"/>
        <w:ind w:left="0"/>
        <w:rPr>
          <w:b/>
          <w:sz w:val="28"/>
        </w:rPr>
      </w:pPr>
    </w:p>
    <w:p>
      <w:pPr>
        <w:pStyle w:val="5"/>
        <w:numPr>
          <w:ilvl w:val="2"/>
          <w:numId w:val="78"/>
        </w:numPr>
        <w:tabs>
          <w:tab w:val="left" w:pos="1241"/>
        </w:tabs>
        <w:spacing w:before="0" w:after="0" w:line="240" w:lineRule="auto"/>
        <w:ind w:left="1240" w:right="0" w:hanging="701"/>
        <w:jc w:val="left"/>
        <w:outlineLvl w:val="2"/>
      </w:pPr>
      <w:bookmarkStart w:id="460" w:name="8.1.1 环境管理的必要性"/>
      <w:bookmarkEnd w:id="460"/>
      <w:bookmarkStart w:id="461" w:name="8.1.1 环境管理的必要性"/>
      <w:bookmarkEnd w:id="461"/>
      <w:bookmarkStart w:id="462" w:name="_Toc6201"/>
      <w:r>
        <w:t>环境管理的必要性</w:t>
      </w:r>
      <w:bookmarkEnd w:id="462"/>
    </w:p>
    <w:p>
      <w:pPr>
        <w:pStyle w:val="7"/>
        <w:spacing w:before="5"/>
        <w:ind w:left="0"/>
        <w:rPr>
          <w:b/>
          <w:sz w:val="21"/>
        </w:rPr>
      </w:pPr>
    </w:p>
    <w:p>
      <w:pPr>
        <w:pStyle w:val="7"/>
        <w:spacing w:line="364" w:lineRule="auto"/>
        <w:ind w:right="577" w:firstLine="480"/>
        <w:jc w:val="both"/>
      </w:pPr>
      <w:r>
        <w:rPr>
          <w:spacing w:val="-6"/>
        </w:rPr>
        <w:t>环境管理是企业管理中的重要环节之一。在企业中，建立健全环保机构，加</w:t>
      </w:r>
      <w:r>
        <w:rPr>
          <w:spacing w:val="-8"/>
        </w:rPr>
        <w:t>强环保管理工作，开展厂内环境监测、监督，并把环保工作纳入生产管理，对于减少企业污染物排放，促进资源的合理利用与回收，提高经济效益和环境效益有</w:t>
      </w:r>
      <w:r>
        <w:t>着重要意义。</w:t>
      </w:r>
    </w:p>
    <w:p>
      <w:pPr>
        <w:pStyle w:val="7"/>
        <w:spacing w:before="2" w:line="364" w:lineRule="auto"/>
        <w:ind w:right="485" w:firstLine="480"/>
        <w:jc w:val="both"/>
      </w:pPr>
      <w:r>
        <w:rPr>
          <w:spacing w:val="-4"/>
        </w:rPr>
        <w:t>本项目在营运期将不可避免会对周围环境产生一定的影响，建设单位应根据</w:t>
      </w:r>
      <w:r>
        <w:rPr>
          <w:spacing w:val="-10"/>
        </w:rPr>
        <w:t>本项目的生产工艺特点、排污性质，从环境保护的角度出发，建立健全环保机构</w:t>
      </w:r>
      <w:r>
        <w:rPr>
          <w:spacing w:val="-14"/>
        </w:rPr>
        <w:t>和加强环境监测管理，同时定期进行环境监测，以便及时了解工程在不同时期的</w:t>
      </w:r>
      <w:r>
        <w:rPr>
          <w:spacing w:val="-13"/>
        </w:rPr>
        <w:t>环境影响，采取相应措施，消除不利因素，减轻环境污染，以实现预定的各项环</w:t>
      </w:r>
      <w:r>
        <w:rPr>
          <w:spacing w:val="-14"/>
        </w:rPr>
        <w:t>保目标，从而提高企业的管理水平和改善区域环境质量，使企业持续健康发展。</w:t>
      </w:r>
    </w:p>
    <w:p>
      <w:pPr>
        <w:pStyle w:val="5"/>
        <w:numPr>
          <w:ilvl w:val="2"/>
          <w:numId w:val="78"/>
        </w:numPr>
        <w:tabs>
          <w:tab w:val="left" w:pos="1241"/>
        </w:tabs>
        <w:spacing w:before="117" w:after="0" w:line="240" w:lineRule="auto"/>
        <w:ind w:left="1240" w:right="0" w:hanging="701"/>
        <w:jc w:val="left"/>
        <w:outlineLvl w:val="2"/>
      </w:pPr>
      <w:bookmarkStart w:id="463" w:name="8.1.2 环境管理机构的设置"/>
      <w:bookmarkEnd w:id="463"/>
      <w:bookmarkStart w:id="464" w:name="8.1.2 环境管理机构的设置"/>
      <w:bookmarkEnd w:id="464"/>
      <w:bookmarkStart w:id="465" w:name="_Toc3326"/>
      <w:r>
        <w:t>环境管理机构的设置</w:t>
      </w:r>
      <w:bookmarkEnd w:id="465"/>
    </w:p>
    <w:p>
      <w:pPr>
        <w:pStyle w:val="7"/>
        <w:spacing w:before="7"/>
        <w:ind w:left="0"/>
        <w:rPr>
          <w:b/>
          <w:sz w:val="21"/>
        </w:rPr>
      </w:pPr>
    </w:p>
    <w:p>
      <w:pPr>
        <w:pStyle w:val="7"/>
        <w:spacing w:line="364" w:lineRule="auto"/>
        <w:ind w:right="577" w:firstLine="480"/>
      </w:pPr>
      <w:r>
        <w:t>根据国家、新疆维吾尔自治区有关环保法规和《建设项目环境保护设计规</w:t>
      </w:r>
      <w:r>
        <w:rPr>
          <w:spacing w:val="-11"/>
        </w:rPr>
        <w:t>定》，本项目建成后必须在全厂范围内建立环保监督管理网络，设置环境保护管</w:t>
      </w:r>
      <w:r>
        <w:rPr>
          <w:spacing w:val="-10"/>
        </w:rPr>
        <w:t>理及监测机构，建立健全环保管理机构，设置环保科，由公司分管生产的副总负</w:t>
      </w:r>
      <w:r>
        <w:rPr>
          <w:spacing w:val="-11"/>
        </w:rPr>
        <w:t>责分管，配备相应的环境管理人员，环保科内设专职环保管理人员及监测分析人</w:t>
      </w:r>
      <w:r>
        <w:rPr>
          <w:spacing w:val="-10"/>
        </w:rPr>
        <w:t>员，组成环保机构组织网络。组织网络由环保管理部门、监测分析化验、环保设</w:t>
      </w:r>
      <w:r>
        <w:t>施运营、设备维修、监督巡回检查等部分组成。</w:t>
      </w:r>
    </w:p>
    <w:p>
      <w:pPr>
        <w:pStyle w:val="5"/>
        <w:numPr>
          <w:ilvl w:val="2"/>
          <w:numId w:val="78"/>
        </w:numPr>
        <w:tabs>
          <w:tab w:val="left" w:pos="1241"/>
        </w:tabs>
        <w:spacing w:before="118" w:after="0" w:line="240" w:lineRule="auto"/>
        <w:ind w:left="1240" w:right="0" w:hanging="701"/>
        <w:jc w:val="left"/>
        <w:outlineLvl w:val="2"/>
      </w:pPr>
      <w:bookmarkStart w:id="466" w:name="8.1.3 环境管理机构主要职责"/>
      <w:bookmarkEnd w:id="466"/>
      <w:bookmarkStart w:id="467" w:name="8.1.3 环境管理机构主要职责"/>
      <w:bookmarkEnd w:id="467"/>
      <w:bookmarkStart w:id="468" w:name="_Toc7157"/>
      <w:r>
        <w:t>环境管理机构主要职责</w:t>
      </w:r>
      <w:bookmarkEnd w:id="468"/>
    </w:p>
    <w:p>
      <w:pPr>
        <w:pStyle w:val="7"/>
        <w:spacing w:before="7"/>
        <w:ind w:left="0"/>
        <w:rPr>
          <w:b/>
          <w:sz w:val="21"/>
        </w:rPr>
      </w:pPr>
    </w:p>
    <w:p>
      <w:pPr>
        <w:pStyle w:val="18"/>
        <w:numPr>
          <w:ilvl w:val="3"/>
          <w:numId w:val="78"/>
        </w:numPr>
        <w:tabs>
          <w:tab w:val="left" w:pos="1621"/>
        </w:tabs>
        <w:spacing w:before="0" w:after="0" w:line="364" w:lineRule="auto"/>
        <w:ind w:left="540" w:right="577" w:firstLine="480"/>
        <w:jc w:val="both"/>
        <w:rPr>
          <w:sz w:val="24"/>
        </w:rPr>
      </w:pPr>
      <w:r>
        <w:rPr>
          <w:spacing w:val="-1"/>
          <w:sz w:val="24"/>
        </w:rPr>
        <w:t>认真贯彻执行国家和自治区级、市级环保法规及行业环保规定，负责</w:t>
      </w:r>
      <w:r>
        <w:rPr>
          <w:spacing w:val="-10"/>
          <w:sz w:val="24"/>
        </w:rPr>
        <w:t>制定全场近、远期环境保护规划并督促计划实施。落实环保要求，解决存在的环</w:t>
      </w:r>
      <w:r>
        <w:rPr>
          <w:sz w:val="24"/>
        </w:rPr>
        <w:t>保问题。</w:t>
      </w:r>
    </w:p>
    <w:p>
      <w:pPr>
        <w:pStyle w:val="18"/>
        <w:numPr>
          <w:ilvl w:val="3"/>
          <w:numId w:val="78"/>
        </w:numPr>
        <w:tabs>
          <w:tab w:val="left" w:pos="1621"/>
        </w:tabs>
        <w:spacing w:before="2" w:after="0" w:line="240" w:lineRule="auto"/>
        <w:ind w:left="1621" w:right="0" w:hanging="601"/>
        <w:jc w:val="left"/>
        <w:rPr>
          <w:sz w:val="24"/>
        </w:rPr>
      </w:pPr>
      <w:r>
        <w:rPr>
          <w:sz w:val="24"/>
        </w:rPr>
        <w:t>负责制定全场及岗位环保规章制度，督促检查制度的落实情况。</w:t>
      </w:r>
    </w:p>
    <w:p>
      <w:pPr>
        <w:pStyle w:val="18"/>
        <w:numPr>
          <w:ilvl w:val="3"/>
          <w:numId w:val="78"/>
        </w:numPr>
        <w:tabs>
          <w:tab w:val="left" w:pos="1621"/>
        </w:tabs>
        <w:spacing w:before="160" w:after="0" w:line="364" w:lineRule="auto"/>
        <w:ind w:left="540" w:right="580" w:firstLine="480"/>
        <w:jc w:val="left"/>
        <w:rPr>
          <w:sz w:val="24"/>
        </w:rPr>
      </w:pPr>
      <w:r>
        <w:rPr>
          <w:spacing w:val="-1"/>
          <w:sz w:val="24"/>
        </w:rPr>
        <w:t>落实环保设施运行的管理计划、操作规程，及时汇总存在的问题，提</w:t>
      </w:r>
      <w:r>
        <w:rPr>
          <w:sz w:val="24"/>
        </w:rPr>
        <w:t>交技术部门改进解决。</w:t>
      </w:r>
    </w:p>
    <w:p>
      <w:pPr>
        <w:pStyle w:val="18"/>
        <w:numPr>
          <w:ilvl w:val="3"/>
          <w:numId w:val="78"/>
        </w:numPr>
        <w:tabs>
          <w:tab w:val="left" w:pos="1621"/>
        </w:tabs>
        <w:spacing w:before="1" w:after="0" w:line="240" w:lineRule="auto"/>
        <w:ind w:left="1621" w:right="0" w:hanging="601"/>
        <w:jc w:val="left"/>
        <w:rPr>
          <w:sz w:val="24"/>
        </w:rPr>
      </w:pPr>
      <w:r>
        <w:rPr>
          <w:sz w:val="24"/>
        </w:rPr>
        <w:t>监督检查监测站的工作，建立完整的环保档案，掌握各污染源的排放</w:t>
      </w:r>
    </w:p>
    <w:p>
      <w:pPr>
        <w:spacing w:after="0" w:line="240" w:lineRule="auto"/>
        <w:jc w:val="left"/>
        <w:rPr>
          <w:sz w:val="24"/>
        </w:rPr>
        <w:sectPr>
          <w:footerReference r:id="rId27" w:type="default"/>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43"/>
      </w:pPr>
      <w:r>
        <w:t>状况及环境质量状况，配合环保部门完成各项环保工作。</w:t>
      </w:r>
    </w:p>
    <w:p>
      <w:pPr>
        <w:pStyle w:val="18"/>
        <w:numPr>
          <w:ilvl w:val="3"/>
          <w:numId w:val="78"/>
        </w:numPr>
        <w:tabs>
          <w:tab w:val="left" w:pos="1621"/>
        </w:tabs>
        <w:spacing w:before="160" w:after="0" w:line="240" w:lineRule="auto"/>
        <w:ind w:left="1621" w:right="0" w:hanging="601"/>
        <w:jc w:val="left"/>
        <w:rPr>
          <w:sz w:val="24"/>
        </w:rPr>
      </w:pPr>
      <w:r>
        <w:rPr>
          <w:sz w:val="24"/>
        </w:rPr>
        <w:t>负责全场畜禽污染事故的调查、处理及上报工作。</w:t>
      </w:r>
    </w:p>
    <w:p>
      <w:pPr>
        <w:pStyle w:val="18"/>
        <w:numPr>
          <w:ilvl w:val="3"/>
          <w:numId w:val="78"/>
        </w:numPr>
        <w:tabs>
          <w:tab w:val="left" w:pos="1621"/>
        </w:tabs>
        <w:spacing w:before="161" w:after="0" w:line="364" w:lineRule="auto"/>
        <w:ind w:left="540" w:right="580" w:firstLine="480"/>
        <w:jc w:val="left"/>
        <w:rPr>
          <w:sz w:val="24"/>
        </w:rPr>
      </w:pPr>
      <w:r>
        <w:rPr>
          <w:spacing w:val="-1"/>
          <w:sz w:val="24"/>
        </w:rPr>
        <w:t>负责全场职工的环保教育及培训，不断提高全体员工的环保意识和环</w:t>
      </w:r>
      <w:r>
        <w:rPr>
          <w:sz w:val="24"/>
        </w:rPr>
        <w:t>保专业人员的专业技术水平。</w:t>
      </w:r>
    </w:p>
    <w:p>
      <w:pPr>
        <w:pStyle w:val="5"/>
        <w:numPr>
          <w:ilvl w:val="2"/>
          <w:numId w:val="78"/>
        </w:numPr>
        <w:tabs>
          <w:tab w:val="left" w:pos="1241"/>
        </w:tabs>
        <w:spacing w:before="115" w:after="0" w:line="240" w:lineRule="auto"/>
        <w:ind w:left="1240" w:right="0" w:hanging="701"/>
        <w:jc w:val="left"/>
        <w:outlineLvl w:val="2"/>
      </w:pPr>
      <w:bookmarkStart w:id="469" w:name="8.1.4 环境管理制度的建立"/>
      <w:bookmarkEnd w:id="469"/>
      <w:bookmarkStart w:id="470" w:name="8.1.4 环境管理制度的建立"/>
      <w:bookmarkEnd w:id="470"/>
      <w:bookmarkStart w:id="471" w:name="_Toc32237"/>
      <w:r>
        <w:t>环境管理制度的建立</w:t>
      </w:r>
      <w:bookmarkEnd w:id="471"/>
    </w:p>
    <w:p>
      <w:pPr>
        <w:pStyle w:val="7"/>
        <w:spacing w:before="7"/>
        <w:ind w:left="0"/>
        <w:rPr>
          <w:b/>
          <w:sz w:val="21"/>
        </w:rPr>
      </w:pPr>
    </w:p>
    <w:p>
      <w:pPr>
        <w:pStyle w:val="18"/>
        <w:numPr>
          <w:ilvl w:val="0"/>
          <w:numId w:val="79"/>
        </w:numPr>
        <w:tabs>
          <w:tab w:val="left" w:pos="1621"/>
        </w:tabs>
        <w:spacing w:before="0" w:after="0" w:line="240" w:lineRule="auto"/>
        <w:ind w:left="1621" w:right="0" w:hanging="601"/>
        <w:jc w:val="left"/>
        <w:rPr>
          <w:sz w:val="24"/>
        </w:rPr>
      </w:pPr>
      <w:r>
        <w:rPr>
          <w:sz w:val="24"/>
        </w:rPr>
        <w:t>报告制度</w:t>
      </w:r>
    </w:p>
    <w:p>
      <w:pPr>
        <w:pStyle w:val="7"/>
        <w:spacing w:before="160" w:line="364" w:lineRule="auto"/>
        <w:ind w:right="577" w:firstLine="480"/>
        <w:jc w:val="both"/>
      </w:pPr>
      <w:r>
        <w:rPr>
          <w:spacing w:val="-8"/>
        </w:rPr>
        <w:t>建设单位应严格执行季报制度。即每季度向当地环保部门报告污染治理设施</w:t>
      </w:r>
      <w:r>
        <w:rPr>
          <w:spacing w:val="-10"/>
        </w:rPr>
        <w:t>的运行情况、污染物的排放情况以及污染事故、污染纠纷等情况。企业排污发生</w:t>
      </w:r>
      <w:r>
        <w:t>重大变化、污染治理设施改变或生产运行计划改变等都必须向当地环保部门申报，经审批同意后方可实施。</w:t>
      </w:r>
    </w:p>
    <w:p>
      <w:pPr>
        <w:pStyle w:val="18"/>
        <w:numPr>
          <w:ilvl w:val="0"/>
          <w:numId w:val="79"/>
        </w:numPr>
        <w:tabs>
          <w:tab w:val="left" w:pos="1621"/>
        </w:tabs>
        <w:spacing w:before="3" w:after="0" w:line="240" w:lineRule="auto"/>
        <w:ind w:left="1621" w:right="0" w:hanging="601"/>
        <w:jc w:val="left"/>
        <w:rPr>
          <w:sz w:val="24"/>
        </w:rPr>
      </w:pPr>
      <w:r>
        <w:rPr>
          <w:sz w:val="24"/>
        </w:rPr>
        <w:t>污染处理设施的管理制度</w:t>
      </w:r>
    </w:p>
    <w:p>
      <w:pPr>
        <w:pStyle w:val="7"/>
        <w:spacing w:before="160" w:line="364" w:lineRule="auto"/>
        <w:ind w:right="577" w:firstLine="480"/>
      </w:pPr>
      <w:r>
        <w:rPr>
          <w:spacing w:val="-4"/>
        </w:rPr>
        <w:t>对污染治理设施和管理必须与生产经营活动一起纳入企业的日常管理中，要</w:t>
      </w:r>
      <w:r>
        <w:t>建立岗位责任制，制定操作规程，建立管理台帐。</w:t>
      </w:r>
    </w:p>
    <w:p>
      <w:pPr>
        <w:pStyle w:val="18"/>
        <w:numPr>
          <w:ilvl w:val="0"/>
          <w:numId w:val="79"/>
        </w:numPr>
        <w:tabs>
          <w:tab w:val="left" w:pos="1621"/>
        </w:tabs>
        <w:spacing w:before="2" w:after="0" w:line="240" w:lineRule="auto"/>
        <w:ind w:left="1621" w:right="0" w:hanging="601"/>
        <w:jc w:val="left"/>
        <w:rPr>
          <w:sz w:val="24"/>
        </w:rPr>
      </w:pPr>
      <w:r>
        <w:rPr>
          <w:sz w:val="24"/>
        </w:rPr>
        <w:t>奖惩制度</w:t>
      </w:r>
    </w:p>
    <w:p>
      <w:pPr>
        <w:pStyle w:val="7"/>
        <w:spacing w:before="160" w:line="364" w:lineRule="auto"/>
        <w:ind w:right="577" w:firstLine="480"/>
        <w:jc w:val="both"/>
      </w:pPr>
      <w:r>
        <w:rPr>
          <w:spacing w:val="-7"/>
        </w:rPr>
        <w:t>企业应设置环境保护奖惩制度，对爱护环保设施，节能降耗、改善环境者给</w:t>
      </w:r>
      <w:r>
        <w:rPr>
          <w:spacing w:val="-10"/>
        </w:rPr>
        <w:t>予奖励；对不按环保要求管理，造成环保设施损坏、环境污染和资源、能源浪费</w:t>
      </w:r>
      <w:r>
        <w:t>者予以重罚。</w:t>
      </w:r>
    </w:p>
    <w:p>
      <w:pPr>
        <w:pStyle w:val="5"/>
        <w:numPr>
          <w:ilvl w:val="2"/>
          <w:numId w:val="78"/>
        </w:numPr>
        <w:tabs>
          <w:tab w:val="left" w:pos="1241"/>
        </w:tabs>
        <w:spacing w:before="115" w:after="0" w:line="240" w:lineRule="auto"/>
        <w:ind w:left="1240" w:right="0" w:hanging="701"/>
        <w:jc w:val="left"/>
        <w:outlineLvl w:val="2"/>
      </w:pPr>
      <w:bookmarkStart w:id="472" w:name="8.1.5 环境管理计划"/>
      <w:bookmarkEnd w:id="472"/>
      <w:bookmarkStart w:id="473" w:name="8.1.5 环境管理计划"/>
      <w:bookmarkEnd w:id="473"/>
      <w:bookmarkStart w:id="474" w:name="_Toc26458"/>
      <w:r>
        <w:t>环境管理计划</w:t>
      </w:r>
      <w:bookmarkEnd w:id="474"/>
    </w:p>
    <w:p>
      <w:pPr>
        <w:pStyle w:val="7"/>
        <w:spacing w:before="8"/>
        <w:ind w:left="0"/>
        <w:rPr>
          <w:b/>
          <w:sz w:val="21"/>
        </w:rPr>
      </w:pPr>
    </w:p>
    <w:p>
      <w:pPr>
        <w:pStyle w:val="7"/>
        <w:ind w:left="1020"/>
        <w:rPr>
          <w:rFonts w:ascii="Times New Roman" w:eastAsia="Times New Roman"/>
        </w:rPr>
      </w:pPr>
      <w:r>
        <w:t>项目环境管理计划见表</w:t>
      </w:r>
      <w:r>
        <w:rPr>
          <w:rFonts w:ascii="Times New Roman" w:eastAsia="Times New Roman"/>
        </w:rPr>
        <w:t>8.1-1</w:t>
      </w:r>
    </w:p>
    <w:p>
      <w:pPr>
        <w:pStyle w:val="7"/>
        <w:spacing w:before="7"/>
        <w:ind w:left="0"/>
        <w:rPr>
          <w:rFonts w:ascii="Times New Roman"/>
          <w:sz w:val="20"/>
        </w:rPr>
      </w:pPr>
    </w:p>
    <w:p>
      <w:pPr>
        <w:pStyle w:val="7"/>
        <w:bidi w:val="0"/>
        <w:jc w:val="center"/>
      </w:pPr>
      <w:r>
        <w:t>表</w:t>
      </w:r>
      <w:r>
        <w:rPr>
          <w:rFonts w:ascii="Times New Roman" w:eastAsia="Times New Roman"/>
        </w:rPr>
        <w:t>8.1-1</w:t>
      </w:r>
      <w:r>
        <w:rPr>
          <w:rFonts w:ascii="Times New Roman" w:eastAsia="Times New Roman"/>
        </w:rPr>
        <w:tab/>
      </w:r>
      <w:r>
        <w:t>项目环境管理计划</w:t>
      </w:r>
    </w:p>
    <w:tbl>
      <w:tblPr>
        <w:tblStyle w:val="15"/>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095"/>
        <w:gridCol w:w="5700"/>
        <w:gridCol w:w="1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96" w:type="dxa"/>
            <w:gridSpan w:val="2"/>
          </w:tcPr>
          <w:p>
            <w:pPr>
              <w:pStyle w:val="19"/>
              <w:spacing w:before="34"/>
              <w:ind w:left="517" w:right="507"/>
              <w:rPr>
                <w:b/>
                <w:sz w:val="21"/>
              </w:rPr>
            </w:pPr>
            <w:r>
              <w:rPr>
                <w:b/>
                <w:sz w:val="21"/>
              </w:rPr>
              <w:t>项目</w:t>
            </w:r>
          </w:p>
        </w:tc>
        <w:tc>
          <w:tcPr>
            <w:tcW w:w="5700" w:type="dxa"/>
          </w:tcPr>
          <w:p>
            <w:pPr>
              <w:pStyle w:val="19"/>
              <w:tabs>
                <w:tab w:val="left" w:pos="429"/>
                <w:tab w:val="left" w:pos="851"/>
                <w:tab w:val="left" w:pos="1271"/>
              </w:tabs>
              <w:spacing w:before="34"/>
              <w:ind w:left="9"/>
              <w:rPr>
                <w:b/>
                <w:sz w:val="21"/>
              </w:rPr>
            </w:pPr>
            <w:r>
              <w:rPr>
                <w:b/>
                <w:sz w:val="21"/>
              </w:rPr>
              <w:t>管</w:t>
            </w:r>
            <w:r>
              <w:rPr>
                <w:b/>
                <w:sz w:val="21"/>
              </w:rPr>
              <w:tab/>
            </w:r>
            <w:r>
              <w:rPr>
                <w:b/>
                <w:sz w:val="21"/>
              </w:rPr>
              <w:t>理</w:t>
            </w:r>
            <w:r>
              <w:rPr>
                <w:b/>
                <w:sz w:val="21"/>
              </w:rPr>
              <w:tab/>
            </w:r>
            <w:r>
              <w:rPr>
                <w:b/>
                <w:sz w:val="21"/>
              </w:rPr>
              <w:t>措</w:t>
            </w:r>
            <w:r>
              <w:rPr>
                <w:b/>
                <w:sz w:val="21"/>
              </w:rPr>
              <w:tab/>
            </w:r>
            <w:r>
              <w:rPr>
                <w:b/>
                <w:sz w:val="21"/>
              </w:rPr>
              <w:t>施</w:t>
            </w:r>
          </w:p>
        </w:tc>
        <w:tc>
          <w:tcPr>
            <w:tcW w:w="1332" w:type="dxa"/>
          </w:tcPr>
          <w:p>
            <w:pPr>
              <w:pStyle w:val="19"/>
              <w:spacing w:before="34"/>
              <w:ind w:left="226" w:right="212"/>
              <w:rPr>
                <w:b/>
                <w:sz w:val="21"/>
              </w:rPr>
            </w:pPr>
            <w:r>
              <w:rPr>
                <w:b/>
                <w:sz w:val="21"/>
              </w:rPr>
              <w:t>实施机构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28" w:type="dxa"/>
            <w:gridSpan w:val="4"/>
          </w:tcPr>
          <w:p>
            <w:pPr>
              <w:pStyle w:val="19"/>
              <w:spacing w:before="35"/>
              <w:ind w:left="3719" w:right="3709"/>
              <w:rPr>
                <w:sz w:val="21"/>
              </w:rPr>
            </w:pPr>
            <w:r>
              <w:rPr>
                <w:sz w:val="21"/>
              </w:rPr>
              <w:t>一、施工期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01" w:type="dxa"/>
          </w:tcPr>
          <w:p>
            <w:pPr>
              <w:pStyle w:val="19"/>
              <w:spacing w:before="8"/>
              <w:jc w:val="left"/>
              <w:rPr>
                <w:b/>
                <w:sz w:val="18"/>
              </w:rPr>
            </w:pPr>
          </w:p>
          <w:p>
            <w:pPr>
              <w:pStyle w:val="19"/>
              <w:ind w:left="7"/>
              <w:rPr>
                <w:rFonts w:ascii="Times New Roman"/>
                <w:sz w:val="21"/>
              </w:rPr>
            </w:pPr>
            <w:r>
              <w:rPr>
                <w:rFonts w:ascii="Times New Roman"/>
                <w:w w:val="99"/>
                <w:sz w:val="21"/>
              </w:rPr>
              <w:t>1</w:t>
            </w:r>
          </w:p>
        </w:tc>
        <w:tc>
          <w:tcPr>
            <w:tcW w:w="1095" w:type="dxa"/>
          </w:tcPr>
          <w:p>
            <w:pPr>
              <w:pStyle w:val="19"/>
              <w:spacing w:before="7"/>
              <w:jc w:val="left"/>
              <w:rPr>
                <w:b/>
                <w:sz w:val="17"/>
              </w:rPr>
            </w:pPr>
          </w:p>
          <w:p>
            <w:pPr>
              <w:pStyle w:val="19"/>
              <w:ind w:left="106" w:right="99"/>
              <w:rPr>
                <w:sz w:val="21"/>
              </w:rPr>
            </w:pPr>
            <w:r>
              <w:rPr>
                <w:sz w:val="21"/>
              </w:rPr>
              <w:t>空气污染</w:t>
            </w:r>
          </w:p>
        </w:tc>
        <w:tc>
          <w:tcPr>
            <w:tcW w:w="5700" w:type="dxa"/>
          </w:tcPr>
          <w:p>
            <w:pPr>
              <w:pStyle w:val="19"/>
              <w:spacing w:line="240" w:lineRule="exact"/>
              <w:ind w:left="107" w:right="122"/>
              <w:jc w:val="both"/>
              <w:rPr>
                <w:sz w:val="21"/>
              </w:rPr>
            </w:pPr>
            <w:r>
              <w:rPr>
                <w:w w:val="95"/>
                <w:sz w:val="21"/>
              </w:rPr>
              <w:t>施工场地洒水、防尘布覆盖等，降低施工扬尘对周围大气影响；运送建筑材料的车辆采用帆布遮盖；临时土石方防尘布</w:t>
            </w:r>
            <w:r>
              <w:rPr>
                <w:sz w:val="21"/>
              </w:rPr>
              <w:t>覆盖或采用围挡拦挡。</w:t>
            </w:r>
          </w:p>
        </w:tc>
        <w:tc>
          <w:tcPr>
            <w:tcW w:w="1332" w:type="dxa"/>
            <w:vMerge w:val="restart"/>
          </w:tcPr>
          <w:p>
            <w:pPr>
              <w:pStyle w:val="19"/>
              <w:jc w:val="left"/>
              <w:rPr>
                <w:b/>
                <w:sz w:val="20"/>
              </w:rPr>
            </w:pPr>
          </w:p>
          <w:p>
            <w:pPr>
              <w:pStyle w:val="19"/>
              <w:jc w:val="left"/>
              <w:rPr>
                <w:b/>
                <w:sz w:val="20"/>
              </w:rPr>
            </w:pPr>
          </w:p>
          <w:p>
            <w:pPr>
              <w:pStyle w:val="19"/>
              <w:jc w:val="left"/>
              <w:rPr>
                <w:b/>
                <w:sz w:val="20"/>
              </w:rPr>
            </w:pPr>
          </w:p>
          <w:p>
            <w:pPr>
              <w:pStyle w:val="19"/>
              <w:spacing w:before="10"/>
              <w:jc w:val="left"/>
              <w:rPr>
                <w:b/>
                <w:sz w:val="18"/>
              </w:rPr>
            </w:pPr>
          </w:p>
          <w:p>
            <w:pPr>
              <w:pStyle w:val="19"/>
              <w:ind w:left="349"/>
              <w:jc w:val="left"/>
              <w:rPr>
                <w:sz w:val="21"/>
              </w:rPr>
            </w:pPr>
            <w:r>
              <w:rPr>
                <w:sz w:val="21"/>
              </w:rPr>
              <w:t>建设方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01" w:type="dxa"/>
          </w:tcPr>
          <w:p>
            <w:pPr>
              <w:pStyle w:val="19"/>
              <w:spacing w:before="118"/>
              <w:ind w:left="7"/>
              <w:rPr>
                <w:rFonts w:ascii="Times New Roman"/>
                <w:sz w:val="21"/>
              </w:rPr>
            </w:pPr>
            <w:r>
              <w:rPr>
                <w:rFonts w:ascii="Times New Roman"/>
                <w:w w:val="99"/>
                <w:sz w:val="21"/>
              </w:rPr>
              <w:t>2</w:t>
            </w:r>
          </w:p>
        </w:tc>
        <w:tc>
          <w:tcPr>
            <w:tcW w:w="1095" w:type="dxa"/>
          </w:tcPr>
          <w:p>
            <w:pPr>
              <w:pStyle w:val="19"/>
              <w:spacing w:before="105"/>
              <w:ind w:left="104" w:right="99"/>
              <w:rPr>
                <w:sz w:val="21"/>
              </w:rPr>
            </w:pPr>
            <w:r>
              <w:rPr>
                <w:sz w:val="21"/>
              </w:rPr>
              <w:t>废水</w:t>
            </w:r>
          </w:p>
        </w:tc>
        <w:tc>
          <w:tcPr>
            <w:tcW w:w="5700" w:type="dxa"/>
          </w:tcPr>
          <w:p>
            <w:pPr>
              <w:pStyle w:val="19"/>
              <w:spacing w:line="240" w:lineRule="exact"/>
              <w:ind w:left="107" w:right="122"/>
              <w:jc w:val="left"/>
              <w:rPr>
                <w:sz w:val="21"/>
              </w:rPr>
            </w:pPr>
            <w:r>
              <w:rPr>
                <w:w w:val="95"/>
                <w:sz w:val="21"/>
              </w:rPr>
              <w:t>施工期混凝土养护水自然蒸干，冲洗水沉淀后回用，避免随</w:t>
            </w:r>
            <w:r>
              <w:rPr>
                <w:sz w:val="21"/>
              </w:rPr>
              <w:t>意乱排；施工生活污水阿排入防渗旱厕后就近做农肥。</w:t>
            </w:r>
          </w:p>
        </w:tc>
        <w:tc>
          <w:tcPr>
            <w:tcW w:w="13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01" w:type="dxa"/>
          </w:tcPr>
          <w:p>
            <w:pPr>
              <w:pStyle w:val="19"/>
              <w:spacing w:before="7"/>
              <w:jc w:val="left"/>
              <w:rPr>
                <w:b/>
                <w:sz w:val="18"/>
              </w:rPr>
            </w:pPr>
          </w:p>
          <w:p>
            <w:pPr>
              <w:pStyle w:val="19"/>
              <w:ind w:left="7"/>
              <w:rPr>
                <w:rFonts w:ascii="Times New Roman"/>
                <w:sz w:val="21"/>
              </w:rPr>
            </w:pPr>
            <w:r>
              <w:rPr>
                <w:rFonts w:ascii="Times New Roman"/>
                <w:w w:val="99"/>
                <w:sz w:val="21"/>
              </w:rPr>
              <w:t>3</w:t>
            </w:r>
          </w:p>
        </w:tc>
        <w:tc>
          <w:tcPr>
            <w:tcW w:w="1095" w:type="dxa"/>
          </w:tcPr>
          <w:p>
            <w:pPr>
              <w:pStyle w:val="19"/>
              <w:spacing w:before="6"/>
              <w:jc w:val="left"/>
              <w:rPr>
                <w:b/>
                <w:sz w:val="17"/>
              </w:rPr>
            </w:pPr>
          </w:p>
          <w:p>
            <w:pPr>
              <w:pStyle w:val="19"/>
              <w:ind w:left="104" w:right="99"/>
              <w:rPr>
                <w:sz w:val="21"/>
              </w:rPr>
            </w:pPr>
            <w:r>
              <w:rPr>
                <w:sz w:val="21"/>
              </w:rPr>
              <w:t>噪声</w:t>
            </w:r>
          </w:p>
        </w:tc>
        <w:tc>
          <w:tcPr>
            <w:tcW w:w="5700" w:type="dxa"/>
          </w:tcPr>
          <w:p>
            <w:pPr>
              <w:pStyle w:val="19"/>
              <w:spacing w:line="240" w:lineRule="exact"/>
              <w:ind w:left="107" w:right="122"/>
              <w:jc w:val="both"/>
              <w:rPr>
                <w:sz w:val="21"/>
              </w:rPr>
            </w:pPr>
            <w:r>
              <w:rPr>
                <w:w w:val="95"/>
                <w:sz w:val="21"/>
              </w:rPr>
              <w:t>严格执行《建筑施工场界环境噪声排放标准》，高噪声施工不在夜间进行；加强对机械和车辆的维修，保持其较低噪声</w:t>
            </w:r>
            <w:r>
              <w:rPr>
                <w:sz w:val="21"/>
              </w:rPr>
              <w:t>水平。</w:t>
            </w:r>
          </w:p>
        </w:tc>
        <w:tc>
          <w:tcPr>
            <w:tcW w:w="13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 w:type="dxa"/>
          </w:tcPr>
          <w:p>
            <w:pPr>
              <w:pStyle w:val="19"/>
              <w:spacing w:before="48"/>
              <w:ind w:left="7"/>
              <w:rPr>
                <w:rFonts w:ascii="Times New Roman"/>
                <w:sz w:val="21"/>
              </w:rPr>
            </w:pPr>
            <w:r>
              <w:rPr>
                <w:rFonts w:ascii="Times New Roman"/>
                <w:w w:val="99"/>
                <w:sz w:val="21"/>
              </w:rPr>
              <w:t>4</w:t>
            </w:r>
          </w:p>
        </w:tc>
        <w:tc>
          <w:tcPr>
            <w:tcW w:w="1095" w:type="dxa"/>
          </w:tcPr>
          <w:p>
            <w:pPr>
              <w:pStyle w:val="19"/>
              <w:spacing w:before="34"/>
              <w:ind w:left="106" w:right="99"/>
              <w:rPr>
                <w:sz w:val="21"/>
              </w:rPr>
            </w:pPr>
            <w:r>
              <w:rPr>
                <w:sz w:val="21"/>
              </w:rPr>
              <w:t>固体废物</w:t>
            </w:r>
          </w:p>
        </w:tc>
        <w:tc>
          <w:tcPr>
            <w:tcW w:w="5700" w:type="dxa"/>
          </w:tcPr>
          <w:p>
            <w:pPr>
              <w:pStyle w:val="19"/>
              <w:spacing w:before="34"/>
              <w:ind w:left="6"/>
              <w:rPr>
                <w:sz w:val="21"/>
              </w:rPr>
            </w:pPr>
            <w:r>
              <w:rPr>
                <w:sz w:val="21"/>
              </w:rPr>
              <w:t>建筑垃圾、生活垃圾及时清运。</w:t>
            </w:r>
          </w:p>
        </w:tc>
        <w:tc>
          <w:tcPr>
            <w:tcW w:w="13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28" w:type="dxa"/>
            <w:gridSpan w:val="4"/>
          </w:tcPr>
          <w:p>
            <w:pPr>
              <w:pStyle w:val="19"/>
              <w:spacing w:before="35"/>
              <w:ind w:left="3719" w:right="3709"/>
              <w:rPr>
                <w:sz w:val="21"/>
              </w:rPr>
            </w:pPr>
            <w:r>
              <w:rPr>
                <w:sz w:val="21"/>
              </w:rPr>
              <w:t>二、营运期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01" w:type="dxa"/>
          </w:tcPr>
          <w:p>
            <w:pPr>
              <w:pStyle w:val="19"/>
              <w:spacing w:before="49"/>
              <w:ind w:left="7"/>
              <w:rPr>
                <w:rFonts w:ascii="Times New Roman"/>
                <w:sz w:val="21"/>
              </w:rPr>
            </w:pPr>
            <w:r>
              <w:rPr>
                <w:rFonts w:ascii="Times New Roman"/>
                <w:w w:val="99"/>
                <w:sz w:val="21"/>
              </w:rPr>
              <w:t>1</w:t>
            </w:r>
          </w:p>
        </w:tc>
        <w:tc>
          <w:tcPr>
            <w:tcW w:w="1095" w:type="dxa"/>
          </w:tcPr>
          <w:p>
            <w:pPr>
              <w:pStyle w:val="19"/>
              <w:spacing w:before="35"/>
              <w:ind w:left="106" w:right="99"/>
              <w:rPr>
                <w:sz w:val="21"/>
              </w:rPr>
            </w:pPr>
            <w:r>
              <w:rPr>
                <w:sz w:val="21"/>
              </w:rPr>
              <w:t>大气污染</w:t>
            </w:r>
          </w:p>
        </w:tc>
        <w:tc>
          <w:tcPr>
            <w:tcW w:w="5700" w:type="dxa"/>
          </w:tcPr>
          <w:p>
            <w:pPr>
              <w:pStyle w:val="19"/>
              <w:spacing w:before="35"/>
              <w:ind w:left="9"/>
              <w:rPr>
                <w:sz w:val="21"/>
              </w:rPr>
            </w:pPr>
            <w:r>
              <w:rPr>
                <w:sz w:val="21"/>
              </w:rPr>
              <w:t>加强管理，保证项目废气处理设施正常运行。</w:t>
            </w:r>
          </w:p>
        </w:tc>
        <w:tc>
          <w:tcPr>
            <w:tcW w:w="1332" w:type="dxa"/>
          </w:tcPr>
          <w:p>
            <w:pPr>
              <w:pStyle w:val="19"/>
              <w:spacing w:before="35"/>
              <w:ind w:left="218" w:right="212"/>
              <w:rPr>
                <w:sz w:val="21"/>
              </w:rPr>
            </w:pPr>
            <w:r>
              <w:rPr>
                <w:sz w:val="21"/>
              </w:rPr>
              <w:t>建设方</w:t>
            </w:r>
          </w:p>
        </w:tc>
      </w:tr>
    </w:tbl>
    <w:p>
      <w:pPr>
        <w:spacing w:after="0"/>
        <w:rPr>
          <w:sz w:val="21"/>
        </w:rPr>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pStyle w:val="7"/>
        <w:spacing w:before="11"/>
        <w:ind w:left="0"/>
        <w:rPr>
          <w:b/>
          <w:sz w:val="4"/>
        </w:rPr>
      </w:pPr>
    </w:p>
    <w:tbl>
      <w:tblPr>
        <w:tblStyle w:val="15"/>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095"/>
        <w:gridCol w:w="5700"/>
        <w:gridCol w:w="1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96" w:type="dxa"/>
            <w:gridSpan w:val="2"/>
          </w:tcPr>
          <w:p>
            <w:pPr>
              <w:pStyle w:val="19"/>
              <w:spacing w:before="35"/>
              <w:ind w:left="517" w:right="507"/>
              <w:rPr>
                <w:b/>
                <w:sz w:val="21"/>
              </w:rPr>
            </w:pPr>
            <w:r>
              <w:rPr>
                <w:b/>
                <w:sz w:val="21"/>
              </w:rPr>
              <w:t>项目</w:t>
            </w:r>
          </w:p>
        </w:tc>
        <w:tc>
          <w:tcPr>
            <w:tcW w:w="5700" w:type="dxa"/>
          </w:tcPr>
          <w:p>
            <w:pPr>
              <w:pStyle w:val="19"/>
              <w:tabs>
                <w:tab w:val="left" w:pos="429"/>
                <w:tab w:val="left" w:pos="851"/>
                <w:tab w:val="left" w:pos="1271"/>
              </w:tabs>
              <w:spacing w:before="35"/>
              <w:ind w:left="9"/>
              <w:rPr>
                <w:b/>
                <w:sz w:val="21"/>
              </w:rPr>
            </w:pPr>
            <w:r>
              <w:rPr>
                <w:b/>
                <w:sz w:val="21"/>
              </w:rPr>
              <w:t>管</w:t>
            </w:r>
            <w:r>
              <w:rPr>
                <w:b/>
                <w:sz w:val="21"/>
              </w:rPr>
              <w:tab/>
            </w:r>
            <w:r>
              <w:rPr>
                <w:b/>
                <w:sz w:val="21"/>
              </w:rPr>
              <w:t>理</w:t>
            </w:r>
            <w:r>
              <w:rPr>
                <w:b/>
                <w:sz w:val="21"/>
              </w:rPr>
              <w:tab/>
            </w:r>
            <w:r>
              <w:rPr>
                <w:b/>
                <w:sz w:val="21"/>
              </w:rPr>
              <w:t>措</w:t>
            </w:r>
            <w:r>
              <w:rPr>
                <w:b/>
                <w:sz w:val="21"/>
              </w:rPr>
              <w:tab/>
            </w:r>
            <w:r>
              <w:rPr>
                <w:b/>
                <w:sz w:val="21"/>
              </w:rPr>
              <w:t>施</w:t>
            </w:r>
          </w:p>
        </w:tc>
        <w:tc>
          <w:tcPr>
            <w:tcW w:w="1332" w:type="dxa"/>
          </w:tcPr>
          <w:p>
            <w:pPr>
              <w:pStyle w:val="19"/>
              <w:spacing w:before="35"/>
              <w:ind w:left="246"/>
              <w:jc w:val="left"/>
              <w:rPr>
                <w:b/>
                <w:sz w:val="21"/>
              </w:rPr>
            </w:pPr>
            <w:r>
              <w:rPr>
                <w:b/>
                <w:sz w:val="21"/>
              </w:rPr>
              <w:t>实施机构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 w:type="dxa"/>
          </w:tcPr>
          <w:p>
            <w:pPr>
              <w:pStyle w:val="19"/>
              <w:spacing w:before="50"/>
              <w:ind w:left="7"/>
              <w:rPr>
                <w:rFonts w:ascii="Times New Roman"/>
                <w:sz w:val="21"/>
              </w:rPr>
            </w:pPr>
            <w:r>
              <w:rPr>
                <w:rFonts w:ascii="Times New Roman"/>
                <w:w w:val="99"/>
                <w:sz w:val="21"/>
              </w:rPr>
              <w:t>2</w:t>
            </w:r>
          </w:p>
        </w:tc>
        <w:tc>
          <w:tcPr>
            <w:tcW w:w="1095" w:type="dxa"/>
          </w:tcPr>
          <w:p>
            <w:pPr>
              <w:pStyle w:val="19"/>
              <w:spacing w:before="36"/>
              <w:ind w:left="104" w:right="99"/>
              <w:rPr>
                <w:sz w:val="21"/>
              </w:rPr>
            </w:pPr>
            <w:r>
              <w:rPr>
                <w:sz w:val="21"/>
              </w:rPr>
              <w:t>水污染</w:t>
            </w:r>
          </w:p>
        </w:tc>
        <w:tc>
          <w:tcPr>
            <w:tcW w:w="5700" w:type="dxa"/>
          </w:tcPr>
          <w:p>
            <w:pPr>
              <w:pStyle w:val="19"/>
              <w:spacing w:before="36"/>
              <w:ind w:left="6"/>
              <w:rPr>
                <w:sz w:val="21"/>
              </w:rPr>
            </w:pPr>
            <w:r>
              <w:rPr>
                <w:sz w:val="21"/>
              </w:rPr>
              <w:t>加强管理，保证粪污处理设施正常运行。</w:t>
            </w:r>
          </w:p>
        </w:tc>
        <w:tc>
          <w:tcPr>
            <w:tcW w:w="1332" w:type="dxa"/>
            <w:vMerge w:val="restart"/>
          </w:tcPr>
          <w:p>
            <w:pPr>
              <w:pStyle w:val="19"/>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 w:type="dxa"/>
          </w:tcPr>
          <w:p>
            <w:pPr>
              <w:pStyle w:val="19"/>
              <w:spacing w:before="48"/>
              <w:ind w:left="7"/>
              <w:rPr>
                <w:rFonts w:ascii="Times New Roman"/>
                <w:sz w:val="21"/>
              </w:rPr>
            </w:pPr>
            <w:r>
              <w:rPr>
                <w:rFonts w:ascii="Times New Roman"/>
                <w:w w:val="99"/>
                <w:sz w:val="21"/>
              </w:rPr>
              <w:t>3</w:t>
            </w:r>
          </w:p>
        </w:tc>
        <w:tc>
          <w:tcPr>
            <w:tcW w:w="1095" w:type="dxa"/>
          </w:tcPr>
          <w:p>
            <w:pPr>
              <w:pStyle w:val="19"/>
              <w:spacing w:before="34"/>
              <w:ind w:left="104" w:right="99"/>
              <w:rPr>
                <w:sz w:val="21"/>
              </w:rPr>
            </w:pPr>
            <w:r>
              <w:rPr>
                <w:sz w:val="21"/>
              </w:rPr>
              <w:t>声环境</w:t>
            </w:r>
          </w:p>
        </w:tc>
        <w:tc>
          <w:tcPr>
            <w:tcW w:w="5700" w:type="dxa"/>
          </w:tcPr>
          <w:p>
            <w:pPr>
              <w:pStyle w:val="19"/>
              <w:spacing w:before="34"/>
              <w:ind w:left="9"/>
              <w:rPr>
                <w:sz w:val="21"/>
              </w:rPr>
            </w:pPr>
            <w:r>
              <w:rPr>
                <w:sz w:val="21"/>
              </w:rPr>
              <w:t>加强管理，保证营运期噪声达标排放。</w:t>
            </w:r>
          </w:p>
        </w:tc>
        <w:tc>
          <w:tcPr>
            <w:tcW w:w="13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01" w:type="dxa"/>
          </w:tcPr>
          <w:p>
            <w:pPr>
              <w:pStyle w:val="19"/>
              <w:spacing w:before="118"/>
              <w:ind w:left="7"/>
              <w:rPr>
                <w:rFonts w:ascii="Times New Roman"/>
                <w:sz w:val="21"/>
              </w:rPr>
            </w:pPr>
            <w:r>
              <w:rPr>
                <w:rFonts w:ascii="Times New Roman"/>
                <w:w w:val="99"/>
                <w:sz w:val="21"/>
              </w:rPr>
              <w:t>4</w:t>
            </w:r>
          </w:p>
        </w:tc>
        <w:tc>
          <w:tcPr>
            <w:tcW w:w="1095" w:type="dxa"/>
          </w:tcPr>
          <w:p>
            <w:pPr>
              <w:pStyle w:val="19"/>
              <w:spacing w:before="104"/>
              <w:ind w:left="106" w:right="99"/>
              <w:rPr>
                <w:sz w:val="21"/>
              </w:rPr>
            </w:pPr>
            <w:r>
              <w:rPr>
                <w:sz w:val="21"/>
              </w:rPr>
              <w:t>固体废物</w:t>
            </w:r>
          </w:p>
        </w:tc>
        <w:tc>
          <w:tcPr>
            <w:tcW w:w="5700" w:type="dxa"/>
          </w:tcPr>
          <w:p>
            <w:pPr>
              <w:pStyle w:val="19"/>
              <w:spacing w:line="236" w:lineRule="exact"/>
              <w:ind w:left="107"/>
              <w:jc w:val="left"/>
              <w:rPr>
                <w:sz w:val="21"/>
              </w:rPr>
            </w:pPr>
            <w:r>
              <w:rPr>
                <w:sz w:val="21"/>
              </w:rPr>
              <w:t>加强管理，羊粪、生活垃圾分开收集处置；病死羊及分娩物</w:t>
            </w:r>
          </w:p>
          <w:p>
            <w:pPr>
              <w:pStyle w:val="19"/>
              <w:spacing w:line="224" w:lineRule="exact"/>
              <w:ind w:left="107"/>
              <w:jc w:val="left"/>
              <w:rPr>
                <w:sz w:val="21"/>
              </w:rPr>
            </w:pPr>
            <w:r>
              <w:rPr>
                <w:sz w:val="21"/>
              </w:rPr>
              <w:t>无害化、安全填埋处置。</w:t>
            </w:r>
          </w:p>
        </w:tc>
        <w:tc>
          <w:tcPr>
            <w:tcW w:w="13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01" w:type="dxa"/>
          </w:tcPr>
          <w:p>
            <w:pPr>
              <w:pStyle w:val="19"/>
              <w:spacing w:before="120"/>
              <w:ind w:left="7"/>
              <w:rPr>
                <w:rFonts w:ascii="Times New Roman"/>
                <w:sz w:val="21"/>
              </w:rPr>
            </w:pPr>
            <w:r>
              <w:rPr>
                <w:rFonts w:ascii="Times New Roman"/>
                <w:w w:val="99"/>
                <w:sz w:val="21"/>
              </w:rPr>
              <w:t>5</w:t>
            </w:r>
          </w:p>
        </w:tc>
        <w:tc>
          <w:tcPr>
            <w:tcW w:w="1095" w:type="dxa"/>
          </w:tcPr>
          <w:p>
            <w:pPr>
              <w:pStyle w:val="19"/>
              <w:spacing w:before="106"/>
              <w:ind w:left="106" w:right="99"/>
              <w:rPr>
                <w:sz w:val="21"/>
              </w:rPr>
            </w:pPr>
            <w:r>
              <w:rPr>
                <w:sz w:val="21"/>
              </w:rPr>
              <w:t>环境监测</w:t>
            </w:r>
          </w:p>
        </w:tc>
        <w:tc>
          <w:tcPr>
            <w:tcW w:w="5700" w:type="dxa"/>
          </w:tcPr>
          <w:p>
            <w:pPr>
              <w:pStyle w:val="19"/>
              <w:spacing w:line="236" w:lineRule="exact"/>
              <w:ind w:left="107"/>
              <w:jc w:val="left"/>
              <w:rPr>
                <w:sz w:val="21"/>
              </w:rPr>
            </w:pPr>
            <w:r>
              <w:rPr>
                <w:sz w:val="21"/>
              </w:rPr>
              <w:t>按照环境监测技术规范及国家环保局颁布的监测标准、方法</w:t>
            </w:r>
          </w:p>
          <w:p>
            <w:pPr>
              <w:pStyle w:val="19"/>
              <w:spacing w:line="224" w:lineRule="exact"/>
              <w:ind w:left="107"/>
              <w:jc w:val="left"/>
              <w:rPr>
                <w:sz w:val="21"/>
              </w:rPr>
            </w:pPr>
            <w:r>
              <w:rPr>
                <w:sz w:val="21"/>
              </w:rPr>
              <w:t>执行。</w:t>
            </w:r>
          </w:p>
        </w:tc>
        <w:tc>
          <w:tcPr>
            <w:tcW w:w="1332" w:type="dxa"/>
          </w:tcPr>
          <w:p>
            <w:pPr>
              <w:pStyle w:val="19"/>
              <w:spacing w:line="236" w:lineRule="exact"/>
              <w:ind w:left="107"/>
              <w:jc w:val="left"/>
              <w:rPr>
                <w:sz w:val="21"/>
              </w:rPr>
            </w:pPr>
            <w:r>
              <w:rPr>
                <w:w w:val="95"/>
                <w:sz w:val="21"/>
              </w:rPr>
              <w:t>有资质的环</w:t>
            </w:r>
          </w:p>
          <w:p>
            <w:pPr>
              <w:pStyle w:val="19"/>
              <w:spacing w:line="224" w:lineRule="exact"/>
              <w:ind w:left="107"/>
              <w:jc w:val="left"/>
              <w:rPr>
                <w:sz w:val="21"/>
              </w:rPr>
            </w:pPr>
            <w:r>
              <w:rPr>
                <w:w w:val="95"/>
                <w:sz w:val="21"/>
              </w:rPr>
              <w:t>境监测单位</w:t>
            </w:r>
          </w:p>
        </w:tc>
      </w:tr>
    </w:tbl>
    <w:p>
      <w:pPr>
        <w:pStyle w:val="7"/>
        <w:spacing w:before="9"/>
        <w:ind w:left="0"/>
        <w:rPr>
          <w:b/>
          <w:sz w:val="9"/>
        </w:rPr>
      </w:pPr>
    </w:p>
    <w:p>
      <w:pPr>
        <w:pStyle w:val="18"/>
        <w:numPr>
          <w:ilvl w:val="2"/>
          <w:numId w:val="78"/>
        </w:numPr>
        <w:tabs>
          <w:tab w:val="left" w:pos="1241"/>
        </w:tabs>
        <w:spacing w:before="70" w:after="0" w:line="240" w:lineRule="auto"/>
        <w:ind w:left="1240" w:right="0" w:hanging="701"/>
        <w:jc w:val="left"/>
        <w:outlineLvl w:val="2"/>
        <w:rPr>
          <w:b/>
          <w:sz w:val="28"/>
        </w:rPr>
      </w:pPr>
      <w:bookmarkStart w:id="475" w:name="8.1.6 污染物排放管理要求"/>
      <w:bookmarkEnd w:id="475"/>
      <w:bookmarkStart w:id="476" w:name="8.1.6 污染物排放管理要求"/>
      <w:bookmarkEnd w:id="476"/>
      <w:bookmarkStart w:id="477" w:name="_Toc2373"/>
      <w:r>
        <w:rPr>
          <w:b/>
          <w:sz w:val="28"/>
        </w:rPr>
        <w:t>污染物排放管理要求</w:t>
      </w:r>
      <w:bookmarkEnd w:id="477"/>
    </w:p>
    <w:p>
      <w:pPr>
        <w:pStyle w:val="7"/>
        <w:spacing w:before="7"/>
        <w:ind w:left="0"/>
        <w:rPr>
          <w:b/>
          <w:sz w:val="21"/>
        </w:rPr>
      </w:pPr>
    </w:p>
    <w:p>
      <w:pPr>
        <w:pStyle w:val="7"/>
        <w:spacing w:before="1"/>
        <w:ind w:left="1020"/>
      </w:pPr>
      <w:r>
        <w:t>（</w:t>
      </w:r>
      <w:r>
        <w:rPr>
          <w:rFonts w:ascii="Times New Roman" w:eastAsia="Times New Roman"/>
        </w:rPr>
        <w:t>1</w:t>
      </w:r>
      <w:r>
        <w:t>）污染物排放清单</w:t>
      </w:r>
    </w:p>
    <w:p>
      <w:pPr>
        <w:pStyle w:val="7"/>
        <w:spacing w:before="160"/>
        <w:ind w:left="1020"/>
      </w:pPr>
      <w:r>
        <w:t>本项目污染物排放清单具体见表</w:t>
      </w:r>
      <w:r>
        <w:rPr>
          <w:rFonts w:ascii="Times New Roman" w:eastAsia="Times New Roman"/>
        </w:rPr>
        <w:t>8.1-2</w:t>
      </w:r>
      <w:r>
        <w:t>。</w:t>
      </w:r>
    </w:p>
    <w:p>
      <w:pPr>
        <w:spacing w:after="0"/>
        <w:sectPr>
          <w:pgSz w:w="11910" w:h="16840"/>
          <w:pgMar w:top="1360" w:right="1220" w:bottom="1300" w:left="1260" w:header="897" w:footer="1116" w:gutter="0"/>
          <w:pgBorders>
            <w:top w:val="none" w:sz="0" w:space="0"/>
            <w:left w:val="none" w:sz="0" w:space="0"/>
            <w:bottom w:val="none" w:sz="0" w:space="0"/>
            <w:right w:val="none" w:sz="0" w:space="0"/>
          </w:pgBorders>
          <w:pgNumType w:fmt="decimal"/>
        </w:sectPr>
      </w:pPr>
    </w:p>
    <w:p>
      <w:pPr>
        <w:spacing w:before="46" w:after="21"/>
        <w:ind w:left="0" w:right="17" w:firstLine="0"/>
        <w:jc w:val="center"/>
        <w:rPr>
          <w:sz w:val="18"/>
        </w:rPr>
      </w:pPr>
      <w:r>
        <w:rPr>
          <w:rFonts w:hint="eastAsia"/>
          <w:sz w:val="18"/>
          <w:lang w:eastAsia="zh-CN"/>
        </w:rPr>
        <w:t>莎车</w:t>
      </w:r>
      <w:r>
        <w:rPr>
          <w:sz w:val="18"/>
        </w:rPr>
        <w:t>县羊养殖扶贫产业建设项目</w:t>
      </w:r>
    </w:p>
    <w:p>
      <w:pPr>
        <w:pStyle w:val="7"/>
        <w:spacing w:line="20" w:lineRule="exact"/>
        <w:ind w:left="215"/>
        <w:rPr>
          <w:sz w:val="2"/>
        </w:rPr>
      </w:pPr>
      <w:r>
        <w:rPr>
          <w:sz w:val="2"/>
        </w:rPr>
        <w:pict>
          <v:group id="_x0000_s1173" o:spid="_x0000_s1173" o:spt="203" style="height:0.5pt;width:697.9pt;" coordsize="13958,10">
            <o:lock v:ext="edit"/>
            <v:line id="_x0000_s1174" o:spid="_x0000_s1174" o:spt="20" style="position:absolute;left:0;top:5;height:0;width:13958;" stroked="t" coordsize="21600,21600">
              <v:path arrowok="t"/>
              <v:fill focussize="0,0"/>
              <v:stroke weight="0.48pt" color="#000000"/>
              <v:imagedata o:title=""/>
              <o:lock v:ext="edit"/>
            </v:line>
            <w10:wrap type="none"/>
            <w10:anchorlock/>
          </v:group>
        </w:pict>
      </w:r>
    </w:p>
    <w:p>
      <w:pPr>
        <w:pStyle w:val="7"/>
        <w:ind w:left="0"/>
        <w:rPr>
          <w:sz w:val="20"/>
        </w:rPr>
      </w:pPr>
    </w:p>
    <w:p>
      <w:pPr>
        <w:pStyle w:val="7"/>
        <w:ind w:left="0"/>
        <w:rPr>
          <w:sz w:val="20"/>
        </w:rPr>
      </w:pPr>
    </w:p>
    <w:p>
      <w:pPr>
        <w:pStyle w:val="7"/>
        <w:spacing w:before="9"/>
        <w:ind w:left="0"/>
        <w:rPr>
          <w:sz w:val="17"/>
        </w:rPr>
      </w:pPr>
    </w:p>
    <w:p>
      <w:pPr>
        <w:pStyle w:val="7"/>
        <w:bidi w:val="0"/>
        <w:jc w:val="center"/>
      </w:pPr>
      <w:r>
        <w:t>表</w:t>
      </w:r>
      <w:r>
        <w:rPr>
          <w:rFonts w:ascii="Times New Roman" w:eastAsia="Times New Roman"/>
        </w:rPr>
        <w:t>8.1-2</w:t>
      </w:r>
      <w:r>
        <w:rPr>
          <w:rFonts w:ascii="Times New Roman" w:eastAsia="Times New Roman"/>
        </w:rPr>
        <w:tab/>
      </w:r>
      <w:r>
        <w:t>项目污染源排放清单</w:t>
      </w:r>
    </w:p>
    <w:tbl>
      <w:tblPr>
        <w:tblStyle w:val="15"/>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1066"/>
        <w:gridCol w:w="1100"/>
        <w:gridCol w:w="650"/>
        <w:gridCol w:w="1878"/>
        <w:gridCol w:w="1156"/>
        <w:gridCol w:w="1000"/>
        <w:gridCol w:w="1016"/>
        <w:gridCol w:w="1050"/>
        <w:gridCol w:w="1017"/>
        <w:gridCol w:w="2590"/>
        <w:gridCol w:w="1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restart"/>
          </w:tcPr>
          <w:p>
            <w:pPr>
              <w:pStyle w:val="19"/>
              <w:spacing w:before="97" w:line="213" w:lineRule="auto"/>
              <w:ind w:left="107" w:right="99"/>
              <w:jc w:val="center"/>
              <w:rPr>
                <w:b/>
                <w:sz w:val="21"/>
              </w:rPr>
            </w:pPr>
            <w:r>
              <w:rPr>
                <w:b/>
                <w:sz w:val="21"/>
              </w:rPr>
              <w:t>污染物类型</w:t>
            </w:r>
          </w:p>
        </w:tc>
        <w:tc>
          <w:tcPr>
            <w:tcW w:w="1066" w:type="dxa"/>
            <w:vMerge w:val="restart"/>
          </w:tcPr>
          <w:p>
            <w:pPr>
              <w:pStyle w:val="19"/>
              <w:spacing w:before="6"/>
              <w:jc w:val="center"/>
              <w:rPr>
                <w:b/>
                <w:sz w:val="24"/>
              </w:rPr>
            </w:pPr>
          </w:p>
          <w:p>
            <w:pPr>
              <w:pStyle w:val="19"/>
              <w:ind w:left="111"/>
              <w:jc w:val="center"/>
              <w:rPr>
                <w:b/>
                <w:sz w:val="21"/>
              </w:rPr>
            </w:pPr>
            <w:r>
              <w:rPr>
                <w:b/>
                <w:sz w:val="21"/>
              </w:rPr>
              <w:t>产污环节</w:t>
            </w:r>
          </w:p>
        </w:tc>
        <w:tc>
          <w:tcPr>
            <w:tcW w:w="1100" w:type="dxa"/>
            <w:vMerge w:val="restart"/>
          </w:tcPr>
          <w:p>
            <w:pPr>
              <w:pStyle w:val="19"/>
              <w:spacing w:before="12"/>
              <w:jc w:val="center"/>
              <w:rPr>
                <w:b/>
                <w:sz w:val="16"/>
              </w:rPr>
            </w:pPr>
          </w:p>
          <w:p>
            <w:pPr>
              <w:pStyle w:val="19"/>
              <w:spacing w:line="213" w:lineRule="auto"/>
              <w:ind w:left="454" w:right="159" w:hanging="288"/>
              <w:jc w:val="center"/>
              <w:rPr>
                <w:b/>
                <w:sz w:val="21"/>
              </w:rPr>
            </w:pPr>
            <w:r>
              <w:rPr>
                <w:b/>
                <w:w w:val="90"/>
                <w:sz w:val="21"/>
              </w:rPr>
              <w:t>污染物名</w:t>
            </w:r>
            <w:r>
              <w:rPr>
                <w:b/>
                <w:sz w:val="21"/>
              </w:rPr>
              <w:t>称</w:t>
            </w:r>
          </w:p>
        </w:tc>
        <w:tc>
          <w:tcPr>
            <w:tcW w:w="650" w:type="dxa"/>
            <w:vMerge w:val="restart"/>
          </w:tcPr>
          <w:p>
            <w:pPr>
              <w:pStyle w:val="19"/>
              <w:spacing w:before="12"/>
              <w:jc w:val="center"/>
              <w:rPr>
                <w:b/>
                <w:sz w:val="16"/>
              </w:rPr>
            </w:pPr>
          </w:p>
          <w:p>
            <w:pPr>
              <w:pStyle w:val="19"/>
              <w:spacing w:line="213" w:lineRule="auto"/>
              <w:ind w:left="115" w:right="102"/>
              <w:jc w:val="center"/>
              <w:rPr>
                <w:b/>
                <w:sz w:val="21"/>
              </w:rPr>
            </w:pPr>
            <w:r>
              <w:rPr>
                <w:b/>
                <w:sz w:val="21"/>
              </w:rPr>
              <w:t>排放形式</w:t>
            </w:r>
          </w:p>
        </w:tc>
        <w:tc>
          <w:tcPr>
            <w:tcW w:w="1878" w:type="dxa"/>
            <w:vMerge w:val="restart"/>
          </w:tcPr>
          <w:p>
            <w:pPr>
              <w:pStyle w:val="19"/>
              <w:spacing w:before="12"/>
              <w:jc w:val="center"/>
              <w:rPr>
                <w:b/>
                <w:sz w:val="16"/>
              </w:rPr>
            </w:pPr>
          </w:p>
          <w:p>
            <w:pPr>
              <w:pStyle w:val="19"/>
              <w:spacing w:line="213" w:lineRule="auto"/>
              <w:ind w:left="624" w:right="187" w:hanging="420"/>
              <w:jc w:val="center"/>
              <w:rPr>
                <w:b/>
                <w:sz w:val="21"/>
              </w:rPr>
            </w:pPr>
            <w:r>
              <w:rPr>
                <w:b/>
                <w:sz w:val="21"/>
              </w:rPr>
              <w:t>拟采取的环境保护措施</w:t>
            </w:r>
          </w:p>
        </w:tc>
        <w:tc>
          <w:tcPr>
            <w:tcW w:w="1156" w:type="dxa"/>
            <w:vMerge w:val="restart"/>
          </w:tcPr>
          <w:p>
            <w:pPr>
              <w:pStyle w:val="19"/>
              <w:spacing w:before="1"/>
              <w:jc w:val="center"/>
              <w:rPr>
                <w:b/>
                <w:sz w:val="15"/>
              </w:rPr>
            </w:pPr>
          </w:p>
          <w:p>
            <w:pPr>
              <w:pStyle w:val="19"/>
              <w:spacing w:before="1" w:line="255" w:lineRule="exact"/>
              <w:ind w:left="196"/>
              <w:jc w:val="center"/>
              <w:rPr>
                <w:b/>
                <w:sz w:val="21"/>
              </w:rPr>
            </w:pPr>
            <w:r>
              <w:rPr>
                <w:b/>
                <w:sz w:val="21"/>
              </w:rPr>
              <w:t>排放浓度</w:t>
            </w:r>
          </w:p>
          <w:p>
            <w:pPr>
              <w:pStyle w:val="19"/>
              <w:spacing w:line="255" w:lineRule="exact"/>
              <w:ind w:left="126"/>
              <w:jc w:val="center"/>
              <w:rPr>
                <w:b/>
                <w:sz w:val="21"/>
              </w:rPr>
            </w:pPr>
            <w:r>
              <w:rPr>
                <w:b/>
                <w:w w:val="95"/>
                <w:sz w:val="21"/>
              </w:rPr>
              <w:t>（</w:t>
            </w:r>
            <w:r>
              <w:rPr>
                <w:rFonts w:ascii="Times New Roman" w:eastAsia="Times New Roman"/>
                <w:b/>
                <w:w w:val="95"/>
                <w:sz w:val="21"/>
              </w:rPr>
              <w:t>mg/m</w:t>
            </w:r>
            <w:r>
              <w:rPr>
                <w:rFonts w:ascii="Times New Roman" w:eastAsia="Times New Roman"/>
                <w:b/>
                <w:w w:val="95"/>
                <w:position w:val="7"/>
                <w:sz w:val="13"/>
              </w:rPr>
              <w:t>3</w:t>
            </w:r>
            <w:r>
              <w:rPr>
                <w:b/>
                <w:w w:val="95"/>
                <w:sz w:val="21"/>
              </w:rPr>
              <w:t>）</w:t>
            </w:r>
          </w:p>
        </w:tc>
        <w:tc>
          <w:tcPr>
            <w:tcW w:w="1000" w:type="dxa"/>
            <w:vMerge w:val="restart"/>
          </w:tcPr>
          <w:p>
            <w:pPr>
              <w:pStyle w:val="19"/>
              <w:spacing w:before="1"/>
              <w:jc w:val="center"/>
              <w:rPr>
                <w:b/>
                <w:sz w:val="15"/>
              </w:rPr>
            </w:pPr>
          </w:p>
          <w:p>
            <w:pPr>
              <w:pStyle w:val="19"/>
              <w:spacing w:before="1" w:line="255" w:lineRule="exact"/>
              <w:ind w:left="117"/>
              <w:jc w:val="center"/>
              <w:rPr>
                <w:b/>
                <w:sz w:val="21"/>
              </w:rPr>
            </w:pPr>
            <w:r>
              <w:rPr>
                <w:b/>
                <w:w w:val="95"/>
                <w:sz w:val="21"/>
              </w:rPr>
              <w:t>排放速率</w:t>
            </w:r>
          </w:p>
          <w:p>
            <w:pPr>
              <w:pStyle w:val="19"/>
              <w:spacing w:line="255" w:lineRule="exact"/>
              <w:ind w:left="108"/>
              <w:jc w:val="center"/>
              <w:rPr>
                <w:b/>
                <w:sz w:val="21"/>
              </w:rPr>
            </w:pPr>
            <w:r>
              <w:rPr>
                <w:b/>
                <w:sz w:val="21"/>
              </w:rPr>
              <w:t>（</w:t>
            </w:r>
            <w:r>
              <w:rPr>
                <w:rFonts w:ascii="Times New Roman" w:eastAsia="Times New Roman"/>
                <w:b/>
                <w:sz w:val="21"/>
              </w:rPr>
              <w:t>kg/h</w:t>
            </w:r>
            <w:r>
              <w:rPr>
                <w:b/>
                <w:sz w:val="21"/>
              </w:rPr>
              <w:t>）</w:t>
            </w:r>
          </w:p>
        </w:tc>
        <w:tc>
          <w:tcPr>
            <w:tcW w:w="1016" w:type="dxa"/>
            <w:vMerge w:val="restart"/>
          </w:tcPr>
          <w:p>
            <w:pPr>
              <w:pStyle w:val="19"/>
              <w:spacing w:before="1"/>
              <w:jc w:val="center"/>
              <w:rPr>
                <w:b/>
                <w:sz w:val="15"/>
              </w:rPr>
            </w:pPr>
          </w:p>
          <w:p>
            <w:pPr>
              <w:pStyle w:val="19"/>
              <w:spacing w:before="1" w:line="255" w:lineRule="exact"/>
              <w:ind w:left="219"/>
              <w:jc w:val="center"/>
              <w:rPr>
                <w:b/>
                <w:sz w:val="21"/>
              </w:rPr>
            </w:pPr>
            <w:r>
              <w:rPr>
                <w:b/>
                <w:w w:val="85"/>
                <w:sz w:val="21"/>
              </w:rPr>
              <w:t>排放量</w:t>
            </w:r>
          </w:p>
          <w:p>
            <w:pPr>
              <w:pStyle w:val="19"/>
              <w:spacing w:line="255" w:lineRule="exact"/>
              <w:ind w:left="214"/>
              <w:jc w:val="center"/>
              <w:rPr>
                <w:b/>
                <w:sz w:val="21"/>
              </w:rPr>
            </w:pPr>
            <w:r>
              <w:rPr>
                <w:b/>
                <w:sz w:val="21"/>
              </w:rPr>
              <w:t>（</w:t>
            </w:r>
            <w:r>
              <w:rPr>
                <w:rFonts w:ascii="Times New Roman" w:eastAsia="Times New Roman"/>
                <w:b/>
                <w:sz w:val="21"/>
              </w:rPr>
              <w:t>t/a</w:t>
            </w:r>
            <w:r>
              <w:rPr>
                <w:b/>
                <w:sz w:val="21"/>
              </w:rPr>
              <w:t>）</w:t>
            </w:r>
          </w:p>
        </w:tc>
        <w:tc>
          <w:tcPr>
            <w:tcW w:w="2067" w:type="dxa"/>
            <w:gridSpan w:val="2"/>
          </w:tcPr>
          <w:p>
            <w:pPr>
              <w:pStyle w:val="19"/>
              <w:spacing w:before="33"/>
              <w:ind w:left="612"/>
              <w:jc w:val="center"/>
              <w:rPr>
                <w:b/>
                <w:sz w:val="21"/>
              </w:rPr>
            </w:pPr>
            <w:r>
              <w:rPr>
                <w:b/>
                <w:sz w:val="21"/>
              </w:rPr>
              <w:t>排放标准</w:t>
            </w:r>
          </w:p>
        </w:tc>
        <w:tc>
          <w:tcPr>
            <w:tcW w:w="2590" w:type="dxa"/>
            <w:vMerge w:val="restart"/>
          </w:tcPr>
          <w:p>
            <w:pPr>
              <w:pStyle w:val="19"/>
              <w:spacing w:before="6"/>
              <w:jc w:val="center"/>
              <w:rPr>
                <w:b/>
                <w:sz w:val="24"/>
              </w:rPr>
            </w:pPr>
          </w:p>
          <w:p>
            <w:pPr>
              <w:pStyle w:val="19"/>
              <w:ind w:left="119" w:right="105"/>
              <w:jc w:val="center"/>
              <w:rPr>
                <w:b/>
                <w:sz w:val="21"/>
              </w:rPr>
            </w:pPr>
            <w:r>
              <w:rPr>
                <w:b/>
                <w:sz w:val="21"/>
              </w:rPr>
              <w:t>执行标准</w:t>
            </w:r>
          </w:p>
        </w:tc>
        <w:tc>
          <w:tcPr>
            <w:tcW w:w="1023" w:type="dxa"/>
            <w:vMerge w:val="restart"/>
          </w:tcPr>
          <w:p>
            <w:pPr>
              <w:pStyle w:val="19"/>
              <w:spacing w:before="12"/>
              <w:jc w:val="center"/>
              <w:rPr>
                <w:b/>
                <w:sz w:val="16"/>
              </w:rPr>
            </w:pPr>
          </w:p>
          <w:p>
            <w:pPr>
              <w:pStyle w:val="19"/>
              <w:spacing w:line="213" w:lineRule="auto"/>
              <w:ind w:left="128" w:right="120"/>
              <w:jc w:val="center"/>
              <w:rPr>
                <w:b/>
                <w:sz w:val="21"/>
              </w:rPr>
            </w:pPr>
            <w:r>
              <w:rPr>
                <w:b/>
                <w:w w:val="90"/>
                <w:sz w:val="21"/>
              </w:rPr>
              <w:t>环境风险防范措施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639" w:type="dxa"/>
            <w:vMerge w:val="continue"/>
            <w:tcBorders>
              <w:top w:val="nil"/>
            </w:tcBorders>
          </w:tcPr>
          <w:p>
            <w:pPr>
              <w:jc w:val="center"/>
              <w:rPr>
                <w:sz w:val="2"/>
                <w:szCs w:val="2"/>
              </w:rPr>
            </w:pPr>
          </w:p>
        </w:tc>
        <w:tc>
          <w:tcPr>
            <w:tcW w:w="1066" w:type="dxa"/>
            <w:vMerge w:val="continue"/>
            <w:tcBorders>
              <w:top w:val="nil"/>
            </w:tcBorders>
          </w:tcPr>
          <w:p>
            <w:pPr>
              <w:jc w:val="center"/>
              <w:rPr>
                <w:sz w:val="2"/>
                <w:szCs w:val="2"/>
              </w:rPr>
            </w:pPr>
          </w:p>
        </w:tc>
        <w:tc>
          <w:tcPr>
            <w:tcW w:w="1100" w:type="dxa"/>
            <w:vMerge w:val="continue"/>
            <w:tcBorders>
              <w:top w:val="nil"/>
            </w:tcBorders>
          </w:tcPr>
          <w:p>
            <w:pPr>
              <w:jc w:val="center"/>
              <w:rPr>
                <w:sz w:val="2"/>
                <w:szCs w:val="2"/>
              </w:rPr>
            </w:pPr>
          </w:p>
        </w:tc>
        <w:tc>
          <w:tcPr>
            <w:tcW w:w="650" w:type="dxa"/>
            <w:vMerge w:val="continue"/>
            <w:tcBorders>
              <w:top w:val="nil"/>
            </w:tcBorders>
          </w:tcPr>
          <w:p>
            <w:pPr>
              <w:jc w:val="center"/>
              <w:rPr>
                <w:sz w:val="2"/>
                <w:szCs w:val="2"/>
              </w:rPr>
            </w:pPr>
          </w:p>
        </w:tc>
        <w:tc>
          <w:tcPr>
            <w:tcW w:w="1878" w:type="dxa"/>
            <w:vMerge w:val="continue"/>
            <w:tcBorders>
              <w:top w:val="nil"/>
            </w:tcBorders>
          </w:tcPr>
          <w:p>
            <w:pPr>
              <w:jc w:val="center"/>
              <w:rPr>
                <w:sz w:val="2"/>
                <w:szCs w:val="2"/>
              </w:rPr>
            </w:pPr>
          </w:p>
        </w:tc>
        <w:tc>
          <w:tcPr>
            <w:tcW w:w="1156" w:type="dxa"/>
            <w:vMerge w:val="continue"/>
            <w:tcBorders>
              <w:top w:val="nil"/>
            </w:tcBorders>
          </w:tcPr>
          <w:p>
            <w:pPr>
              <w:jc w:val="center"/>
              <w:rPr>
                <w:sz w:val="2"/>
                <w:szCs w:val="2"/>
              </w:rPr>
            </w:pPr>
          </w:p>
        </w:tc>
        <w:tc>
          <w:tcPr>
            <w:tcW w:w="1000" w:type="dxa"/>
            <w:vMerge w:val="continue"/>
            <w:tcBorders>
              <w:top w:val="nil"/>
            </w:tcBorders>
          </w:tcPr>
          <w:p>
            <w:pPr>
              <w:jc w:val="center"/>
              <w:rPr>
                <w:sz w:val="2"/>
                <w:szCs w:val="2"/>
              </w:rPr>
            </w:pPr>
          </w:p>
        </w:tc>
        <w:tc>
          <w:tcPr>
            <w:tcW w:w="1016" w:type="dxa"/>
            <w:vMerge w:val="continue"/>
            <w:tcBorders>
              <w:top w:val="nil"/>
            </w:tcBorders>
          </w:tcPr>
          <w:p>
            <w:pPr>
              <w:jc w:val="center"/>
              <w:rPr>
                <w:sz w:val="2"/>
                <w:szCs w:val="2"/>
              </w:rPr>
            </w:pPr>
          </w:p>
        </w:tc>
        <w:tc>
          <w:tcPr>
            <w:tcW w:w="1050" w:type="dxa"/>
          </w:tcPr>
          <w:p>
            <w:pPr>
              <w:pStyle w:val="19"/>
              <w:spacing w:before="19" w:line="255" w:lineRule="exact"/>
              <w:ind w:left="19" w:right="11"/>
              <w:jc w:val="center"/>
              <w:rPr>
                <w:b/>
                <w:sz w:val="21"/>
              </w:rPr>
            </w:pPr>
            <w:r>
              <w:rPr>
                <w:b/>
                <w:sz w:val="21"/>
              </w:rPr>
              <w:t>浓度</w:t>
            </w:r>
          </w:p>
          <w:p>
            <w:pPr>
              <w:pStyle w:val="19"/>
              <w:spacing w:line="255" w:lineRule="exact"/>
              <w:ind w:left="88" w:right="11"/>
              <w:jc w:val="center"/>
              <w:rPr>
                <w:b/>
                <w:sz w:val="21"/>
              </w:rPr>
            </w:pPr>
            <w:r>
              <w:rPr>
                <w:b/>
                <w:w w:val="90"/>
                <w:sz w:val="21"/>
              </w:rPr>
              <w:t>（</w:t>
            </w:r>
            <w:r>
              <w:rPr>
                <w:rFonts w:ascii="Times New Roman" w:eastAsia="Times New Roman"/>
                <w:b/>
                <w:w w:val="90"/>
                <w:sz w:val="21"/>
              </w:rPr>
              <w:t>mg/m</w:t>
            </w:r>
            <w:r>
              <w:rPr>
                <w:rFonts w:ascii="Times New Roman" w:eastAsia="Times New Roman"/>
                <w:b/>
                <w:w w:val="90"/>
                <w:position w:val="7"/>
                <w:sz w:val="13"/>
              </w:rPr>
              <w:t>3</w:t>
            </w:r>
            <w:r>
              <w:rPr>
                <w:b/>
                <w:w w:val="90"/>
                <w:sz w:val="21"/>
              </w:rPr>
              <w:t>）</w:t>
            </w:r>
          </w:p>
        </w:tc>
        <w:tc>
          <w:tcPr>
            <w:tcW w:w="1017" w:type="dxa"/>
          </w:tcPr>
          <w:p>
            <w:pPr>
              <w:pStyle w:val="19"/>
              <w:spacing w:before="19" w:line="255" w:lineRule="exact"/>
              <w:ind w:left="66" w:right="60"/>
              <w:jc w:val="center"/>
              <w:rPr>
                <w:b/>
                <w:sz w:val="21"/>
              </w:rPr>
            </w:pPr>
            <w:r>
              <w:rPr>
                <w:b/>
                <w:sz w:val="21"/>
              </w:rPr>
              <w:t>速率</w:t>
            </w:r>
          </w:p>
          <w:p>
            <w:pPr>
              <w:pStyle w:val="19"/>
              <w:spacing w:line="255" w:lineRule="exact"/>
              <w:ind w:left="88" w:right="60"/>
              <w:jc w:val="center"/>
              <w:rPr>
                <w:b/>
                <w:sz w:val="21"/>
              </w:rPr>
            </w:pPr>
            <w:r>
              <w:rPr>
                <w:b/>
                <w:sz w:val="21"/>
              </w:rPr>
              <w:t>（</w:t>
            </w:r>
            <w:r>
              <w:rPr>
                <w:rFonts w:ascii="Times New Roman" w:eastAsia="Times New Roman"/>
                <w:b/>
                <w:sz w:val="21"/>
              </w:rPr>
              <w:t>kg/h</w:t>
            </w:r>
            <w:r>
              <w:rPr>
                <w:b/>
                <w:sz w:val="21"/>
              </w:rPr>
              <w:t>）</w:t>
            </w:r>
          </w:p>
        </w:tc>
        <w:tc>
          <w:tcPr>
            <w:tcW w:w="2590" w:type="dxa"/>
            <w:vMerge w:val="continue"/>
            <w:tcBorders>
              <w:top w:val="nil"/>
            </w:tcBorders>
          </w:tcPr>
          <w:p>
            <w:pPr>
              <w:jc w:val="center"/>
              <w:rPr>
                <w:sz w:val="2"/>
                <w:szCs w:val="2"/>
              </w:rPr>
            </w:pP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 w:hRule="atLeast"/>
        </w:trPr>
        <w:tc>
          <w:tcPr>
            <w:tcW w:w="639" w:type="dxa"/>
            <w:tcBorders>
              <w:bottom w:val="nil"/>
            </w:tcBorders>
          </w:tcPr>
          <w:p>
            <w:pPr>
              <w:pStyle w:val="19"/>
              <w:jc w:val="center"/>
              <w:rPr>
                <w:rFonts w:ascii="Times New Roman"/>
                <w:sz w:val="16"/>
              </w:rPr>
            </w:pPr>
          </w:p>
        </w:tc>
        <w:tc>
          <w:tcPr>
            <w:tcW w:w="1066" w:type="dxa"/>
            <w:vMerge w:val="restart"/>
          </w:tcPr>
          <w:p>
            <w:pPr>
              <w:pStyle w:val="19"/>
              <w:keepNext w:val="0"/>
              <w:keepLines w:val="0"/>
              <w:pageBreakBefore w:val="0"/>
              <w:widowControl w:val="0"/>
              <w:kinsoku/>
              <w:wordWrap/>
              <w:overflowPunct/>
              <w:topLinePunct w:val="0"/>
              <w:autoSpaceDE w:val="0"/>
              <w:autoSpaceDN w:val="0"/>
              <w:bidi w:val="0"/>
              <w:adjustRightInd/>
              <w:snapToGrid/>
              <w:spacing w:before="0" w:beforeLines="100" w:after="0" w:afterLines="100" w:line="198" w:lineRule="exact"/>
              <w:ind w:left="108"/>
              <w:jc w:val="center"/>
              <w:textAlignment w:val="auto"/>
              <w:rPr>
                <w:sz w:val="21"/>
              </w:rPr>
            </w:pPr>
            <w:r>
              <w:rPr>
                <w:sz w:val="21"/>
              </w:rPr>
              <w:t>羊舍、堆</w:t>
            </w:r>
          </w:p>
        </w:tc>
        <w:tc>
          <w:tcPr>
            <w:tcW w:w="1100" w:type="dxa"/>
            <w:vMerge w:val="restart"/>
          </w:tcPr>
          <w:p>
            <w:pPr>
              <w:pStyle w:val="19"/>
              <w:spacing w:before="42"/>
              <w:ind w:left="363"/>
              <w:jc w:val="both"/>
              <w:rPr>
                <w:rFonts w:ascii="Times New Roman"/>
                <w:sz w:val="21"/>
              </w:rPr>
            </w:pPr>
            <w:r>
              <w:rPr>
                <w:rFonts w:ascii="Times New Roman"/>
                <w:position w:val="2"/>
                <w:sz w:val="21"/>
              </w:rPr>
              <w:t>NH</w:t>
            </w:r>
            <w:r>
              <w:rPr>
                <w:rFonts w:ascii="Times New Roman"/>
                <w:position w:val="2"/>
                <w:sz w:val="21"/>
                <w:vertAlign w:val="subscript"/>
              </w:rPr>
              <w:t>3</w:t>
            </w:r>
          </w:p>
        </w:tc>
        <w:tc>
          <w:tcPr>
            <w:tcW w:w="650" w:type="dxa"/>
            <w:tcBorders>
              <w:bottom w:val="nil"/>
            </w:tcBorders>
          </w:tcPr>
          <w:p>
            <w:pPr>
              <w:pStyle w:val="19"/>
              <w:jc w:val="center"/>
              <w:rPr>
                <w:rFonts w:ascii="Times New Roman"/>
                <w:sz w:val="16"/>
              </w:rPr>
            </w:pPr>
          </w:p>
        </w:tc>
        <w:tc>
          <w:tcPr>
            <w:tcW w:w="1878" w:type="dxa"/>
            <w:tcBorders>
              <w:bottom w:val="nil"/>
            </w:tcBorders>
          </w:tcPr>
          <w:p>
            <w:pPr>
              <w:pStyle w:val="19"/>
              <w:spacing w:line="222" w:lineRule="exact"/>
              <w:ind w:left="108"/>
              <w:jc w:val="center"/>
              <w:rPr>
                <w:sz w:val="21"/>
              </w:rPr>
            </w:pPr>
            <w:r>
              <w:rPr>
                <w:sz w:val="21"/>
              </w:rPr>
              <w:t>及时清粪、通风换</w:t>
            </w:r>
          </w:p>
        </w:tc>
        <w:tc>
          <w:tcPr>
            <w:tcW w:w="1156" w:type="dxa"/>
            <w:vMerge w:val="restart"/>
          </w:tcPr>
          <w:p>
            <w:pPr>
              <w:pStyle w:val="19"/>
              <w:spacing w:before="31"/>
              <w:ind w:left="7"/>
              <w:jc w:val="center"/>
              <w:rPr>
                <w:sz w:val="21"/>
              </w:rPr>
            </w:pPr>
            <w:r>
              <w:rPr>
                <w:w w:val="99"/>
                <w:sz w:val="21"/>
              </w:rPr>
              <w:t>—</w:t>
            </w:r>
          </w:p>
        </w:tc>
        <w:tc>
          <w:tcPr>
            <w:tcW w:w="1000" w:type="dxa"/>
            <w:vMerge w:val="restart"/>
          </w:tcPr>
          <w:p>
            <w:pPr>
              <w:pStyle w:val="19"/>
              <w:spacing w:before="31"/>
              <w:ind w:left="6"/>
              <w:jc w:val="center"/>
              <w:rPr>
                <w:sz w:val="21"/>
              </w:rPr>
            </w:pPr>
            <w:r>
              <w:rPr>
                <w:w w:val="99"/>
                <w:sz w:val="21"/>
              </w:rPr>
              <w:t>—</w:t>
            </w:r>
          </w:p>
        </w:tc>
        <w:tc>
          <w:tcPr>
            <w:tcW w:w="1016" w:type="dxa"/>
            <w:vMerge w:val="restart"/>
          </w:tcPr>
          <w:p>
            <w:pPr>
              <w:pStyle w:val="19"/>
              <w:spacing w:before="45"/>
              <w:ind w:left="272"/>
              <w:jc w:val="center"/>
              <w:rPr>
                <w:rFonts w:ascii="Times New Roman"/>
                <w:sz w:val="21"/>
              </w:rPr>
            </w:pPr>
            <w:r>
              <w:rPr>
                <w:rFonts w:ascii="Times New Roman"/>
                <w:sz w:val="21"/>
              </w:rPr>
              <w:t>0.291</w:t>
            </w:r>
          </w:p>
        </w:tc>
        <w:tc>
          <w:tcPr>
            <w:tcW w:w="1050" w:type="dxa"/>
            <w:vMerge w:val="restart"/>
          </w:tcPr>
          <w:p>
            <w:pPr>
              <w:pStyle w:val="19"/>
              <w:spacing w:before="45"/>
              <w:ind w:left="21" w:right="11"/>
              <w:jc w:val="center"/>
              <w:rPr>
                <w:rFonts w:ascii="Times New Roman"/>
                <w:sz w:val="21"/>
              </w:rPr>
            </w:pPr>
            <w:r>
              <w:rPr>
                <w:rFonts w:ascii="Times New Roman"/>
                <w:sz w:val="21"/>
              </w:rPr>
              <w:t>1.5</w:t>
            </w:r>
          </w:p>
        </w:tc>
        <w:tc>
          <w:tcPr>
            <w:tcW w:w="1017" w:type="dxa"/>
            <w:vMerge w:val="restart"/>
          </w:tcPr>
          <w:p>
            <w:pPr>
              <w:pStyle w:val="19"/>
              <w:spacing w:before="31"/>
              <w:ind w:left="6"/>
              <w:jc w:val="both"/>
              <w:rPr>
                <w:sz w:val="21"/>
              </w:rPr>
            </w:pPr>
            <w:r>
              <w:rPr>
                <w:w w:val="99"/>
                <w:sz w:val="21"/>
              </w:rPr>
              <w:t>—</w:t>
            </w:r>
          </w:p>
        </w:tc>
        <w:tc>
          <w:tcPr>
            <w:tcW w:w="2590" w:type="dxa"/>
            <w:tcBorders>
              <w:bottom w:val="nil"/>
            </w:tcBorders>
          </w:tcPr>
          <w:p>
            <w:pPr>
              <w:pStyle w:val="19"/>
              <w:spacing w:line="222" w:lineRule="exact"/>
              <w:ind w:left="107"/>
              <w:jc w:val="center"/>
              <w:rPr>
                <w:rFonts w:ascii="Times New Roman" w:eastAsia="Times New Roman"/>
                <w:sz w:val="21"/>
              </w:rPr>
            </w:pPr>
            <w:r>
              <w:rPr>
                <w:spacing w:val="-7"/>
                <w:position w:val="2"/>
                <w:sz w:val="21"/>
              </w:rPr>
              <w:t>无组织排放源中</w:t>
            </w:r>
            <w:r>
              <w:rPr>
                <w:rFonts w:ascii="Times New Roman" w:eastAsia="Times New Roman"/>
                <w:position w:val="2"/>
                <w:sz w:val="21"/>
              </w:rPr>
              <w:t>NH</w:t>
            </w:r>
            <w:r>
              <w:rPr>
                <w:rFonts w:ascii="Times New Roman" w:eastAsia="Times New Roman"/>
                <w:position w:val="2"/>
                <w:sz w:val="21"/>
                <w:vertAlign w:val="subscript"/>
              </w:rPr>
              <w:t>3</w:t>
            </w:r>
            <w:r>
              <w:rPr>
                <w:spacing w:val="-65"/>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p>
        </w:tc>
        <w:tc>
          <w:tcPr>
            <w:tcW w:w="1023" w:type="dxa"/>
            <w:vMerge w:val="restart"/>
          </w:tcPr>
          <w:p>
            <w:pPr>
              <w:pStyle w:val="19"/>
              <w:spacing w:before="6"/>
              <w:jc w:val="center"/>
              <w:rPr>
                <w:b/>
                <w:sz w:val="14"/>
              </w:rPr>
            </w:pPr>
          </w:p>
          <w:p>
            <w:pPr>
              <w:pStyle w:val="19"/>
              <w:spacing w:before="1" w:line="213" w:lineRule="auto"/>
              <w:ind w:left="107" w:right="99"/>
              <w:jc w:val="center"/>
              <w:rPr>
                <w:sz w:val="21"/>
              </w:rPr>
            </w:pPr>
            <w:r>
              <w:rPr>
                <w:sz w:val="21"/>
              </w:rPr>
              <w:t>加强管</w:t>
            </w:r>
            <w:r>
              <w:rPr>
                <w:spacing w:val="-13"/>
                <w:sz w:val="21"/>
              </w:rPr>
              <w:t>理，保障</w:t>
            </w:r>
            <w:r>
              <w:rPr>
                <w:sz w:val="21"/>
              </w:rPr>
              <w:t>污染防治设施稳定运行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9" w:type="dxa"/>
            <w:vMerge w:val="restart"/>
            <w:tcBorders>
              <w:top w:val="nil"/>
              <w:bottom w:val="nil"/>
            </w:tcBorders>
          </w:tcPr>
          <w:p>
            <w:pPr>
              <w:pStyle w:val="19"/>
              <w:jc w:val="center"/>
              <w:rPr>
                <w:rFonts w:ascii="Times New Roman"/>
                <w:sz w:val="14"/>
              </w:rPr>
            </w:pPr>
          </w:p>
        </w:tc>
        <w:tc>
          <w:tcPr>
            <w:tcW w:w="1066" w:type="dxa"/>
            <w:vMerge w:val="continue"/>
          </w:tcPr>
          <w:p>
            <w:pPr>
              <w:pStyle w:val="19"/>
              <w:spacing w:line="198" w:lineRule="exact"/>
              <w:ind w:left="107"/>
              <w:jc w:val="center"/>
              <w:rPr>
                <w:sz w:val="21"/>
              </w:rPr>
            </w:pPr>
          </w:p>
        </w:tc>
        <w:tc>
          <w:tcPr>
            <w:tcW w:w="1100" w:type="dxa"/>
            <w:vMerge w:val="continue"/>
            <w:tcBorders>
              <w:top w:val="nil"/>
            </w:tcBorders>
          </w:tcPr>
          <w:p>
            <w:pPr>
              <w:jc w:val="center"/>
              <w:rPr>
                <w:sz w:val="2"/>
                <w:szCs w:val="2"/>
              </w:rPr>
            </w:pPr>
          </w:p>
        </w:tc>
        <w:tc>
          <w:tcPr>
            <w:tcW w:w="650" w:type="dxa"/>
            <w:vMerge w:val="restart"/>
            <w:tcBorders>
              <w:top w:val="nil"/>
              <w:bottom w:val="nil"/>
            </w:tcBorders>
          </w:tcPr>
          <w:p>
            <w:pPr>
              <w:pStyle w:val="19"/>
              <w:spacing w:line="198" w:lineRule="exact"/>
              <w:ind w:left="115"/>
              <w:jc w:val="center"/>
              <w:rPr>
                <w:sz w:val="21"/>
              </w:rPr>
            </w:pPr>
            <w:r>
              <w:rPr>
                <w:sz w:val="21"/>
              </w:rPr>
              <w:t>无组</w:t>
            </w:r>
          </w:p>
        </w:tc>
        <w:tc>
          <w:tcPr>
            <w:tcW w:w="1878" w:type="dxa"/>
            <w:vMerge w:val="restart"/>
            <w:tcBorders>
              <w:top w:val="nil"/>
              <w:bottom w:val="nil"/>
            </w:tcBorders>
          </w:tcPr>
          <w:p>
            <w:pPr>
              <w:pStyle w:val="19"/>
              <w:spacing w:line="198" w:lineRule="exact"/>
              <w:ind w:left="108"/>
              <w:jc w:val="center"/>
              <w:rPr>
                <w:sz w:val="21"/>
              </w:rPr>
            </w:pPr>
            <w:r>
              <w:rPr>
                <w:sz w:val="21"/>
              </w:rPr>
              <w:t>气、喷洒除臭剂、</w:t>
            </w:r>
          </w:p>
        </w:tc>
        <w:tc>
          <w:tcPr>
            <w:tcW w:w="1156" w:type="dxa"/>
            <w:vMerge w:val="continue"/>
            <w:tcBorders>
              <w:top w:val="nil"/>
            </w:tcBorders>
          </w:tcPr>
          <w:p>
            <w:pPr>
              <w:jc w:val="center"/>
              <w:rPr>
                <w:sz w:val="2"/>
                <w:szCs w:val="2"/>
              </w:rPr>
            </w:pPr>
          </w:p>
        </w:tc>
        <w:tc>
          <w:tcPr>
            <w:tcW w:w="1000" w:type="dxa"/>
            <w:vMerge w:val="continue"/>
            <w:tcBorders>
              <w:top w:val="nil"/>
            </w:tcBorders>
          </w:tcPr>
          <w:p>
            <w:pPr>
              <w:jc w:val="center"/>
              <w:rPr>
                <w:sz w:val="2"/>
                <w:szCs w:val="2"/>
              </w:rPr>
            </w:pPr>
          </w:p>
        </w:tc>
        <w:tc>
          <w:tcPr>
            <w:tcW w:w="1016" w:type="dxa"/>
            <w:vMerge w:val="continue"/>
            <w:tcBorders>
              <w:top w:val="nil"/>
            </w:tcBorders>
          </w:tcPr>
          <w:p>
            <w:pPr>
              <w:jc w:val="center"/>
              <w:rPr>
                <w:sz w:val="2"/>
                <w:szCs w:val="2"/>
              </w:rPr>
            </w:pPr>
          </w:p>
        </w:tc>
        <w:tc>
          <w:tcPr>
            <w:tcW w:w="1050" w:type="dxa"/>
            <w:vMerge w:val="continue"/>
            <w:tcBorders>
              <w:top w:val="nil"/>
            </w:tcBorders>
          </w:tcPr>
          <w:p>
            <w:pPr>
              <w:jc w:val="center"/>
              <w:rPr>
                <w:sz w:val="2"/>
                <w:szCs w:val="2"/>
              </w:rPr>
            </w:pPr>
          </w:p>
        </w:tc>
        <w:tc>
          <w:tcPr>
            <w:tcW w:w="1017" w:type="dxa"/>
            <w:vMerge w:val="continue"/>
            <w:tcBorders>
              <w:top w:val="nil"/>
            </w:tcBorders>
          </w:tcPr>
          <w:p>
            <w:pPr>
              <w:jc w:val="center"/>
              <w:rPr>
                <w:sz w:val="2"/>
                <w:szCs w:val="2"/>
              </w:rPr>
            </w:pPr>
          </w:p>
        </w:tc>
        <w:tc>
          <w:tcPr>
            <w:tcW w:w="2590" w:type="dxa"/>
            <w:vMerge w:val="restart"/>
            <w:tcBorders>
              <w:top w:val="nil"/>
              <w:bottom w:val="nil"/>
            </w:tcBorders>
          </w:tcPr>
          <w:p>
            <w:pPr>
              <w:pStyle w:val="19"/>
              <w:spacing w:line="198" w:lineRule="exact"/>
              <w:ind w:left="107"/>
              <w:jc w:val="center"/>
              <w:rPr>
                <w:sz w:val="21"/>
              </w:rPr>
            </w:pPr>
            <w:r>
              <w:rPr>
                <w:sz w:val="21"/>
              </w:rPr>
              <w:t>厂界排放标准执行《恶臭</w:t>
            </w: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9" w:hRule="atLeast"/>
        </w:trPr>
        <w:tc>
          <w:tcPr>
            <w:tcW w:w="639" w:type="dxa"/>
            <w:vMerge w:val="continue"/>
            <w:tcBorders>
              <w:top w:val="nil"/>
              <w:bottom w:val="nil"/>
            </w:tcBorders>
          </w:tcPr>
          <w:p>
            <w:pPr>
              <w:jc w:val="center"/>
              <w:rPr>
                <w:sz w:val="2"/>
                <w:szCs w:val="2"/>
              </w:rPr>
            </w:pPr>
          </w:p>
        </w:tc>
        <w:tc>
          <w:tcPr>
            <w:tcW w:w="1066" w:type="dxa"/>
            <w:vMerge w:val="continue"/>
            <w:tcBorders>
              <w:bottom w:val="nil"/>
            </w:tcBorders>
          </w:tcPr>
          <w:p>
            <w:pPr>
              <w:jc w:val="center"/>
              <w:rPr>
                <w:sz w:val="2"/>
                <w:szCs w:val="2"/>
              </w:rPr>
            </w:pPr>
          </w:p>
        </w:tc>
        <w:tc>
          <w:tcPr>
            <w:tcW w:w="1100" w:type="dxa"/>
            <w:vMerge w:val="restart"/>
          </w:tcPr>
          <w:p>
            <w:pPr>
              <w:pStyle w:val="19"/>
              <w:spacing w:before="179"/>
              <w:ind w:left="109" w:right="99"/>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650" w:type="dxa"/>
            <w:vMerge w:val="continue"/>
            <w:tcBorders>
              <w:top w:val="nil"/>
              <w:bottom w:val="nil"/>
            </w:tcBorders>
          </w:tcPr>
          <w:p>
            <w:pPr>
              <w:jc w:val="center"/>
              <w:rPr>
                <w:sz w:val="2"/>
                <w:szCs w:val="2"/>
              </w:rPr>
            </w:pPr>
          </w:p>
        </w:tc>
        <w:tc>
          <w:tcPr>
            <w:tcW w:w="1878" w:type="dxa"/>
            <w:vMerge w:val="continue"/>
            <w:tcBorders>
              <w:top w:val="nil"/>
              <w:bottom w:val="nil"/>
            </w:tcBorders>
          </w:tcPr>
          <w:p>
            <w:pPr>
              <w:jc w:val="center"/>
              <w:rPr>
                <w:sz w:val="2"/>
                <w:szCs w:val="2"/>
              </w:rPr>
            </w:pPr>
          </w:p>
        </w:tc>
        <w:tc>
          <w:tcPr>
            <w:tcW w:w="1156" w:type="dxa"/>
            <w:tcBorders>
              <w:bottom w:val="nil"/>
            </w:tcBorders>
          </w:tcPr>
          <w:p>
            <w:pPr>
              <w:pStyle w:val="19"/>
              <w:jc w:val="center"/>
              <w:rPr>
                <w:rFonts w:ascii="Times New Roman"/>
                <w:sz w:val="6"/>
              </w:rPr>
            </w:pPr>
          </w:p>
        </w:tc>
        <w:tc>
          <w:tcPr>
            <w:tcW w:w="1000" w:type="dxa"/>
            <w:tcBorders>
              <w:bottom w:val="nil"/>
            </w:tcBorders>
          </w:tcPr>
          <w:p>
            <w:pPr>
              <w:pStyle w:val="19"/>
              <w:jc w:val="center"/>
              <w:rPr>
                <w:rFonts w:ascii="Times New Roman"/>
                <w:sz w:val="6"/>
              </w:rPr>
            </w:pPr>
          </w:p>
        </w:tc>
        <w:tc>
          <w:tcPr>
            <w:tcW w:w="1016" w:type="dxa"/>
            <w:vMerge w:val="restart"/>
          </w:tcPr>
          <w:p>
            <w:pPr>
              <w:pStyle w:val="19"/>
              <w:spacing w:before="180"/>
              <w:ind w:left="166"/>
              <w:jc w:val="center"/>
              <w:rPr>
                <w:rFonts w:ascii="Times New Roman"/>
                <w:sz w:val="21"/>
              </w:rPr>
            </w:pPr>
            <w:r>
              <w:rPr>
                <w:rFonts w:ascii="Times New Roman"/>
                <w:sz w:val="21"/>
              </w:rPr>
              <w:t>0.00287</w:t>
            </w:r>
          </w:p>
        </w:tc>
        <w:tc>
          <w:tcPr>
            <w:tcW w:w="1050" w:type="dxa"/>
            <w:vMerge w:val="restart"/>
          </w:tcPr>
          <w:p>
            <w:pPr>
              <w:pStyle w:val="19"/>
              <w:spacing w:before="180"/>
              <w:ind w:left="341"/>
              <w:jc w:val="center"/>
              <w:rPr>
                <w:rFonts w:ascii="Times New Roman"/>
                <w:sz w:val="21"/>
              </w:rPr>
            </w:pPr>
            <w:r>
              <w:rPr>
                <w:rFonts w:ascii="Times New Roman"/>
                <w:sz w:val="21"/>
              </w:rPr>
              <w:t>0.06</w:t>
            </w:r>
          </w:p>
        </w:tc>
        <w:tc>
          <w:tcPr>
            <w:tcW w:w="1017" w:type="dxa"/>
            <w:tcBorders>
              <w:bottom w:val="nil"/>
            </w:tcBorders>
          </w:tcPr>
          <w:p>
            <w:pPr>
              <w:pStyle w:val="19"/>
              <w:jc w:val="center"/>
              <w:rPr>
                <w:rFonts w:ascii="Times New Roman"/>
                <w:sz w:val="6"/>
              </w:rPr>
            </w:pPr>
          </w:p>
        </w:tc>
        <w:tc>
          <w:tcPr>
            <w:tcW w:w="2590" w:type="dxa"/>
            <w:vMerge w:val="continue"/>
            <w:tcBorders>
              <w:top w:val="nil"/>
              <w:bottom w:val="nil"/>
            </w:tcBorders>
          </w:tcPr>
          <w:p>
            <w:pPr>
              <w:jc w:val="center"/>
              <w:rPr>
                <w:sz w:val="2"/>
                <w:szCs w:val="2"/>
              </w:rPr>
            </w:pP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39" w:type="dxa"/>
            <w:vMerge w:val="restart"/>
            <w:tcBorders>
              <w:top w:val="nil"/>
              <w:bottom w:val="nil"/>
            </w:tcBorders>
          </w:tcPr>
          <w:p>
            <w:pPr>
              <w:pStyle w:val="19"/>
              <w:spacing w:before="61" w:line="240" w:lineRule="exact"/>
              <w:ind w:left="107" w:right="101"/>
              <w:jc w:val="center"/>
              <w:rPr>
                <w:sz w:val="21"/>
              </w:rPr>
            </w:pPr>
            <w:r>
              <w:rPr>
                <w:sz w:val="21"/>
              </w:rPr>
              <w:t>大气污染</w:t>
            </w:r>
          </w:p>
        </w:tc>
        <w:tc>
          <w:tcPr>
            <w:tcW w:w="1066" w:type="dxa"/>
            <w:tcBorders>
              <w:top w:val="nil"/>
            </w:tcBorders>
          </w:tcPr>
          <w:p>
            <w:pPr>
              <w:pStyle w:val="19"/>
              <w:spacing w:line="252" w:lineRule="exact"/>
              <w:ind w:left="107"/>
              <w:jc w:val="center"/>
              <w:rPr>
                <w:sz w:val="21"/>
              </w:rPr>
            </w:pPr>
            <w:r>
              <w:rPr>
                <w:sz w:val="21"/>
              </w:rPr>
              <w:t>肥厂</w:t>
            </w:r>
          </w:p>
        </w:tc>
        <w:tc>
          <w:tcPr>
            <w:tcW w:w="1100" w:type="dxa"/>
            <w:vMerge w:val="continue"/>
            <w:tcBorders>
              <w:top w:val="nil"/>
            </w:tcBorders>
          </w:tcPr>
          <w:p>
            <w:pPr>
              <w:jc w:val="center"/>
              <w:rPr>
                <w:sz w:val="2"/>
                <w:szCs w:val="2"/>
              </w:rPr>
            </w:pPr>
          </w:p>
        </w:tc>
        <w:tc>
          <w:tcPr>
            <w:tcW w:w="650" w:type="dxa"/>
            <w:tcBorders>
              <w:top w:val="nil"/>
            </w:tcBorders>
          </w:tcPr>
          <w:p>
            <w:pPr>
              <w:pStyle w:val="19"/>
              <w:spacing w:line="252" w:lineRule="exact"/>
              <w:ind w:left="218"/>
              <w:jc w:val="center"/>
              <w:rPr>
                <w:sz w:val="21"/>
              </w:rPr>
            </w:pPr>
            <w:r>
              <w:rPr>
                <w:w w:val="99"/>
                <w:sz w:val="21"/>
              </w:rPr>
              <w:t>织</w:t>
            </w:r>
          </w:p>
        </w:tc>
        <w:tc>
          <w:tcPr>
            <w:tcW w:w="1878" w:type="dxa"/>
            <w:tcBorders>
              <w:top w:val="nil"/>
            </w:tcBorders>
          </w:tcPr>
          <w:p>
            <w:pPr>
              <w:pStyle w:val="19"/>
              <w:spacing w:before="1" w:line="240" w:lineRule="exact"/>
              <w:ind w:left="108" w:right="288"/>
              <w:jc w:val="center"/>
              <w:rPr>
                <w:sz w:val="21"/>
              </w:rPr>
            </w:pPr>
            <w:r>
              <w:rPr>
                <w:sz w:val="21"/>
              </w:rPr>
              <w:t>在畜禽日粮中投放</w:t>
            </w:r>
            <w:r>
              <w:rPr>
                <w:rFonts w:ascii="Times New Roman" w:eastAsia="Times New Roman"/>
                <w:sz w:val="21"/>
              </w:rPr>
              <w:t>EM</w:t>
            </w:r>
            <w:r>
              <w:rPr>
                <w:sz w:val="21"/>
              </w:rPr>
              <w:t>菌剂等</w:t>
            </w:r>
          </w:p>
        </w:tc>
        <w:tc>
          <w:tcPr>
            <w:tcW w:w="1156" w:type="dxa"/>
            <w:tcBorders>
              <w:top w:val="nil"/>
            </w:tcBorders>
          </w:tcPr>
          <w:p>
            <w:pPr>
              <w:pStyle w:val="19"/>
              <w:spacing w:before="36"/>
              <w:ind w:left="7"/>
              <w:jc w:val="center"/>
              <w:rPr>
                <w:sz w:val="21"/>
              </w:rPr>
            </w:pPr>
            <w:r>
              <w:rPr>
                <w:w w:val="99"/>
                <w:sz w:val="21"/>
              </w:rPr>
              <w:t>—</w:t>
            </w:r>
          </w:p>
        </w:tc>
        <w:tc>
          <w:tcPr>
            <w:tcW w:w="1000" w:type="dxa"/>
            <w:tcBorders>
              <w:top w:val="nil"/>
            </w:tcBorders>
          </w:tcPr>
          <w:p>
            <w:pPr>
              <w:pStyle w:val="19"/>
              <w:spacing w:before="36"/>
              <w:ind w:left="6"/>
              <w:jc w:val="center"/>
              <w:rPr>
                <w:sz w:val="21"/>
              </w:rPr>
            </w:pPr>
            <w:r>
              <w:rPr>
                <w:w w:val="99"/>
                <w:sz w:val="21"/>
              </w:rPr>
              <w:t>—</w:t>
            </w:r>
          </w:p>
        </w:tc>
        <w:tc>
          <w:tcPr>
            <w:tcW w:w="1016" w:type="dxa"/>
            <w:vMerge w:val="continue"/>
            <w:tcBorders>
              <w:top w:val="nil"/>
            </w:tcBorders>
          </w:tcPr>
          <w:p>
            <w:pPr>
              <w:jc w:val="center"/>
              <w:rPr>
                <w:sz w:val="2"/>
                <w:szCs w:val="2"/>
              </w:rPr>
            </w:pPr>
          </w:p>
        </w:tc>
        <w:tc>
          <w:tcPr>
            <w:tcW w:w="1050" w:type="dxa"/>
            <w:vMerge w:val="continue"/>
            <w:tcBorders>
              <w:top w:val="nil"/>
            </w:tcBorders>
          </w:tcPr>
          <w:p>
            <w:pPr>
              <w:jc w:val="center"/>
              <w:rPr>
                <w:sz w:val="2"/>
                <w:szCs w:val="2"/>
              </w:rPr>
            </w:pPr>
          </w:p>
        </w:tc>
        <w:tc>
          <w:tcPr>
            <w:tcW w:w="1017" w:type="dxa"/>
            <w:tcBorders>
              <w:top w:val="nil"/>
            </w:tcBorders>
          </w:tcPr>
          <w:p>
            <w:pPr>
              <w:pStyle w:val="19"/>
              <w:spacing w:before="36"/>
              <w:ind w:left="6"/>
              <w:jc w:val="center"/>
              <w:rPr>
                <w:sz w:val="21"/>
              </w:rPr>
            </w:pPr>
            <w:r>
              <w:rPr>
                <w:w w:val="99"/>
                <w:sz w:val="21"/>
              </w:rPr>
              <w:t>—</w:t>
            </w:r>
          </w:p>
        </w:tc>
        <w:tc>
          <w:tcPr>
            <w:tcW w:w="2590" w:type="dxa"/>
            <w:tcBorders>
              <w:top w:val="nil"/>
            </w:tcBorders>
          </w:tcPr>
          <w:p>
            <w:pPr>
              <w:pStyle w:val="19"/>
              <w:spacing w:before="1" w:line="240" w:lineRule="exact"/>
              <w:ind w:left="107" w:right="95"/>
              <w:jc w:val="center"/>
              <w:rPr>
                <w:sz w:val="21"/>
              </w:rPr>
            </w:pPr>
            <w:r>
              <w:rPr>
                <w:sz w:val="21"/>
              </w:rPr>
              <w:t>污染物排放标准》表</w:t>
            </w:r>
            <w:r>
              <w:rPr>
                <w:rFonts w:ascii="Times New Roman" w:eastAsia="Times New Roman"/>
                <w:sz w:val="21"/>
              </w:rPr>
              <w:t>1</w:t>
            </w:r>
            <w:r>
              <w:rPr>
                <w:sz w:val="21"/>
              </w:rPr>
              <w:t>中标准</w:t>
            </w: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 w:hRule="atLeast"/>
        </w:trPr>
        <w:tc>
          <w:tcPr>
            <w:tcW w:w="639" w:type="dxa"/>
            <w:vMerge w:val="continue"/>
            <w:tcBorders>
              <w:top w:val="nil"/>
              <w:bottom w:val="nil"/>
            </w:tcBorders>
          </w:tcPr>
          <w:p>
            <w:pPr>
              <w:jc w:val="center"/>
              <w:rPr>
                <w:sz w:val="2"/>
                <w:szCs w:val="2"/>
              </w:rPr>
            </w:pPr>
          </w:p>
        </w:tc>
        <w:tc>
          <w:tcPr>
            <w:tcW w:w="1066" w:type="dxa"/>
            <w:tcBorders>
              <w:bottom w:val="nil"/>
            </w:tcBorders>
          </w:tcPr>
          <w:p>
            <w:pPr>
              <w:pStyle w:val="19"/>
              <w:jc w:val="center"/>
              <w:rPr>
                <w:rFonts w:ascii="Times New Roman"/>
                <w:sz w:val="2"/>
              </w:rPr>
            </w:pPr>
          </w:p>
        </w:tc>
        <w:tc>
          <w:tcPr>
            <w:tcW w:w="1100" w:type="dxa"/>
            <w:vMerge w:val="restart"/>
          </w:tcPr>
          <w:p>
            <w:pPr>
              <w:pStyle w:val="19"/>
              <w:spacing w:before="43"/>
              <w:ind w:left="363"/>
              <w:jc w:val="both"/>
              <w:rPr>
                <w:rFonts w:ascii="Times New Roman"/>
                <w:sz w:val="21"/>
              </w:rPr>
            </w:pPr>
            <w:r>
              <w:rPr>
                <w:rFonts w:ascii="Times New Roman"/>
                <w:position w:val="2"/>
                <w:sz w:val="21"/>
              </w:rPr>
              <w:t>NH</w:t>
            </w:r>
            <w:r>
              <w:rPr>
                <w:rFonts w:ascii="Times New Roman"/>
                <w:position w:val="2"/>
                <w:sz w:val="21"/>
                <w:vertAlign w:val="subscript"/>
              </w:rPr>
              <w:t>3</w:t>
            </w:r>
          </w:p>
        </w:tc>
        <w:tc>
          <w:tcPr>
            <w:tcW w:w="650" w:type="dxa"/>
            <w:tcBorders>
              <w:bottom w:val="nil"/>
            </w:tcBorders>
          </w:tcPr>
          <w:p>
            <w:pPr>
              <w:pStyle w:val="19"/>
              <w:jc w:val="center"/>
              <w:rPr>
                <w:rFonts w:ascii="Times New Roman"/>
                <w:sz w:val="2"/>
              </w:rPr>
            </w:pPr>
          </w:p>
        </w:tc>
        <w:tc>
          <w:tcPr>
            <w:tcW w:w="1878" w:type="dxa"/>
            <w:tcBorders>
              <w:bottom w:val="nil"/>
            </w:tcBorders>
          </w:tcPr>
          <w:p>
            <w:pPr>
              <w:pStyle w:val="19"/>
              <w:jc w:val="center"/>
              <w:rPr>
                <w:rFonts w:ascii="Times New Roman"/>
                <w:sz w:val="2"/>
              </w:rPr>
            </w:pPr>
          </w:p>
        </w:tc>
        <w:tc>
          <w:tcPr>
            <w:tcW w:w="1156" w:type="dxa"/>
            <w:vMerge w:val="restart"/>
          </w:tcPr>
          <w:p>
            <w:pPr>
              <w:pStyle w:val="19"/>
              <w:spacing w:before="46"/>
              <w:ind w:left="342"/>
              <w:jc w:val="both"/>
              <w:rPr>
                <w:rFonts w:ascii="Times New Roman"/>
                <w:sz w:val="21"/>
              </w:rPr>
            </w:pPr>
            <w:r>
              <w:rPr>
                <w:rFonts w:ascii="Times New Roman"/>
                <w:sz w:val="21"/>
              </w:rPr>
              <w:t>0.625</w:t>
            </w:r>
          </w:p>
        </w:tc>
        <w:tc>
          <w:tcPr>
            <w:tcW w:w="1000" w:type="dxa"/>
            <w:vMerge w:val="restart"/>
          </w:tcPr>
          <w:p>
            <w:pPr>
              <w:pStyle w:val="19"/>
              <w:spacing w:before="46"/>
              <w:ind w:left="158"/>
              <w:jc w:val="both"/>
              <w:rPr>
                <w:rFonts w:ascii="Times New Roman"/>
                <w:sz w:val="21"/>
              </w:rPr>
            </w:pPr>
            <w:r>
              <w:rPr>
                <w:rFonts w:ascii="Times New Roman"/>
                <w:sz w:val="21"/>
              </w:rPr>
              <w:t>0.00125</w:t>
            </w:r>
          </w:p>
        </w:tc>
        <w:tc>
          <w:tcPr>
            <w:tcW w:w="1016" w:type="dxa"/>
            <w:vMerge w:val="restart"/>
          </w:tcPr>
          <w:p>
            <w:pPr>
              <w:pStyle w:val="19"/>
              <w:spacing w:before="46"/>
              <w:ind w:left="166"/>
              <w:jc w:val="both"/>
              <w:rPr>
                <w:rFonts w:ascii="Times New Roman"/>
                <w:sz w:val="21"/>
              </w:rPr>
            </w:pPr>
            <w:r>
              <w:rPr>
                <w:rFonts w:ascii="Times New Roman"/>
                <w:sz w:val="21"/>
              </w:rPr>
              <w:t>0.01095</w:t>
            </w:r>
          </w:p>
        </w:tc>
        <w:tc>
          <w:tcPr>
            <w:tcW w:w="1050" w:type="dxa"/>
            <w:vMerge w:val="restart"/>
          </w:tcPr>
          <w:p>
            <w:pPr>
              <w:pStyle w:val="19"/>
              <w:spacing w:before="32"/>
              <w:ind w:left="9"/>
              <w:jc w:val="both"/>
              <w:rPr>
                <w:sz w:val="21"/>
              </w:rPr>
            </w:pPr>
            <w:r>
              <w:rPr>
                <w:w w:val="99"/>
                <w:sz w:val="21"/>
              </w:rPr>
              <w:t>—</w:t>
            </w:r>
          </w:p>
        </w:tc>
        <w:tc>
          <w:tcPr>
            <w:tcW w:w="1017" w:type="dxa"/>
            <w:vMerge w:val="restart"/>
          </w:tcPr>
          <w:p>
            <w:pPr>
              <w:pStyle w:val="19"/>
              <w:spacing w:before="46"/>
              <w:ind w:left="67" w:right="60"/>
              <w:jc w:val="center"/>
              <w:rPr>
                <w:rFonts w:ascii="Times New Roman"/>
                <w:sz w:val="21"/>
              </w:rPr>
            </w:pPr>
            <w:r>
              <w:rPr>
                <w:rFonts w:ascii="Times New Roman"/>
                <w:sz w:val="21"/>
              </w:rPr>
              <w:t>4.9</w:t>
            </w:r>
          </w:p>
        </w:tc>
        <w:tc>
          <w:tcPr>
            <w:tcW w:w="2590" w:type="dxa"/>
            <w:tcBorders>
              <w:bottom w:val="nil"/>
            </w:tcBorders>
          </w:tcPr>
          <w:p>
            <w:pPr>
              <w:pStyle w:val="19"/>
              <w:jc w:val="center"/>
              <w:rPr>
                <w:rFonts w:ascii="Times New Roman"/>
                <w:sz w:val="2"/>
              </w:rPr>
            </w:pP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39" w:type="dxa"/>
            <w:vMerge w:val="restart"/>
            <w:tcBorders>
              <w:top w:val="nil"/>
            </w:tcBorders>
          </w:tcPr>
          <w:p>
            <w:pPr>
              <w:pStyle w:val="19"/>
              <w:spacing w:line="241" w:lineRule="exact"/>
              <w:ind w:left="213"/>
              <w:jc w:val="center"/>
              <w:rPr>
                <w:sz w:val="21"/>
              </w:rPr>
            </w:pPr>
            <w:r>
              <w:rPr>
                <w:w w:val="99"/>
                <w:sz w:val="21"/>
              </w:rPr>
              <w:t>物</w:t>
            </w:r>
          </w:p>
        </w:tc>
        <w:tc>
          <w:tcPr>
            <w:tcW w:w="1066" w:type="dxa"/>
            <w:vMerge w:val="restart"/>
            <w:tcBorders>
              <w:top w:val="nil"/>
            </w:tcBorders>
          </w:tcPr>
          <w:p>
            <w:pPr>
              <w:pStyle w:val="19"/>
              <w:spacing w:before="120" w:line="213" w:lineRule="auto"/>
              <w:ind w:left="107" w:right="109"/>
              <w:jc w:val="center"/>
              <w:rPr>
                <w:sz w:val="21"/>
              </w:rPr>
            </w:pPr>
            <w:r>
              <w:rPr>
                <w:sz w:val="21"/>
              </w:rPr>
              <w:t>无害化处理车间</w:t>
            </w:r>
          </w:p>
        </w:tc>
        <w:tc>
          <w:tcPr>
            <w:tcW w:w="1100" w:type="dxa"/>
            <w:vMerge w:val="continue"/>
            <w:tcBorders>
              <w:top w:val="nil"/>
            </w:tcBorders>
          </w:tcPr>
          <w:p>
            <w:pPr>
              <w:jc w:val="center"/>
              <w:rPr>
                <w:sz w:val="2"/>
                <w:szCs w:val="2"/>
              </w:rPr>
            </w:pPr>
          </w:p>
        </w:tc>
        <w:tc>
          <w:tcPr>
            <w:tcW w:w="650" w:type="dxa"/>
            <w:vMerge w:val="restart"/>
            <w:tcBorders>
              <w:top w:val="nil"/>
            </w:tcBorders>
          </w:tcPr>
          <w:p>
            <w:pPr>
              <w:pStyle w:val="19"/>
              <w:spacing w:before="120" w:line="213" w:lineRule="auto"/>
              <w:ind w:left="218" w:right="104" w:hanging="104"/>
              <w:jc w:val="center"/>
              <w:rPr>
                <w:sz w:val="21"/>
              </w:rPr>
            </w:pPr>
            <w:r>
              <w:rPr>
                <w:sz w:val="21"/>
              </w:rPr>
              <w:t>有组织</w:t>
            </w:r>
          </w:p>
        </w:tc>
        <w:tc>
          <w:tcPr>
            <w:tcW w:w="1878" w:type="dxa"/>
            <w:vMerge w:val="restart"/>
            <w:tcBorders>
              <w:top w:val="nil"/>
            </w:tcBorders>
          </w:tcPr>
          <w:p>
            <w:pPr>
              <w:pStyle w:val="19"/>
              <w:spacing w:before="120" w:line="213" w:lineRule="auto"/>
              <w:ind w:left="108" w:right="165"/>
              <w:jc w:val="center"/>
              <w:rPr>
                <w:sz w:val="21"/>
              </w:rPr>
            </w:pPr>
            <w:r>
              <w:rPr>
                <w:sz w:val="21"/>
              </w:rPr>
              <w:t>密闭</w:t>
            </w:r>
            <w:r>
              <w:rPr>
                <w:rFonts w:ascii="Times New Roman" w:eastAsia="Times New Roman"/>
                <w:sz w:val="21"/>
              </w:rPr>
              <w:t>+</w:t>
            </w:r>
            <w:r>
              <w:rPr>
                <w:sz w:val="21"/>
              </w:rPr>
              <w:t>光解除臭装置</w:t>
            </w:r>
            <w:r>
              <w:rPr>
                <w:rFonts w:ascii="Times New Roman" w:eastAsia="Times New Roman"/>
                <w:sz w:val="21"/>
              </w:rPr>
              <w:t>+15m</w:t>
            </w:r>
            <w:r>
              <w:rPr>
                <w:sz w:val="21"/>
              </w:rPr>
              <w:t>高排气筒</w:t>
            </w:r>
          </w:p>
        </w:tc>
        <w:tc>
          <w:tcPr>
            <w:tcW w:w="1156" w:type="dxa"/>
            <w:vMerge w:val="continue"/>
            <w:tcBorders>
              <w:top w:val="nil"/>
            </w:tcBorders>
          </w:tcPr>
          <w:p>
            <w:pPr>
              <w:jc w:val="center"/>
              <w:rPr>
                <w:sz w:val="2"/>
                <w:szCs w:val="2"/>
              </w:rPr>
            </w:pPr>
          </w:p>
        </w:tc>
        <w:tc>
          <w:tcPr>
            <w:tcW w:w="1000" w:type="dxa"/>
            <w:vMerge w:val="continue"/>
            <w:tcBorders>
              <w:top w:val="nil"/>
            </w:tcBorders>
          </w:tcPr>
          <w:p>
            <w:pPr>
              <w:jc w:val="center"/>
              <w:rPr>
                <w:sz w:val="2"/>
                <w:szCs w:val="2"/>
              </w:rPr>
            </w:pPr>
          </w:p>
        </w:tc>
        <w:tc>
          <w:tcPr>
            <w:tcW w:w="1016" w:type="dxa"/>
            <w:vMerge w:val="continue"/>
            <w:tcBorders>
              <w:top w:val="nil"/>
            </w:tcBorders>
          </w:tcPr>
          <w:p>
            <w:pPr>
              <w:jc w:val="center"/>
              <w:rPr>
                <w:sz w:val="2"/>
                <w:szCs w:val="2"/>
              </w:rPr>
            </w:pPr>
          </w:p>
        </w:tc>
        <w:tc>
          <w:tcPr>
            <w:tcW w:w="1050" w:type="dxa"/>
            <w:vMerge w:val="continue"/>
            <w:tcBorders>
              <w:top w:val="nil"/>
            </w:tcBorders>
          </w:tcPr>
          <w:p>
            <w:pPr>
              <w:jc w:val="center"/>
              <w:rPr>
                <w:sz w:val="2"/>
                <w:szCs w:val="2"/>
              </w:rPr>
            </w:pPr>
          </w:p>
        </w:tc>
        <w:tc>
          <w:tcPr>
            <w:tcW w:w="1017" w:type="dxa"/>
            <w:vMerge w:val="continue"/>
            <w:tcBorders>
              <w:top w:val="nil"/>
            </w:tcBorders>
          </w:tcPr>
          <w:p>
            <w:pPr>
              <w:jc w:val="center"/>
              <w:rPr>
                <w:sz w:val="2"/>
                <w:szCs w:val="2"/>
              </w:rPr>
            </w:pPr>
          </w:p>
        </w:tc>
        <w:tc>
          <w:tcPr>
            <w:tcW w:w="2590" w:type="dxa"/>
            <w:vMerge w:val="restart"/>
            <w:tcBorders>
              <w:top w:val="nil"/>
            </w:tcBorders>
          </w:tcPr>
          <w:p>
            <w:pPr>
              <w:pStyle w:val="19"/>
              <w:spacing w:before="120" w:line="213" w:lineRule="auto"/>
              <w:ind w:left="107" w:right="161"/>
              <w:jc w:val="center"/>
              <w:rPr>
                <w:sz w:val="21"/>
              </w:rPr>
            </w:pPr>
            <w:r>
              <w:rPr>
                <w:sz w:val="21"/>
              </w:rPr>
              <w:t>排气筒执行《恶臭污染物排放标准》表</w:t>
            </w:r>
            <w:r>
              <w:rPr>
                <w:rFonts w:ascii="Times New Roman" w:eastAsia="Times New Roman"/>
                <w:sz w:val="21"/>
              </w:rPr>
              <w:t>2</w:t>
            </w:r>
            <w:r>
              <w:rPr>
                <w:sz w:val="21"/>
              </w:rPr>
              <w:t>标准</w:t>
            </w: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39" w:type="dxa"/>
            <w:vMerge w:val="continue"/>
            <w:tcBorders>
              <w:top w:val="nil"/>
            </w:tcBorders>
          </w:tcPr>
          <w:p>
            <w:pPr>
              <w:jc w:val="center"/>
              <w:rPr>
                <w:sz w:val="2"/>
                <w:szCs w:val="2"/>
              </w:rPr>
            </w:pPr>
          </w:p>
        </w:tc>
        <w:tc>
          <w:tcPr>
            <w:tcW w:w="1066" w:type="dxa"/>
            <w:vMerge w:val="continue"/>
            <w:tcBorders>
              <w:top w:val="nil"/>
            </w:tcBorders>
          </w:tcPr>
          <w:p>
            <w:pPr>
              <w:jc w:val="center"/>
              <w:rPr>
                <w:sz w:val="2"/>
                <w:szCs w:val="2"/>
              </w:rPr>
            </w:pPr>
          </w:p>
        </w:tc>
        <w:tc>
          <w:tcPr>
            <w:tcW w:w="1100" w:type="dxa"/>
          </w:tcPr>
          <w:p>
            <w:pPr>
              <w:pStyle w:val="19"/>
              <w:spacing w:before="114"/>
              <w:ind w:left="109" w:right="99"/>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650" w:type="dxa"/>
            <w:vMerge w:val="continue"/>
            <w:tcBorders>
              <w:top w:val="nil"/>
            </w:tcBorders>
          </w:tcPr>
          <w:p>
            <w:pPr>
              <w:jc w:val="center"/>
              <w:rPr>
                <w:sz w:val="2"/>
                <w:szCs w:val="2"/>
              </w:rPr>
            </w:pPr>
          </w:p>
        </w:tc>
        <w:tc>
          <w:tcPr>
            <w:tcW w:w="1878" w:type="dxa"/>
            <w:vMerge w:val="continue"/>
            <w:tcBorders>
              <w:top w:val="nil"/>
            </w:tcBorders>
          </w:tcPr>
          <w:p>
            <w:pPr>
              <w:jc w:val="center"/>
              <w:rPr>
                <w:sz w:val="2"/>
                <w:szCs w:val="2"/>
              </w:rPr>
            </w:pPr>
          </w:p>
        </w:tc>
        <w:tc>
          <w:tcPr>
            <w:tcW w:w="1156" w:type="dxa"/>
          </w:tcPr>
          <w:p>
            <w:pPr>
              <w:pStyle w:val="19"/>
              <w:spacing w:before="117"/>
              <w:ind w:left="117" w:right="111"/>
              <w:jc w:val="center"/>
              <w:rPr>
                <w:rFonts w:ascii="Times New Roman"/>
                <w:sz w:val="21"/>
              </w:rPr>
            </w:pPr>
            <w:r>
              <w:rPr>
                <w:rFonts w:ascii="Times New Roman"/>
                <w:sz w:val="21"/>
              </w:rPr>
              <w:t>0.0625</w:t>
            </w:r>
          </w:p>
        </w:tc>
        <w:tc>
          <w:tcPr>
            <w:tcW w:w="1000" w:type="dxa"/>
          </w:tcPr>
          <w:p>
            <w:pPr>
              <w:pStyle w:val="19"/>
              <w:spacing w:line="238" w:lineRule="exact"/>
              <w:ind w:left="138" w:right="128"/>
              <w:jc w:val="center"/>
              <w:rPr>
                <w:rFonts w:ascii="Times New Roman"/>
                <w:sz w:val="21"/>
              </w:rPr>
            </w:pPr>
            <w:r>
              <w:rPr>
                <w:rFonts w:ascii="Times New Roman"/>
                <w:sz w:val="21"/>
              </w:rPr>
              <w:t>0.00012</w:t>
            </w:r>
          </w:p>
          <w:p>
            <w:pPr>
              <w:pStyle w:val="19"/>
              <w:spacing w:line="222" w:lineRule="exact"/>
              <w:ind w:left="8"/>
              <w:jc w:val="center"/>
              <w:rPr>
                <w:rFonts w:ascii="Times New Roman"/>
                <w:sz w:val="21"/>
              </w:rPr>
            </w:pPr>
            <w:r>
              <w:rPr>
                <w:rFonts w:ascii="Times New Roman"/>
                <w:w w:val="99"/>
                <w:sz w:val="21"/>
              </w:rPr>
              <w:t>5</w:t>
            </w:r>
          </w:p>
        </w:tc>
        <w:tc>
          <w:tcPr>
            <w:tcW w:w="1016" w:type="dxa"/>
          </w:tcPr>
          <w:p>
            <w:pPr>
              <w:pStyle w:val="19"/>
              <w:spacing w:before="117"/>
              <w:ind w:left="113"/>
              <w:jc w:val="center"/>
              <w:rPr>
                <w:rFonts w:ascii="Times New Roman"/>
                <w:sz w:val="21"/>
              </w:rPr>
            </w:pPr>
            <w:r>
              <w:rPr>
                <w:rFonts w:ascii="Times New Roman"/>
                <w:sz w:val="21"/>
              </w:rPr>
              <w:t>0.001095</w:t>
            </w:r>
          </w:p>
        </w:tc>
        <w:tc>
          <w:tcPr>
            <w:tcW w:w="1050" w:type="dxa"/>
          </w:tcPr>
          <w:p>
            <w:pPr>
              <w:pStyle w:val="19"/>
              <w:spacing w:before="103"/>
              <w:ind w:left="420"/>
              <w:jc w:val="center"/>
              <w:rPr>
                <w:sz w:val="21"/>
              </w:rPr>
            </w:pPr>
            <w:r>
              <w:rPr>
                <w:w w:val="99"/>
                <w:sz w:val="21"/>
              </w:rPr>
              <w:t>—</w:t>
            </w:r>
          </w:p>
        </w:tc>
        <w:tc>
          <w:tcPr>
            <w:tcW w:w="1017" w:type="dxa"/>
          </w:tcPr>
          <w:p>
            <w:pPr>
              <w:pStyle w:val="19"/>
              <w:spacing w:before="117"/>
              <w:ind w:left="72" w:right="60"/>
              <w:jc w:val="center"/>
              <w:rPr>
                <w:rFonts w:ascii="Times New Roman"/>
                <w:sz w:val="21"/>
              </w:rPr>
            </w:pPr>
            <w:r>
              <w:rPr>
                <w:rFonts w:ascii="Times New Roman"/>
                <w:sz w:val="21"/>
              </w:rPr>
              <w:t>0.33</w:t>
            </w:r>
          </w:p>
        </w:tc>
        <w:tc>
          <w:tcPr>
            <w:tcW w:w="2590" w:type="dxa"/>
            <w:vMerge w:val="continue"/>
            <w:tcBorders>
              <w:top w:val="nil"/>
            </w:tcBorders>
          </w:tcPr>
          <w:p>
            <w:pPr>
              <w:jc w:val="center"/>
              <w:rPr>
                <w:sz w:val="2"/>
                <w:szCs w:val="2"/>
              </w:rPr>
            </w:pP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639" w:type="dxa"/>
            <w:vMerge w:val="restart"/>
          </w:tcPr>
          <w:p>
            <w:pPr>
              <w:pStyle w:val="19"/>
              <w:spacing w:before="5"/>
              <w:jc w:val="center"/>
              <w:rPr>
                <w:b/>
                <w:sz w:val="24"/>
              </w:rPr>
            </w:pPr>
          </w:p>
          <w:p>
            <w:pPr>
              <w:pStyle w:val="19"/>
              <w:spacing w:line="213" w:lineRule="auto"/>
              <w:ind w:left="107" w:right="101"/>
              <w:jc w:val="center"/>
              <w:rPr>
                <w:sz w:val="21"/>
              </w:rPr>
            </w:pPr>
            <w:r>
              <w:rPr>
                <w:sz w:val="21"/>
              </w:rPr>
              <w:t>水污染物</w:t>
            </w:r>
          </w:p>
        </w:tc>
        <w:tc>
          <w:tcPr>
            <w:tcW w:w="1066" w:type="dxa"/>
            <w:vMerge w:val="restart"/>
          </w:tcPr>
          <w:p>
            <w:pPr>
              <w:pStyle w:val="19"/>
              <w:jc w:val="center"/>
              <w:rPr>
                <w:b/>
                <w:sz w:val="15"/>
              </w:rPr>
            </w:pPr>
          </w:p>
          <w:p>
            <w:pPr>
              <w:pStyle w:val="19"/>
              <w:spacing w:before="1" w:line="213" w:lineRule="auto"/>
              <w:ind w:left="107" w:right="109"/>
              <w:jc w:val="center"/>
              <w:rPr>
                <w:sz w:val="21"/>
              </w:rPr>
            </w:pPr>
            <w:r>
              <w:rPr>
                <w:sz w:val="21"/>
              </w:rPr>
              <w:t>无害化处理车间化制废水</w:t>
            </w:r>
          </w:p>
        </w:tc>
        <w:tc>
          <w:tcPr>
            <w:tcW w:w="1100" w:type="dxa"/>
          </w:tcPr>
          <w:p>
            <w:pPr>
              <w:pStyle w:val="19"/>
              <w:spacing w:before="46"/>
              <w:ind w:left="109" w:right="100"/>
              <w:jc w:val="center"/>
              <w:rPr>
                <w:rFonts w:ascii="Times New Roman"/>
                <w:sz w:val="21"/>
              </w:rPr>
            </w:pPr>
            <w:r>
              <w:rPr>
                <w:rFonts w:ascii="Times New Roman"/>
                <w:position w:val="2"/>
                <w:sz w:val="21"/>
              </w:rPr>
              <w:t>COD</w:t>
            </w:r>
            <w:r>
              <w:rPr>
                <w:rFonts w:ascii="Times New Roman"/>
                <w:position w:val="2"/>
                <w:sz w:val="21"/>
                <w:vertAlign w:val="subscript"/>
              </w:rPr>
              <w:t>cr</w:t>
            </w:r>
          </w:p>
        </w:tc>
        <w:tc>
          <w:tcPr>
            <w:tcW w:w="650" w:type="dxa"/>
            <w:vMerge w:val="restart"/>
          </w:tcPr>
          <w:p>
            <w:pPr>
              <w:pStyle w:val="19"/>
              <w:jc w:val="center"/>
              <w:rPr>
                <w:b/>
                <w:sz w:val="20"/>
              </w:rPr>
            </w:pPr>
          </w:p>
          <w:p>
            <w:pPr>
              <w:pStyle w:val="19"/>
              <w:spacing w:before="153"/>
              <w:ind w:left="218"/>
              <w:jc w:val="center"/>
              <w:rPr>
                <w:sz w:val="21"/>
              </w:rPr>
            </w:pPr>
            <w:r>
              <w:rPr>
                <w:w w:val="99"/>
                <w:sz w:val="21"/>
              </w:rPr>
              <w:t>—</w:t>
            </w:r>
          </w:p>
        </w:tc>
        <w:tc>
          <w:tcPr>
            <w:tcW w:w="1878" w:type="dxa"/>
            <w:vMerge w:val="restart"/>
          </w:tcPr>
          <w:p>
            <w:pPr>
              <w:pStyle w:val="19"/>
              <w:spacing w:before="5"/>
              <w:jc w:val="center"/>
              <w:rPr>
                <w:b/>
                <w:sz w:val="24"/>
              </w:rPr>
            </w:pPr>
          </w:p>
          <w:p>
            <w:pPr>
              <w:pStyle w:val="19"/>
              <w:spacing w:line="213" w:lineRule="auto"/>
              <w:ind w:left="108" w:right="288"/>
              <w:jc w:val="center"/>
              <w:rPr>
                <w:sz w:val="21"/>
              </w:rPr>
            </w:pPr>
            <w:r>
              <w:rPr>
                <w:sz w:val="21"/>
              </w:rPr>
              <w:t>清运至</w:t>
            </w:r>
            <w:r>
              <w:rPr>
                <w:rFonts w:hint="eastAsia"/>
                <w:sz w:val="21"/>
                <w:lang w:val="en-US" w:eastAsia="zh-CN"/>
              </w:rPr>
              <w:t>莎车</w:t>
            </w:r>
            <w:r>
              <w:rPr>
                <w:sz w:val="21"/>
              </w:rPr>
              <w:t>县污水处理厂处理</w:t>
            </w:r>
          </w:p>
        </w:tc>
        <w:tc>
          <w:tcPr>
            <w:tcW w:w="1156" w:type="dxa"/>
          </w:tcPr>
          <w:p>
            <w:pPr>
              <w:pStyle w:val="19"/>
              <w:spacing w:before="49"/>
              <w:ind w:left="119" w:right="111"/>
              <w:jc w:val="center"/>
              <w:rPr>
                <w:rFonts w:ascii="Times New Roman"/>
                <w:sz w:val="21"/>
              </w:rPr>
            </w:pPr>
            <w:r>
              <w:rPr>
                <w:rFonts w:ascii="Times New Roman"/>
                <w:sz w:val="21"/>
              </w:rPr>
              <w:t>3500mg/L</w:t>
            </w:r>
          </w:p>
        </w:tc>
        <w:tc>
          <w:tcPr>
            <w:tcW w:w="1000" w:type="dxa"/>
          </w:tcPr>
          <w:p>
            <w:pPr>
              <w:pStyle w:val="19"/>
              <w:spacing w:before="35"/>
              <w:ind w:left="6"/>
              <w:jc w:val="center"/>
              <w:rPr>
                <w:sz w:val="21"/>
              </w:rPr>
            </w:pPr>
            <w:r>
              <w:rPr>
                <w:w w:val="99"/>
                <w:sz w:val="21"/>
              </w:rPr>
              <w:t>—</w:t>
            </w:r>
          </w:p>
        </w:tc>
        <w:tc>
          <w:tcPr>
            <w:tcW w:w="1016" w:type="dxa"/>
          </w:tcPr>
          <w:p>
            <w:pPr>
              <w:pStyle w:val="19"/>
              <w:spacing w:before="49"/>
              <w:ind w:left="219"/>
              <w:jc w:val="center"/>
              <w:rPr>
                <w:rFonts w:ascii="Times New Roman"/>
                <w:sz w:val="21"/>
              </w:rPr>
            </w:pPr>
            <w:r>
              <w:rPr>
                <w:rFonts w:ascii="Times New Roman"/>
                <w:sz w:val="21"/>
              </w:rPr>
              <w:t>0.0402</w:t>
            </w:r>
          </w:p>
        </w:tc>
        <w:tc>
          <w:tcPr>
            <w:tcW w:w="1050" w:type="dxa"/>
          </w:tcPr>
          <w:p>
            <w:pPr>
              <w:pStyle w:val="19"/>
              <w:spacing w:before="49"/>
              <w:ind w:left="367"/>
              <w:jc w:val="center"/>
              <w:rPr>
                <w:rFonts w:ascii="Times New Roman"/>
                <w:sz w:val="21"/>
              </w:rPr>
            </w:pPr>
            <w:r>
              <w:rPr>
                <w:rFonts w:ascii="Times New Roman"/>
                <w:sz w:val="21"/>
              </w:rPr>
              <w:t>500</w:t>
            </w:r>
          </w:p>
        </w:tc>
        <w:tc>
          <w:tcPr>
            <w:tcW w:w="1017" w:type="dxa"/>
          </w:tcPr>
          <w:p>
            <w:pPr>
              <w:pStyle w:val="19"/>
              <w:spacing w:before="35"/>
              <w:ind w:left="6"/>
              <w:jc w:val="center"/>
              <w:rPr>
                <w:sz w:val="21"/>
              </w:rPr>
            </w:pPr>
            <w:r>
              <w:rPr>
                <w:w w:val="99"/>
                <w:sz w:val="21"/>
              </w:rPr>
              <w:t>—</w:t>
            </w:r>
          </w:p>
        </w:tc>
        <w:tc>
          <w:tcPr>
            <w:tcW w:w="2590" w:type="dxa"/>
            <w:vMerge w:val="restart"/>
          </w:tcPr>
          <w:p>
            <w:pPr>
              <w:pStyle w:val="19"/>
              <w:spacing w:before="170" w:line="255" w:lineRule="exact"/>
              <w:ind w:left="107"/>
              <w:jc w:val="center"/>
              <w:rPr>
                <w:sz w:val="21"/>
              </w:rPr>
            </w:pPr>
            <w:r>
              <w:rPr>
                <w:sz w:val="21"/>
              </w:rPr>
              <w:t>《污水综合排放标准》</w:t>
            </w:r>
          </w:p>
          <w:p>
            <w:pPr>
              <w:pStyle w:val="19"/>
              <w:spacing w:line="240" w:lineRule="exact"/>
              <w:ind w:left="107"/>
              <w:jc w:val="center"/>
              <w:rPr>
                <w:sz w:val="21"/>
              </w:rPr>
            </w:pPr>
            <w:r>
              <w:rPr>
                <w:spacing w:val="-1"/>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8978</w:t>
            </w:r>
            <w:r>
              <w:rPr>
                <w:rFonts w:ascii="Times New Roman" w:eastAsia="Times New Roman"/>
                <w:spacing w:val="-3"/>
                <w:w w:val="99"/>
                <w:sz w:val="21"/>
              </w:rPr>
              <w:t>-</w:t>
            </w:r>
            <w:r>
              <w:rPr>
                <w:rFonts w:ascii="Times New Roman" w:eastAsia="Times New Roman"/>
                <w:spacing w:val="1"/>
                <w:w w:val="99"/>
                <w:sz w:val="21"/>
              </w:rPr>
              <w:t>1996</w:t>
            </w:r>
            <w:r>
              <w:rPr>
                <w:spacing w:val="-87"/>
                <w:w w:val="99"/>
                <w:sz w:val="21"/>
              </w:rPr>
              <w:t>）</w:t>
            </w:r>
            <w:r>
              <w:rPr>
                <w:w w:val="99"/>
                <w:sz w:val="21"/>
              </w:rPr>
              <w:t>表</w:t>
            </w:r>
            <w:r>
              <w:rPr>
                <w:rFonts w:ascii="Times New Roman" w:eastAsia="Times New Roman"/>
                <w:w w:val="99"/>
                <w:sz w:val="21"/>
              </w:rPr>
              <w:t>2</w:t>
            </w:r>
            <w:r>
              <w:rPr>
                <w:spacing w:val="-1"/>
                <w:w w:val="99"/>
                <w:sz w:val="21"/>
              </w:rPr>
              <w:t>中三</w:t>
            </w:r>
          </w:p>
          <w:p>
            <w:pPr>
              <w:pStyle w:val="19"/>
              <w:spacing w:line="255" w:lineRule="exact"/>
              <w:ind w:left="107"/>
              <w:jc w:val="center"/>
              <w:rPr>
                <w:sz w:val="21"/>
              </w:rPr>
            </w:pPr>
            <w:r>
              <w:rPr>
                <w:sz w:val="21"/>
              </w:rPr>
              <w:t>级标准</w:t>
            </w:r>
          </w:p>
        </w:tc>
        <w:tc>
          <w:tcPr>
            <w:tcW w:w="1023" w:type="dxa"/>
            <w:vMerge w:val="restart"/>
          </w:tcPr>
          <w:p>
            <w:pPr>
              <w:pStyle w:val="19"/>
              <w:spacing w:before="73" w:line="213" w:lineRule="auto"/>
              <w:ind w:left="107" w:right="99"/>
              <w:jc w:val="center"/>
              <w:rPr>
                <w:sz w:val="21"/>
              </w:rPr>
            </w:pPr>
            <w:r>
              <w:rPr>
                <w:sz w:val="21"/>
              </w:rPr>
              <w:t>做好防</w:t>
            </w:r>
            <w:r>
              <w:rPr>
                <w:spacing w:val="-13"/>
                <w:sz w:val="21"/>
              </w:rPr>
              <w:t>渗，以防</w:t>
            </w:r>
            <w:r>
              <w:rPr>
                <w:sz w:val="21"/>
              </w:rPr>
              <w:t>污染地下水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39" w:type="dxa"/>
            <w:vMerge w:val="continue"/>
            <w:tcBorders>
              <w:top w:val="nil"/>
            </w:tcBorders>
          </w:tcPr>
          <w:p>
            <w:pPr>
              <w:jc w:val="center"/>
              <w:rPr>
                <w:sz w:val="2"/>
                <w:szCs w:val="2"/>
              </w:rPr>
            </w:pPr>
          </w:p>
        </w:tc>
        <w:tc>
          <w:tcPr>
            <w:tcW w:w="1066" w:type="dxa"/>
            <w:vMerge w:val="continue"/>
            <w:tcBorders>
              <w:top w:val="nil"/>
            </w:tcBorders>
          </w:tcPr>
          <w:p>
            <w:pPr>
              <w:jc w:val="center"/>
              <w:rPr>
                <w:sz w:val="2"/>
                <w:szCs w:val="2"/>
              </w:rPr>
            </w:pPr>
          </w:p>
        </w:tc>
        <w:tc>
          <w:tcPr>
            <w:tcW w:w="1100" w:type="dxa"/>
          </w:tcPr>
          <w:p>
            <w:pPr>
              <w:pStyle w:val="19"/>
              <w:spacing w:line="220" w:lineRule="exact"/>
              <w:ind w:left="109" w:right="99"/>
              <w:jc w:val="center"/>
              <w:rPr>
                <w:rFonts w:ascii="Times New Roman"/>
                <w:sz w:val="21"/>
              </w:rPr>
            </w:pPr>
            <w:r>
              <w:rPr>
                <w:rFonts w:ascii="Times New Roman"/>
                <w:position w:val="2"/>
                <w:sz w:val="21"/>
              </w:rPr>
              <w:t>BOD</w:t>
            </w:r>
            <w:r>
              <w:rPr>
                <w:rFonts w:ascii="Times New Roman"/>
                <w:position w:val="2"/>
                <w:sz w:val="21"/>
                <w:vertAlign w:val="subscript"/>
              </w:rPr>
              <w:t>5</w:t>
            </w:r>
          </w:p>
        </w:tc>
        <w:tc>
          <w:tcPr>
            <w:tcW w:w="650" w:type="dxa"/>
            <w:vMerge w:val="continue"/>
            <w:tcBorders>
              <w:top w:val="nil"/>
            </w:tcBorders>
          </w:tcPr>
          <w:p>
            <w:pPr>
              <w:jc w:val="center"/>
              <w:rPr>
                <w:sz w:val="2"/>
                <w:szCs w:val="2"/>
              </w:rPr>
            </w:pPr>
          </w:p>
        </w:tc>
        <w:tc>
          <w:tcPr>
            <w:tcW w:w="1878" w:type="dxa"/>
            <w:vMerge w:val="continue"/>
            <w:tcBorders>
              <w:top w:val="nil"/>
            </w:tcBorders>
          </w:tcPr>
          <w:p>
            <w:pPr>
              <w:jc w:val="center"/>
              <w:rPr>
                <w:sz w:val="2"/>
                <w:szCs w:val="2"/>
              </w:rPr>
            </w:pPr>
          </w:p>
        </w:tc>
        <w:tc>
          <w:tcPr>
            <w:tcW w:w="1156" w:type="dxa"/>
          </w:tcPr>
          <w:p>
            <w:pPr>
              <w:pStyle w:val="19"/>
              <w:spacing w:line="220" w:lineRule="exact"/>
              <w:ind w:left="119" w:right="111"/>
              <w:jc w:val="center"/>
              <w:rPr>
                <w:rFonts w:ascii="Times New Roman"/>
                <w:sz w:val="21"/>
              </w:rPr>
            </w:pPr>
            <w:r>
              <w:rPr>
                <w:rFonts w:ascii="Times New Roman"/>
                <w:sz w:val="21"/>
              </w:rPr>
              <w:t>2500mg/L</w:t>
            </w:r>
          </w:p>
        </w:tc>
        <w:tc>
          <w:tcPr>
            <w:tcW w:w="1000" w:type="dxa"/>
          </w:tcPr>
          <w:p>
            <w:pPr>
              <w:pStyle w:val="19"/>
              <w:spacing w:line="220" w:lineRule="exact"/>
              <w:ind w:left="6"/>
              <w:jc w:val="center"/>
              <w:rPr>
                <w:sz w:val="21"/>
              </w:rPr>
            </w:pPr>
            <w:r>
              <w:rPr>
                <w:w w:val="99"/>
                <w:sz w:val="21"/>
              </w:rPr>
              <w:t>—</w:t>
            </w:r>
          </w:p>
        </w:tc>
        <w:tc>
          <w:tcPr>
            <w:tcW w:w="1016" w:type="dxa"/>
          </w:tcPr>
          <w:p>
            <w:pPr>
              <w:pStyle w:val="19"/>
              <w:spacing w:line="220" w:lineRule="exact"/>
              <w:ind w:left="219"/>
              <w:jc w:val="center"/>
              <w:rPr>
                <w:rFonts w:ascii="Times New Roman"/>
                <w:sz w:val="21"/>
              </w:rPr>
            </w:pPr>
            <w:r>
              <w:rPr>
                <w:rFonts w:ascii="Times New Roman"/>
                <w:sz w:val="21"/>
              </w:rPr>
              <w:t>0.0287</w:t>
            </w:r>
          </w:p>
        </w:tc>
        <w:tc>
          <w:tcPr>
            <w:tcW w:w="1050" w:type="dxa"/>
          </w:tcPr>
          <w:p>
            <w:pPr>
              <w:pStyle w:val="19"/>
              <w:spacing w:line="220" w:lineRule="exact"/>
              <w:ind w:left="367"/>
              <w:jc w:val="center"/>
              <w:rPr>
                <w:rFonts w:ascii="Times New Roman"/>
                <w:sz w:val="21"/>
              </w:rPr>
            </w:pPr>
            <w:r>
              <w:rPr>
                <w:rFonts w:ascii="Times New Roman"/>
                <w:sz w:val="21"/>
              </w:rPr>
              <w:t>400</w:t>
            </w:r>
          </w:p>
        </w:tc>
        <w:tc>
          <w:tcPr>
            <w:tcW w:w="1017" w:type="dxa"/>
          </w:tcPr>
          <w:p>
            <w:pPr>
              <w:pStyle w:val="19"/>
              <w:spacing w:line="220" w:lineRule="exact"/>
              <w:ind w:left="6"/>
              <w:jc w:val="center"/>
              <w:rPr>
                <w:sz w:val="21"/>
              </w:rPr>
            </w:pPr>
            <w:r>
              <w:rPr>
                <w:w w:val="99"/>
                <w:sz w:val="21"/>
              </w:rPr>
              <w:t>—</w:t>
            </w:r>
          </w:p>
        </w:tc>
        <w:tc>
          <w:tcPr>
            <w:tcW w:w="2590" w:type="dxa"/>
            <w:vMerge w:val="continue"/>
            <w:tcBorders>
              <w:top w:val="nil"/>
            </w:tcBorders>
          </w:tcPr>
          <w:p>
            <w:pPr>
              <w:jc w:val="center"/>
              <w:rPr>
                <w:sz w:val="2"/>
                <w:szCs w:val="2"/>
              </w:rPr>
            </w:pP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39" w:type="dxa"/>
            <w:vMerge w:val="continue"/>
            <w:tcBorders>
              <w:top w:val="nil"/>
            </w:tcBorders>
          </w:tcPr>
          <w:p>
            <w:pPr>
              <w:jc w:val="center"/>
              <w:rPr>
                <w:sz w:val="2"/>
                <w:szCs w:val="2"/>
              </w:rPr>
            </w:pPr>
          </w:p>
        </w:tc>
        <w:tc>
          <w:tcPr>
            <w:tcW w:w="1066" w:type="dxa"/>
            <w:vMerge w:val="continue"/>
            <w:tcBorders>
              <w:top w:val="nil"/>
            </w:tcBorders>
          </w:tcPr>
          <w:p>
            <w:pPr>
              <w:jc w:val="center"/>
              <w:rPr>
                <w:sz w:val="2"/>
                <w:szCs w:val="2"/>
              </w:rPr>
            </w:pPr>
          </w:p>
        </w:tc>
        <w:tc>
          <w:tcPr>
            <w:tcW w:w="1100" w:type="dxa"/>
          </w:tcPr>
          <w:p>
            <w:pPr>
              <w:pStyle w:val="19"/>
              <w:spacing w:line="220" w:lineRule="exact"/>
              <w:ind w:left="109" w:right="98"/>
              <w:jc w:val="center"/>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c>
          <w:tcPr>
            <w:tcW w:w="650" w:type="dxa"/>
            <w:vMerge w:val="continue"/>
            <w:tcBorders>
              <w:top w:val="nil"/>
            </w:tcBorders>
          </w:tcPr>
          <w:p>
            <w:pPr>
              <w:jc w:val="center"/>
              <w:rPr>
                <w:sz w:val="2"/>
                <w:szCs w:val="2"/>
              </w:rPr>
            </w:pPr>
          </w:p>
        </w:tc>
        <w:tc>
          <w:tcPr>
            <w:tcW w:w="1878" w:type="dxa"/>
            <w:vMerge w:val="continue"/>
            <w:tcBorders>
              <w:top w:val="nil"/>
            </w:tcBorders>
          </w:tcPr>
          <w:p>
            <w:pPr>
              <w:jc w:val="center"/>
              <w:rPr>
                <w:sz w:val="2"/>
                <w:szCs w:val="2"/>
              </w:rPr>
            </w:pPr>
          </w:p>
        </w:tc>
        <w:tc>
          <w:tcPr>
            <w:tcW w:w="1156" w:type="dxa"/>
          </w:tcPr>
          <w:p>
            <w:pPr>
              <w:pStyle w:val="19"/>
              <w:spacing w:line="220" w:lineRule="exact"/>
              <w:ind w:left="116" w:right="111"/>
              <w:jc w:val="center"/>
              <w:rPr>
                <w:rFonts w:ascii="Times New Roman"/>
                <w:sz w:val="21"/>
              </w:rPr>
            </w:pPr>
            <w:r>
              <w:rPr>
                <w:rFonts w:ascii="Times New Roman"/>
                <w:sz w:val="21"/>
              </w:rPr>
              <w:t>300mg/L</w:t>
            </w:r>
          </w:p>
        </w:tc>
        <w:tc>
          <w:tcPr>
            <w:tcW w:w="1000" w:type="dxa"/>
          </w:tcPr>
          <w:p>
            <w:pPr>
              <w:pStyle w:val="19"/>
              <w:jc w:val="center"/>
              <w:rPr>
                <w:rFonts w:ascii="Times New Roman"/>
                <w:sz w:val="16"/>
              </w:rPr>
            </w:pPr>
          </w:p>
        </w:tc>
        <w:tc>
          <w:tcPr>
            <w:tcW w:w="1016" w:type="dxa"/>
          </w:tcPr>
          <w:p>
            <w:pPr>
              <w:pStyle w:val="19"/>
              <w:spacing w:line="220" w:lineRule="exact"/>
              <w:ind w:left="166"/>
              <w:jc w:val="center"/>
              <w:rPr>
                <w:rFonts w:ascii="Times New Roman"/>
                <w:sz w:val="21"/>
              </w:rPr>
            </w:pPr>
            <w:r>
              <w:rPr>
                <w:rFonts w:ascii="Times New Roman"/>
                <w:sz w:val="21"/>
              </w:rPr>
              <w:t>0.00345</w:t>
            </w:r>
          </w:p>
        </w:tc>
        <w:tc>
          <w:tcPr>
            <w:tcW w:w="1050" w:type="dxa"/>
          </w:tcPr>
          <w:p>
            <w:pPr>
              <w:pStyle w:val="19"/>
              <w:jc w:val="center"/>
              <w:rPr>
                <w:rFonts w:ascii="Times New Roman"/>
                <w:sz w:val="16"/>
              </w:rPr>
            </w:pPr>
          </w:p>
        </w:tc>
        <w:tc>
          <w:tcPr>
            <w:tcW w:w="1017" w:type="dxa"/>
          </w:tcPr>
          <w:p>
            <w:pPr>
              <w:pStyle w:val="19"/>
              <w:jc w:val="center"/>
              <w:rPr>
                <w:rFonts w:ascii="Times New Roman"/>
                <w:sz w:val="16"/>
              </w:rPr>
            </w:pPr>
          </w:p>
        </w:tc>
        <w:tc>
          <w:tcPr>
            <w:tcW w:w="2590" w:type="dxa"/>
            <w:vMerge w:val="continue"/>
            <w:tcBorders>
              <w:top w:val="nil"/>
            </w:tcBorders>
          </w:tcPr>
          <w:p>
            <w:pPr>
              <w:jc w:val="center"/>
              <w:rPr>
                <w:sz w:val="2"/>
                <w:szCs w:val="2"/>
              </w:rPr>
            </w:pP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 w:hRule="atLeast"/>
        </w:trPr>
        <w:tc>
          <w:tcPr>
            <w:tcW w:w="639" w:type="dxa"/>
            <w:vMerge w:val="continue"/>
            <w:tcBorders>
              <w:top w:val="nil"/>
            </w:tcBorders>
          </w:tcPr>
          <w:p>
            <w:pPr>
              <w:jc w:val="center"/>
              <w:rPr>
                <w:sz w:val="2"/>
                <w:szCs w:val="2"/>
              </w:rPr>
            </w:pPr>
          </w:p>
        </w:tc>
        <w:tc>
          <w:tcPr>
            <w:tcW w:w="1066" w:type="dxa"/>
            <w:vMerge w:val="continue"/>
            <w:tcBorders>
              <w:top w:val="nil"/>
            </w:tcBorders>
          </w:tcPr>
          <w:p>
            <w:pPr>
              <w:jc w:val="center"/>
              <w:rPr>
                <w:sz w:val="2"/>
                <w:szCs w:val="2"/>
              </w:rPr>
            </w:pPr>
          </w:p>
        </w:tc>
        <w:tc>
          <w:tcPr>
            <w:tcW w:w="1100" w:type="dxa"/>
          </w:tcPr>
          <w:p>
            <w:pPr>
              <w:pStyle w:val="19"/>
              <w:spacing w:line="220" w:lineRule="exact"/>
              <w:ind w:left="109" w:right="100"/>
              <w:jc w:val="center"/>
              <w:rPr>
                <w:sz w:val="21"/>
              </w:rPr>
            </w:pPr>
            <w:r>
              <w:rPr>
                <w:sz w:val="21"/>
              </w:rPr>
              <w:t>动植物油</w:t>
            </w:r>
          </w:p>
        </w:tc>
        <w:tc>
          <w:tcPr>
            <w:tcW w:w="650" w:type="dxa"/>
            <w:vMerge w:val="continue"/>
            <w:tcBorders>
              <w:top w:val="nil"/>
            </w:tcBorders>
          </w:tcPr>
          <w:p>
            <w:pPr>
              <w:jc w:val="center"/>
              <w:rPr>
                <w:sz w:val="2"/>
                <w:szCs w:val="2"/>
              </w:rPr>
            </w:pPr>
          </w:p>
        </w:tc>
        <w:tc>
          <w:tcPr>
            <w:tcW w:w="1878" w:type="dxa"/>
            <w:vMerge w:val="continue"/>
            <w:tcBorders>
              <w:top w:val="nil"/>
            </w:tcBorders>
          </w:tcPr>
          <w:p>
            <w:pPr>
              <w:jc w:val="center"/>
              <w:rPr>
                <w:sz w:val="2"/>
                <w:szCs w:val="2"/>
              </w:rPr>
            </w:pPr>
          </w:p>
        </w:tc>
        <w:tc>
          <w:tcPr>
            <w:tcW w:w="1156" w:type="dxa"/>
          </w:tcPr>
          <w:p>
            <w:pPr>
              <w:pStyle w:val="19"/>
              <w:spacing w:line="220" w:lineRule="exact"/>
              <w:ind w:left="116" w:right="111"/>
              <w:jc w:val="center"/>
              <w:rPr>
                <w:rFonts w:ascii="Times New Roman"/>
                <w:sz w:val="21"/>
              </w:rPr>
            </w:pPr>
            <w:r>
              <w:rPr>
                <w:rFonts w:ascii="Times New Roman"/>
                <w:sz w:val="21"/>
              </w:rPr>
              <w:t>220mg/L</w:t>
            </w:r>
          </w:p>
        </w:tc>
        <w:tc>
          <w:tcPr>
            <w:tcW w:w="1000" w:type="dxa"/>
          </w:tcPr>
          <w:p>
            <w:pPr>
              <w:pStyle w:val="19"/>
              <w:spacing w:line="220" w:lineRule="exact"/>
              <w:ind w:left="6"/>
              <w:jc w:val="center"/>
              <w:rPr>
                <w:sz w:val="21"/>
              </w:rPr>
            </w:pPr>
            <w:r>
              <w:rPr>
                <w:w w:val="99"/>
                <w:sz w:val="21"/>
              </w:rPr>
              <w:t>—</w:t>
            </w:r>
          </w:p>
        </w:tc>
        <w:tc>
          <w:tcPr>
            <w:tcW w:w="1016" w:type="dxa"/>
          </w:tcPr>
          <w:p>
            <w:pPr>
              <w:pStyle w:val="19"/>
              <w:spacing w:line="220" w:lineRule="exact"/>
              <w:ind w:left="166"/>
              <w:jc w:val="center"/>
              <w:rPr>
                <w:rFonts w:ascii="Times New Roman"/>
                <w:sz w:val="21"/>
              </w:rPr>
            </w:pPr>
            <w:r>
              <w:rPr>
                <w:rFonts w:ascii="Times New Roman"/>
                <w:sz w:val="21"/>
              </w:rPr>
              <w:t>0.00253</w:t>
            </w:r>
          </w:p>
        </w:tc>
        <w:tc>
          <w:tcPr>
            <w:tcW w:w="1050" w:type="dxa"/>
          </w:tcPr>
          <w:p>
            <w:pPr>
              <w:pStyle w:val="19"/>
              <w:spacing w:line="220" w:lineRule="exact"/>
              <w:ind w:left="420"/>
              <w:jc w:val="center"/>
              <w:rPr>
                <w:sz w:val="21"/>
              </w:rPr>
            </w:pPr>
            <w:r>
              <w:rPr>
                <w:w w:val="99"/>
                <w:sz w:val="21"/>
              </w:rPr>
              <w:t>—</w:t>
            </w:r>
          </w:p>
        </w:tc>
        <w:tc>
          <w:tcPr>
            <w:tcW w:w="1017" w:type="dxa"/>
          </w:tcPr>
          <w:p>
            <w:pPr>
              <w:pStyle w:val="19"/>
              <w:spacing w:line="220" w:lineRule="exact"/>
              <w:ind w:left="6"/>
              <w:jc w:val="center"/>
              <w:rPr>
                <w:sz w:val="21"/>
              </w:rPr>
            </w:pPr>
            <w:r>
              <w:rPr>
                <w:w w:val="99"/>
                <w:sz w:val="21"/>
              </w:rPr>
              <w:t>—</w:t>
            </w:r>
          </w:p>
        </w:tc>
        <w:tc>
          <w:tcPr>
            <w:tcW w:w="2590" w:type="dxa"/>
            <w:vMerge w:val="continue"/>
            <w:tcBorders>
              <w:top w:val="nil"/>
            </w:tcBorders>
          </w:tcPr>
          <w:p>
            <w:pPr>
              <w:jc w:val="center"/>
              <w:rPr>
                <w:sz w:val="2"/>
                <w:szCs w:val="2"/>
              </w:rPr>
            </w:pP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639" w:type="dxa"/>
            <w:tcBorders>
              <w:bottom w:val="nil"/>
            </w:tcBorders>
          </w:tcPr>
          <w:p>
            <w:pPr>
              <w:pStyle w:val="19"/>
              <w:jc w:val="center"/>
              <w:rPr>
                <w:rFonts w:ascii="Times New Roman"/>
                <w:sz w:val="16"/>
              </w:rPr>
            </w:pPr>
          </w:p>
        </w:tc>
        <w:tc>
          <w:tcPr>
            <w:tcW w:w="1066" w:type="dxa"/>
            <w:tcBorders>
              <w:bottom w:val="nil"/>
            </w:tcBorders>
          </w:tcPr>
          <w:p>
            <w:pPr>
              <w:pStyle w:val="19"/>
              <w:jc w:val="center"/>
              <w:rPr>
                <w:rFonts w:ascii="Times New Roman"/>
                <w:sz w:val="16"/>
              </w:rPr>
            </w:pPr>
          </w:p>
        </w:tc>
        <w:tc>
          <w:tcPr>
            <w:tcW w:w="1100" w:type="dxa"/>
            <w:tcBorders>
              <w:bottom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line="209" w:lineRule="exact"/>
              <w:ind w:left="109" w:right="100"/>
              <w:jc w:val="center"/>
              <w:textAlignment w:val="auto"/>
              <w:rPr>
                <w:sz w:val="21"/>
              </w:rPr>
            </w:pPr>
            <w:r>
              <w:rPr>
                <w:sz w:val="21"/>
              </w:rPr>
              <w:t>羊粪、垫</w:t>
            </w:r>
          </w:p>
        </w:tc>
        <w:tc>
          <w:tcPr>
            <w:tcW w:w="650" w:type="dxa"/>
            <w:tcBorders>
              <w:bottom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jc w:val="center"/>
              <w:textAlignment w:val="auto"/>
              <w:rPr>
                <w:rFonts w:ascii="Times New Roman"/>
                <w:sz w:val="16"/>
              </w:rPr>
            </w:pPr>
          </w:p>
        </w:tc>
        <w:tc>
          <w:tcPr>
            <w:tcW w:w="1878" w:type="dxa"/>
            <w:tcBorders>
              <w:bottom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line="209" w:lineRule="exact"/>
              <w:ind w:left="108"/>
              <w:jc w:val="center"/>
              <w:textAlignment w:val="auto"/>
              <w:rPr>
                <w:sz w:val="21"/>
              </w:rPr>
            </w:pPr>
            <w:r>
              <w:rPr>
                <w:sz w:val="21"/>
              </w:rPr>
              <w:t>有机肥厂生产原</w:t>
            </w:r>
          </w:p>
        </w:tc>
        <w:tc>
          <w:tcPr>
            <w:tcW w:w="1156" w:type="dxa"/>
            <w:vMerge w:val="restart"/>
          </w:tcPr>
          <w:p>
            <w:pPr>
              <w:pStyle w:val="19"/>
              <w:spacing w:before="102"/>
              <w:ind w:left="7"/>
              <w:jc w:val="center"/>
              <w:rPr>
                <w:sz w:val="21"/>
              </w:rPr>
            </w:pPr>
            <w:r>
              <w:rPr>
                <w:w w:val="99"/>
                <w:sz w:val="21"/>
              </w:rPr>
              <w:t>—</w:t>
            </w:r>
          </w:p>
        </w:tc>
        <w:tc>
          <w:tcPr>
            <w:tcW w:w="1000" w:type="dxa"/>
            <w:vMerge w:val="restart"/>
          </w:tcPr>
          <w:p>
            <w:pPr>
              <w:pStyle w:val="19"/>
              <w:spacing w:before="102"/>
              <w:ind w:left="6"/>
              <w:jc w:val="center"/>
              <w:rPr>
                <w:sz w:val="21"/>
              </w:rPr>
            </w:pPr>
            <w:r>
              <w:rPr>
                <w:w w:val="99"/>
                <w:sz w:val="21"/>
              </w:rPr>
              <w:t>—</w:t>
            </w:r>
          </w:p>
        </w:tc>
        <w:tc>
          <w:tcPr>
            <w:tcW w:w="1016" w:type="dxa"/>
            <w:vMerge w:val="restart"/>
          </w:tcPr>
          <w:p>
            <w:pPr>
              <w:pStyle w:val="19"/>
              <w:spacing w:before="116"/>
              <w:ind w:left="113"/>
              <w:jc w:val="center"/>
              <w:rPr>
                <w:rFonts w:hint="default" w:ascii="Times New Roman" w:eastAsia="宋体"/>
                <w:sz w:val="21"/>
                <w:lang w:val="en-US" w:eastAsia="zh-CN"/>
              </w:rPr>
            </w:pPr>
            <w:r>
              <w:rPr>
                <w:rFonts w:hint="eastAsia" w:ascii="Times New Roman"/>
                <w:sz w:val="21"/>
                <w:lang w:val="en-US" w:eastAsia="zh-CN"/>
              </w:rPr>
              <w:t>39785</w:t>
            </w:r>
          </w:p>
        </w:tc>
        <w:tc>
          <w:tcPr>
            <w:tcW w:w="1050" w:type="dxa"/>
            <w:vMerge w:val="restart"/>
          </w:tcPr>
          <w:p>
            <w:pPr>
              <w:pStyle w:val="19"/>
              <w:spacing w:before="102"/>
              <w:ind w:left="9"/>
              <w:jc w:val="center"/>
              <w:rPr>
                <w:sz w:val="21"/>
              </w:rPr>
            </w:pPr>
            <w:r>
              <w:rPr>
                <w:w w:val="99"/>
                <w:sz w:val="21"/>
              </w:rPr>
              <w:t>—</w:t>
            </w:r>
          </w:p>
        </w:tc>
        <w:tc>
          <w:tcPr>
            <w:tcW w:w="1017" w:type="dxa"/>
            <w:vMerge w:val="restart"/>
          </w:tcPr>
          <w:p>
            <w:pPr>
              <w:pStyle w:val="19"/>
              <w:spacing w:before="102"/>
              <w:ind w:left="6"/>
              <w:jc w:val="center"/>
              <w:rPr>
                <w:sz w:val="21"/>
              </w:rPr>
            </w:pPr>
            <w:r>
              <w:rPr>
                <w:w w:val="99"/>
                <w:sz w:val="21"/>
              </w:rPr>
              <w:t>—</w:t>
            </w:r>
          </w:p>
        </w:tc>
        <w:tc>
          <w:tcPr>
            <w:tcW w:w="2590" w:type="dxa"/>
            <w:tcBorders>
              <w:bottom w:val="nil"/>
            </w:tcBorders>
          </w:tcPr>
          <w:p>
            <w:pPr>
              <w:pStyle w:val="19"/>
              <w:spacing w:line="209" w:lineRule="exact"/>
              <w:ind w:left="107"/>
              <w:jc w:val="center"/>
              <w:rPr>
                <w:sz w:val="21"/>
              </w:rPr>
            </w:pPr>
            <w:r>
              <w:rPr>
                <w:sz w:val="21"/>
              </w:rPr>
              <w:t>满足《粪便无害化卫生要</w:t>
            </w:r>
          </w:p>
        </w:tc>
        <w:tc>
          <w:tcPr>
            <w:tcW w:w="1023" w:type="dxa"/>
            <w:vMerge w:val="restart"/>
          </w:tcPr>
          <w:p>
            <w:pPr>
              <w:pStyle w:val="19"/>
              <w:jc w:val="center"/>
              <w:rPr>
                <w:b/>
                <w:sz w:val="20"/>
              </w:rPr>
            </w:pPr>
          </w:p>
          <w:p>
            <w:pPr>
              <w:pStyle w:val="19"/>
              <w:jc w:val="center"/>
              <w:rPr>
                <w:b/>
                <w:sz w:val="20"/>
              </w:rPr>
            </w:pPr>
          </w:p>
          <w:p>
            <w:pPr>
              <w:pStyle w:val="19"/>
              <w:spacing w:before="163" w:line="213" w:lineRule="auto"/>
              <w:ind w:left="107" w:right="63"/>
              <w:jc w:val="center"/>
              <w:rPr>
                <w:sz w:val="21"/>
              </w:rPr>
            </w:pPr>
            <w:r>
              <w:rPr>
                <w:sz w:val="21"/>
              </w:rPr>
              <w:t>做好场</w:t>
            </w:r>
            <w:r>
              <w:rPr>
                <w:spacing w:val="-4"/>
                <w:sz w:val="21"/>
              </w:rPr>
              <w:t>区防渗，</w:t>
            </w:r>
            <w:r>
              <w:rPr>
                <w:sz w:val="21"/>
              </w:rPr>
              <w:t>防止地下水污染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39" w:type="dxa"/>
            <w:vMerge w:val="restart"/>
            <w:tcBorders>
              <w:top w:val="nil"/>
              <w:bottom w:val="nil"/>
            </w:tcBorders>
          </w:tcPr>
          <w:p>
            <w:pPr>
              <w:pStyle w:val="19"/>
              <w:jc w:val="center"/>
              <w:rPr>
                <w:rFonts w:ascii="Times New Roman"/>
                <w:sz w:val="20"/>
              </w:rPr>
            </w:pPr>
          </w:p>
        </w:tc>
        <w:tc>
          <w:tcPr>
            <w:tcW w:w="1066" w:type="dxa"/>
            <w:vMerge w:val="restart"/>
            <w:tcBorders>
              <w:top w:val="nil"/>
              <w:bottom w:val="nil"/>
            </w:tcBorders>
          </w:tcPr>
          <w:p>
            <w:pPr>
              <w:pStyle w:val="19"/>
              <w:spacing w:before="1"/>
              <w:jc w:val="center"/>
              <w:rPr>
                <w:b/>
                <w:sz w:val="22"/>
              </w:rPr>
            </w:pPr>
          </w:p>
          <w:p>
            <w:pPr>
              <w:pStyle w:val="19"/>
              <w:ind w:left="323"/>
              <w:jc w:val="center"/>
              <w:rPr>
                <w:sz w:val="21"/>
              </w:rPr>
            </w:pPr>
            <w:r>
              <w:rPr>
                <w:sz w:val="21"/>
              </w:rPr>
              <w:t>羊舍</w:t>
            </w:r>
          </w:p>
        </w:tc>
        <w:tc>
          <w:tcPr>
            <w:tcW w:w="1100" w:type="dxa"/>
            <w:tcBorders>
              <w:top w:val="nil"/>
            </w:tcBorders>
          </w:tcPr>
          <w:p>
            <w:pPr>
              <w:pStyle w:val="19"/>
              <w:spacing w:line="221" w:lineRule="exact"/>
              <w:ind w:left="9"/>
              <w:jc w:val="center"/>
              <w:rPr>
                <w:sz w:val="21"/>
              </w:rPr>
            </w:pPr>
            <w:r>
              <w:rPr>
                <w:w w:val="99"/>
                <w:sz w:val="21"/>
              </w:rPr>
              <w:t>料</w:t>
            </w:r>
          </w:p>
        </w:tc>
        <w:tc>
          <w:tcPr>
            <w:tcW w:w="650" w:type="dxa"/>
            <w:vMerge w:val="restart"/>
            <w:tcBorders>
              <w:top w:val="nil"/>
              <w:bottom w:val="nil"/>
            </w:tcBorders>
          </w:tcPr>
          <w:p>
            <w:pPr>
              <w:pStyle w:val="19"/>
              <w:spacing w:before="7"/>
              <w:jc w:val="center"/>
              <w:rPr>
                <w:b/>
                <w:sz w:val="14"/>
              </w:rPr>
            </w:pPr>
          </w:p>
          <w:p>
            <w:pPr>
              <w:pStyle w:val="19"/>
              <w:spacing w:line="213" w:lineRule="auto"/>
              <w:ind w:left="115" w:right="104"/>
              <w:jc w:val="center"/>
              <w:rPr>
                <w:sz w:val="21"/>
              </w:rPr>
            </w:pPr>
            <w:r>
              <w:rPr>
                <w:sz w:val="21"/>
              </w:rPr>
              <w:t>一般固废</w:t>
            </w:r>
          </w:p>
        </w:tc>
        <w:tc>
          <w:tcPr>
            <w:tcW w:w="1878" w:type="dxa"/>
            <w:tcBorders>
              <w:top w:val="nil"/>
            </w:tcBorders>
          </w:tcPr>
          <w:p>
            <w:pPr>
              <w:pStyle w:val="19"/>
              <w:spacing w:line="221" w:lineRule="exact"/>
              <w:ind w:left="108"/>
              <w:jc w:val="center"/>
              <w:rPr>
                <w:sz w:val="21"/>
              </w:rPr>
            </w:pPr>
            <w:r>
              <w:rPr>
                <w:w w:val="99"/>
                <w:sz w:val="21"/>
              </w:rPr>
              <w:t>料</w:t>
            </w:r>
          </w:p>
        </w:tc>
        <w:tc>
          <w:tcPr>
            <w:tcW w:w="1156" w:type="dxa"/>
            <w:vMerge w:val="continue"/>
            <w:tcBorders>
              <w:top w:val="nil"/>
            </w:tcBorders>
          </w:tcPr>
          <w:p>
            <w:pPr>
              <w:jc w:val="center"/>
              <w:rPr>
                <w:sz w:val="2"/>
                <w:szCs w:val="2"/>
              </w:rPr>
            </w:pPr>
          </w:p>
        </w:tc>
        <w:tc>
          <w:tcPr>
            <w:tcW w:w="1000" w:type="dxa"/>
            <w:vMerge w:val="continue"/>
            <w:tcBorders>
              <w:top w:val="nil"/>
            </w:tcBorders>
          </w:tcPr>
          <w:p>
            <w:pPr>
              <w:jc w:val="center"/>
              <w:rPr>
                <w:sz w:val="2"/>
                <w:szCs w:val="2"/>
              </w:rPr>
            </w:pPr>
          </w:p>
        </w:tc>
        <w:tc>
          <w:tcPr>
            <w:tcW w:w="1016" w:type="dxa"/>
            <w:vMerge w:val="continue"/>
            <w:tcBorders>
              <w:top w:val="nil"/>
            </w:tcBorders>
          </w:tcPr>
          <w:p>
            <w:pPr>
              <w:jc w:val="center"/>
              <w:rPr>
                <w:sz w:val="2"/>
                <w:szCs w:val="2"/>
              </w:rPr>
            </w:pPr>
          </w:p>
        </w:tc>
        <w:tc>
          <w:tcPr>
            <w:tcW w:w="1050" w:type="dxa"/>
            <w:vMerge w:val="continue"/>
            <w:tcBorders>
              <w:top w:val="nil"/>
            </w:tcBorders>
          </w:tcPr>
          <w:p>
            <w:pPr>
              <w:jc w:val="center"/>
              <w:rPr>
                <w:sz w:val="2"/>
                <w:szCs w:val="2"/>
              </w:rPr>
            </w:pPr>
          </w:p>
        </w:tc>
        <w:tc>
          <w:tcPr>
            <w:tcW w:w="1017" w:type="dxa"/>
            <w:vMerge w:val="continue"/>
            <w:tcBorders>
              <w:top w:val="nil"/>
            </w:tcBorders>
          </w:tcPr>
          <w:p>
            <w:pPr>
              <w:jc w:val="center"/>
              <w:rPr>
                <w:sz w:val="2"/>
                <w:szCs w:val="2"/>
              </w:rPr>
            </w:pPr>
          </w:p>
        </w:tc>
        <w:tc>
          <w:tcPr>
            <w:tcW w:w="2590" w:type="dxa"/>
            <w:tcBorders>
              <w:top w:val="nil"/>
            </w:tcBorders>
          </w:tcPr>
          <w:p>
            <w:pPr>
              <w:pStyle w:val="19"/>
              <w:spacing w:line="221" w:lineRule="exact"/>
              <w:ind w:left="107"/>
              <w:jc w:val="center"/>
              <w:rPr>
                <w:sz w:val="21"/>
              </w:rPr>
            </w:pPr>
            <w:r>
              <w:rPr>
                <w:sz w:val="21"/>
              </w:rPr>
              <w:t>求》（</w:t>
            </w:r>
            <w:r>
              <w:rPr>
                <w:rFonts w:ascii="Times New Roman" w:eastAsia="Times New Roman"/>
                <w:sz w:val="21"/>
              </w:rPr>
              <w:t>GB7959-2012</w:t>
            </w:r>
            <w:r>
              <w:rPr>
                <w:sz w:val="21"/>
              </w:rPr>
              <w:t>）要求</w:t>
            </w: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39" w:type="dxa"/>
            <w:vMerge w:val="continue"/>
            <w:tcBorders>
              <w:top w:val="nil"/>
              <w:bottom w:val="nil"/>
            </w:tcBorders>
          </w:tcPr>
          <w:p>
            <w:pPr>
              <w:jc w:val="center"/>
              <w:rPr>
                <w:sz w:val="2"/>
                <w:szCs w:val="2"/>
              </w:rPr>
            </w:pPr>
          </w:p>
        </w:tc>
        <w:tc>
          <w:tcPr>
            <w:tcW w:w="1066" w:type="dxa"/>
            <w:vMerge w:val="continue"/>
            <w:tcBorders>
              <w:top w:val="nil"/>
              <w:bottom w:val="nil"/>
            </w:tcBorders>
          </w:tcPr>
          <w:p>
            <w:pPr>
              <w:jc w:val="center"/>
              <w:rPr>
                <w:sz w:val="2"/>
                <w:szCs w:val="2"/>
              </w:rPr>
            </w:pPr>
          </w:p>
        </w:tc>
        <w:tc>
          <w:tcPr>
            <w:tcW w:w="1100" w:type="dxa"/>
          </w:tcPr>
          <w:p>
            <w:pPr>
              <w:pStyle w:val="19"/>
              <w:spacing w:before="102"/>
              <w:ind w:left="106" w:right="100"/>
              <w:jc w:val="center"/>
              <w:rPr>
                <w:sz w:val="21"/>
              </w:rPr>
            </w:pPr>
            <w:r>
              <w:rPr>
                <w:sz w:val="21"/>
              </w:rPr>
              <w:t>肉骨粉</w:t>
            </w:r>
          </w:p>
        </w:tc>
        <w:tc>
          <w:tcPr>
            <w:tcW w:w="650" w:type="dxa"/>
            <w:vMerge w:val="continue"/>
            <w:tcBorders>
              <w:top w:val="nil"/>
              <w:bottom w:val="nil"/>
            </w:tcBorders>
          </w:tcPr>
          <w:p>
            <w:pPr>
              <w:jc w:val="center"/>
              <w:rPr>
                <w:sz w:val="2"/>
                <w:szCs w:val="2"/>
              </w:rPr>
            </w:pPr>
          </w:p>
        </w:tc>
        <w:tc>
          <w:tcPr>
            <w:tcW w:w="1878" w:type="dxa"/>
          </w:tcPr>
          <w:p>
            <w:pPr>
              <w:pStyle w:val="19"/>
              <w:spacing w:line="240" w:lineRule="exact"/>
              <w:ind w:left="108" w:right="288"/>
              <w:jc w:val="center"/>
              <w:rPr>
                <w:sz w:val="21"/>
              </w:rPr>
            </w:pPr>
            <w:r>
              <w:rPr>
                <w:sz w:val="21"/>
              </w:rPr>
              <w:t>出售给肉骨生产厂</w:t>
            </w:r>
          </w:p>
        </w:tc>
        <w:tc>
          <w:tcPr>
            <w:tcW w:w="1156" w:type="dxa"/>
          </w:tcPr>
          <w:p>
            <w:pPr>
              <w:pStyle w:val="19"/>
              <w:spacing w:before="102"/>
              <w:ind w:left="7"/>
              <w:jc w:val="center"/>
              <w:rPr>
                <w:sz w:val="21"/>
              </w:rPr>
            </w:pPr>
            <w:r>
              <w:rPr>
                <w:w w:val="99"/>
                <w:sz w:val="21"/>
              </w:rPr>
              <w:t>—</w:t>
            </w:r>
          </w:p>
        </w:tc>
        <w:tc>
          <w:tcPr>
            <w:tcW w:w="1000" w:type="dxa"/>
          </w:tcPr>
          <w:p>
            <w:pPr>
              <w:pStyle w:val="19"/>
              <w:spacing w:before="102"/>
              <w:ind w:left="6"/>
              <w:jc w:val="center"/>
              <w:rPr>
                <w:sz w:val="21"/>
              </w:rPr>
            </w:pPr>
            <w:r>
              <w:rPr>
                <w:w w:val="99"/>
                <w:sz w:val="21"/>
              </w:rPr>
              <w:t>—</w:t>
            </w:r>
          </w:p>
        </w:tc>
        <w:tc>
          <w:tcPr>
            <w:tcW w:w="1016" w:type="dxa"/>
          </w:tcPr>
          <w:p>
            <w:pPr>
              <w:pStyle w:val="19"/>
              <w:spacing w:before="116"/>
              <w:jc w:val="center"/>
              <w:rPr>
                <w:rFonts w:hint="default" w:ascii="Times New Roman" w:eastAsia="宋体"/>
                <w:sz w:val="21"/>
                <w:lang w:val="en-US" w:eastAsia="zh-CN"/>
              </w:rPr>
            </w:pPr>
            <w:r>
              <w:rPr>
                <w:rFonts w:hint="eastAsia" w:ascii="Times New Roman"/>
                <w:sz w:val="21"/>
                <w:lang w:val="en-US" w:eastAsia="zh-CN"/>
              </w:rPr>
              <w:t>2.64</w:t>
            </w:r>
          </w:p>
        </w:tc>
        <w:tc>
          <w:tcPr>
            <w:tcW w:w="1050" w:type="dxa"/>
          </w:tcPr>
          <w:p>
            <w:pPr>
              <w:pStyle w:val="19"/>
              <w:spacing w:before="102"/>
              <w:ind w:left="420"/>
              <w:jc w:val="center"/>
              <w:rPr>
                <w:sz w:val="21"/>
              </w:rPr>
            </w:pPr>
            <w:r>
              <w:rPr>
                <w:w w:val="99"/>
                <w:sz w:val="21"/>
              </w:rPr>
              <w:t>—</w:t>
            </w:r>
          </w:p>
        </w:tc>
        <w:tc>
          <w:tcPr>
            <w:tcW w:w="1017" w:type="dxa"/>
          </w:tcPr>
          <w:p>
            <w:pPr>
              <w:pStyle w:val="19"/>
              <w:spacing w:before="102"/>
              <w:ind w:left="6"/>
              <w:jc w:val="center"/>
              <w:rPr>
                <w:sz w:val="21"/>
              </w:rPr>
            </w:pPr>
            <w:r>
              <w:rPr>
                <w:w w:val="99"/>
                <w:sz w:val="21"/>
              </w:rPr>
              <w:t>—</w:t>
            </w:r>
          </w:p>
        </w:tc>
        <w:tc>
          <w:tcPr>
            <w:tcW w:w="2590" w:type="dxa"/>
            <w:vMerge w:val="restart"/>
            <w:tcBorders>
              <w:bottom w:val="nil"/>
            </w:tcBorders>
          </w:tcPr>
          <w:p>
            <w:pPr>
              <w:pStyle w:val="19"/>
              <w:spacing w:before="37" w:line="255" w:lineRule="exact"/>
              <w:ind w:left="107"/>
              <w:jc w:val="center"/>
              <w:rPr>
                <w:sz w:val="21"/>
              </w:rPr>
            </w:pPr>
            <w:r>
              <w:rPr>
                <w:sz w:val="21"/>
              </w:rPr>
              <w:t>《一般工业固体废物贮</w:t>
            </w:r>
          </w:p>
          <w:p>
            <w:pPr>
              <w:pStyle w:val="19"/>
              <w:spacing w:line="212" w:lineRule="exact"/>
              <w:ind w:left="107" w:right="-15"/>
              <w:jc w:val="center"/>
              <w:rPr>
                <w:sz w:val="21"/>
              </w:rPr>
            </w:pPr>
            <w:r>
              <w:rPr>
                <w:spacing w:val="-7"/>
                <w:sz w:val="21"/>
              </w:rPr>
              <w:t>存、处置场污染控制标准》</w:t>
            </w: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639" w:type="dxa"/>
            <w:vMerge w:val="continue"/>
            <w:tcBorders>
              <w:top w:val="nil"/>
              <w:bottom w:val="nil"/>
            </w:tcBorders>
          </w:tcPr>
          <w:p>
            <w:pPr>
              <w:jc w:val="center"/>
              <w:rPr>
                <w:sz w:val="2"/>
                <w:szCs w:val="2"/>
              </w:rPr>
            </w:pPr>
          </w:p>
        </w:tc>
        <w:tc>
          <w:tcPr>
            <w:tcW w:w="1066" w:type="dxa"/>
            <w:vMerge w:val="continue"/>
            <w:tcBorders>
              <w:top w:val="nil"/>
              <w:bottom w:val="nil"/>
            </w:tcBorders>
          </w:tcPr>
          <w:p>
            <w:pPr>
              <w:jc w:val="center"/>
              <w:rPr>
                <w:sz w:val="2"/>
                <w:szCs w:val="2"/>
              </w:rPr>
            </w:pPr>
          </w:p>
        </w:tc>
        <w:tc>
          <w:tcPr>
            <w:tcW w:w="1100" w:type="dxa"/>
            <w:vMerge w:val="restart"/>
          </w:tcPr>
          <w:p>
            <w:pPr>
              <w:pStyle w:val="19"/>
              <w:spacing w:before="32"/>
              <w:ind w:left="339"/>
              <w:jc w:val="center"/>
              <w:rPr>
                <w:sz w:val="21"/>
              </w:rPr>
            </w:pPr>
            <w:r>
              <w:rPr>
                <w:sz w:val="21"/>
              </w:rPr>
              <w:t>油脂</w:t>
            </w:r>
          </w:p>
        </w:tc>
        <w:tc>
          <w:tcPr>
            <w:tcW w:w="650" w:type="dxa"/>
            <w:vMerge w:val="continue"/>
            <w:tcBorders>
              <w:top w:val="nil"/>
              <w:bottom w:val="nil"/>
            </w:tcBorders>
          </w:tcPr>
          <w:p>
            <w:pPr>
              <w:jc w:val="center"/>
              <w:rPr>
                <w:sz w:val="2"/>
                <w:szCs w:val="2"/>
              </w:rPr>
            </w:pPr>
          </w:p>
        </w:tc>
        <w:tc>
          <w:tcPr>
            <w:tcW w:w="1878" w:type="dxa"/>
            <w:vMerge w:val="restart"/>
          </w:tcPr>
          <w:p>
            <w:pPr>
              <w:pStyle w:val="19"/>
              <w:spacing w:before="32"/>
              <w:ind w:left="307"/>
              <w:jc w:val="center"/>
              <w:rPr>
                <w:sz w:val="21"/>
              </w:rPr>
            </w:pPr>
            <w:r>
              <w:rPr>
                <w:sz w:val="21"/>
              </w:rPr>
              <w:t>出售给油脂厂</w:t>
            </w:r>
          </w:p>
        </w:tc>
        <w:tc>
          <w:tcPr>
            <w:tcW w:w="1156" w:type="dxa"/>
            <w:vMerge w:val="restart"/>
          </w:tcPr>
          <w:p>
            <w:pPr>
              <w:pStyle w:val="19"/>
              <w:spacing w:before="32"/>
              <w:ind w:left="7"/>
              <w:jc w:val="center"/>
              <w:rPr>
                <w:sz w:val="21"/>
              </w:rPr>
            </w:pPr>
            <w:r>
              <w:rPr>
                <w:w w:val="99"/>
                <w:sz w:val="21"/>
              </w:rPr>
              <w:t>—</w:t>
            </w:r>
          </w:p>
        </w:tc>
        <w:tc>
          <w:tcPr>
            <w:tcW w:w="1000" w:type="dxa"/>
            <w:vMerge w:val="restart"/>
          </w:tcPr>
          <w:p>
            <w:pPr>
              <w:pStyle w:val="19"/>
              <w:spacing w:before="32"/>
              <w:ind w:left="6"/>
              <w:jc w:val="center"/>
              <w:rPr>
                <w:sz w:val="21"/>
              </w:rPr>
            </w:pPr>
            <w:r>
              <w:rPr>
                <w:w w:val="99"/>
                <w:sz w:val="21"/>
              </w:rPr>
              <w:t>—</w:t>
            </w:r>
          </w:p>
        </w:tc>
        <w:tc>
          <w:tcPr>
            <w:tcW w:w="1016" w:type="dxa"/>
            <w:vMerge w:val="restart"/>
          </w:tcPr>
          <w:p>
            <w:pPr>
              <w:pStyle w:val="19"/>
              <w:spacing w:before="46"/>
              <w:jc w:val="center"/>
              <w:rPr>
                <w:rFonts w:hint="default" w:ascii="Times New Roman" w:eastAsia="宋体"/>
                <w:sz w:val="21"/>
                <w:lang w:val="en-US" w:eastAsia="zh-CN"/>
              </w:rPr>
            </w:pPr>
            <w:r>
              <w:rPr>
                <w:rFonts w:hint="eastAsia" w:ascii="Times New Roman"/>
                <w:sz w:val="21"/>
                <w:lang w:val="en-US" w:eastAsia="zh-CN"/>
              </w:rPr>
              <w:t>1.04</w:t>
            </w:r>
          </w:p>
        </w:tc>
        <w:tc>
          <w:tcPr>
            <w:tcW w:w="1050" w:type="dxa"/>
            <w:vMerge w:val="restart"/>
          </w:tcPr>
          <w:p>
            <w:pPr>
              <w:pStyle w:val="19"/>
              <w:spacing w:before="32"/>
              <w:ind w:left="9"/>
              <w:jc w:val="center"/>
              <w:rPr>
                <w:sz w:val="21"/>
              </w:rPr>
            </w:pPr>
            <w:r>
              <w:rPr>
                <w:w w:val="99"/>
                <w:sz w:val="21"/>
              </w:rPr>
              <w:t>—</w:t>
            </w:r>
          </w:p>
        </w:tc>
        <w:tc>
          <w:tcPr>
            <w:tcW w:w="1017" w:type="dxa"/>
            <w:vMerge w:val="restart"/>
          </w:tcPr>
          <w:p>
            <w:pPr>
              <w:pStyle w:val="19"/>
              <w:spacing w:before="32"/>
              <w:ind w:left="6"/>
              <w:jc w:val="center"/>
              <w:rPr>
                <w:sz w:val="21"/>
              </w:rPr>
            </w:pPr>
            <w:r>
              <w:rPr>
                <w:w w:val="99"/>
                <w:sz w:val="21"/>
              </w:rPr>
              <w:t>—</w:t>
            </w:r>
          </w:p>
        </w:tc>
        <w:tc>
          <w:tcPr>
            <w:tcW w:w="2590" w:type="dxa"/>
            <w:vMerge w:val="continue"/>
            <w:tcBorders>
              <w:top w:val="nil"/>
              <w:bottom w:val="nil"/>
            </w:tcBorders>
          </w:tcPr>
          <w:p>
            <w:pPr>
              <w:jc w:val="center"/>
              <w:rPr>
                <w:sz w:val="2"/>
                <w:szCs w:val="2"/>
              </w:rPr>
            </w:pP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639" w:type="dxa"/>
            <w:tcBorders>
              <w:top w:val="nil"/>
              <w:bottom w:val="nil"/>
            </w:tcBorders>
          </w:tcPr>
          <w:p>
            <w:pPr>
              <w:pStyle w:val="19"/>
              <w:spacing w:line="224" w:lineRule="exact"/>
              <w:ind w:left="107"/>
              <w:jc w:val="center"/>
              <w:rPr>
                <w:sz w:val="21"/>
              </w:rPr>
            </w:pPr>
            <w:r>
              <w:rPr>
                <w:sz w:val="21"/>
              </w:rPr>
              <w:t>固体</w:t>
            </w:r>
          </w:p>
        </w:tc>
        <w:tc>
          <w:tcPr>
            <w:tcW w:w="1066" w:type="dxa"/>
            <w:tcBorders>
              <w:top w:val="nil"/>
              <w:bottom w:val="nil"/>
            </w:tcBorders>
          </w:tcPr>
          <w:p>
            <w:pPr>
              <w:pStyle w:val="19"/>
              <w:jc w:val="center"/>
              <w:rPr>
                <w:rFonts w:ascii="Times New Roman"/>
                <w:sz w:val="16"/>
              </w:rPr>
            </w:pPr>
          </w:p>
        </w:tc>
        <w:tc>
          <w:tcPr>
            <w:tcW w:w="1100" w:type="dxa"/>
            <w:vMerge w:val="continue"/>
            <w:tcBorders>
              <w:top w:val="nil"/>
            </w:tcBorders>
          </w:tcPr>
          <w:p>
            <w:pPr>
              <w:jc w:val="center"/>
              <w:rPr>
                <w:sz w:val="2"/>
                <w:szCs w:val="2"/>
              </w:rPr>
            </w:pPr>
          </w:p>
        </w:tc>
        <w:tc>
          <w:tcPr>
            <w:tcW w:w="650" w:type="dxa"/>
            <w:tcBorders>
              <w:top w:val="nil"/>
              <w:bottom w:val="nil"/>
            </w:tcBorders>
          </w:tcPr>
          <w:p>
            <w:pPr>
              <w:pStyle w:val="19"/>
              <w:jc w:val="center"/>
              <w:rPr>
                <w:rFonts w:ascii="Times New Roman"/>
                <w:sz w:val="16"/>
              </w:rPr>
            </w:pPr>
          </w:p>
        </w:tc>
        <w:tc>
          <w:tcPr>
            <w:tcW w:w="1878" w:type="dxa"/>
            <w:vMerge w:val="continue"/>
            <w:tcBorders>
              <w:top w:val="nil"/>
            </w:tcBorders>
          </w:tcPr>
          <w:p>
            <w:pPr>
              <w:jc w:val="center"/>
              <w:rPr>
                <w:sz w:val="2"/>
                <w:szCs w:val="2"/>
              </w:rPr>
            </w:pPr>
          </w:p>
        </w:tc>
        <w:tc>
          <w:tcPr>
            <w:tcW w:w="1156" w:type="dxa"/>
            <w:vMerge w:val="continue"/>
            <w:tcBorders>
              <w:top w:val="nil"/>
            </w:tcBorders>
          </w:tcPr>
          <w:p>
            <w:pPr>
              <w:jc w:val="center"/>
              <w:rPr>
                <w:sz w:val="2"/>
                <w:szCs w:val="2"/>
              </w:rPr>
            </w:pPr>
          </w:p>
        </w:tc>
        <w:tc>
          <w:tcPr>
            <w:tcW w:w="1000" w:type="dxa"/>
            <w:vMerge w:val="continue"/>
            <w:tcBorders>
              <w:top w:val="nil"/>
            </w:tcBorders>
          </w:tcPr>
          <w:p>
            <w:pPr>
              <w:jc w:val="center"/>
              <w:rPr>
                <w:sz w:val="2"/>
                <w:szCs w:val="2"/>
              </w:rPr>
            </w:pPr>
          </w:p>
        </w:tc>
        <w:tc>
          <w:tcPr>
            <w:tcW w:w="1016" w:type="dxa"/>
            <w:vMerge w:val="continue"/>
            <w:tcBorders>
              <w:top w:val="nil"/>
            </w:tcBorders>
          </w:tcPr>
          <w:p>
            <w:pPr>
              <w:jc w:val="center"/>
              <w:rPr>
                <w:sz w:val="2"/>
                <w:szCs w:val="2"/>
              </w:rPr>
            </w:pPr>
          </w:p>
        </w:tc>
        <w:tc>
          <w:tcPr>
            <w:tcW w:w="1050" w:type="dxa"/>
            <w:vMerge w:val="continue"/>
            <w:tcBorders>
              <w:top w:val="nil"/>
            </w:tcBorders>
          </w:tcPr>
          <w:p>
            <w:pPr>
              <w:jc w:val="center"/>
              <w:rPr>
                <w:sz w:val="2"/>
                <w:szCs w:val="2"/>
              </w:rPr>
            </w:pPr>
          </w:p>
        </w:tc>
        <w:tc>
          <w:tcPr>
            <w:tcW w:w="1017" w:type="dxa"/>
            <w:vMerge w:val="continue"/>
            <w:tcBorders>
              <w:top w:val="nil"/>
            </w:tcBorders>
          </w:tcPr>
          <w:p>
            <w:pPr>
              <w:jc w:val="center"/>
              <w:rPr>
                <w:sz w:val="2"/>
                <w:szCs w:val="2"/>
              </w:rPr>
            </w:pPr>
          </w:p>
        </w:tc>
        <w:tc>
          <w:tcPr>
            <w:tcW w:w="2590" w:type="dxa"/>
            <w:tcBorders>
              <w:top w:val="nil"/>
              <w:bottom w:val="nil"/>
            </w:tcBorders>
          </w:tcPr>
          <w:p>
            <w:pPr>
              <w:pStyle w:val="19"/>
              <w:spacing w:line="224" w:lineRule="exact"/>
              <w:ind w:left="107"/>
              <w:jc w:val="center"/>
              <w:rPr>
                <w:sz w:val="21"/>
              </w:rPr>
            </w:pPr>
            <w:r>
              <w:rPr>
                <w:sz w:val="21"/>
              </w:rPr>
              <w:t>（</w:t>
            </w:r>
            <w:r>
              <w:rPr>
                <w:rFonts w:ascii="Times New Roman" w:eastAsia="Times New Roman"/>
                <w:sz w:val="21"/>
              </w:rPr>
              <w:t>GB18599-2001</w:t>
            </w:r>
            <w:r>
              <w:rPr>
                <w:sz w:val="21"/>
              </w:rPr>
              <w:t>）</w:t>
            </w: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9" w:type="dxa"/>
            <w:vMerge w:val="restart"/>
            <w:tcBorders>
              <w:top w:val="nil"/>
              <w:bottom w:val="nil"/>
            </w:tcBorders>
          </w:tcPr>
          <w:p>
            <w:pPr>
              <w:pStyle w:val="19"/>
              <w:spacing w:line="244" w:lineRule="exact"/>
              <w:ind w:left="107"/>
              <w:jc w:val="center"/>
              <w:rPr>
                <w:sz w:val="21"/>
              </w:rPr>
            </w:pPr>
            <w:r>
              <w:rPr>
                <w:sz w:val="21"/>
              </w:rPr>
              <w:t>废物</w:t>
            </w:r>
          </w:p>
        </w:tc>
        <w:tc>
          <w:tcPr>
            <w:tcW w:w="1066" w:type="dxa"/>
            <w:tcBorders>
              <w:top w:val="nil"/>
            </w:tcBorders>
          </w:tcPr>
          <w:p>
            <w:pPr>
              <w:pStyle w:val="19"/>
              <w:jc w:val="center"/>
              <w:rPr>
                <w:rFonts w:ascii="Times New Roman"/>
                <w:sz w:val="2"/>
              </w:rPr>
            </w:pPr>
          </w:p>
        </w:tc>
        <w:tc>
          <w:tcPr>
            <w:tcW w:w="1100" w:type="dxa"/>
            <w:vMerge w:val="continue"/>
            <w:tcBorders>
              <w:top w:val="nil"/>
            </w:tcBorders>
          </w:tcPr>
          <w:p>
            <w:pPr>
              <w:jc w:val="center"/>
              <w:rPr>
                <w:sz w:val="2"/>
                <w:szCs w:val="2"/>
              </w:rPr>
            </w:pPr>
          </w:p>
        </w:tc>
        <w:tc>
          <w:tcPr>
            <w:tcW w:w="650" w:type="dxa"/>
            <w:tcBorders>
              <w:top w:val="nil"/>
            </w:tcBorders>
          </w:tcPr>
          <w:p>
            <w:pPr>
              <w:pStyle w:val="19"/>
              <w:jc w:val="center"/>
              <w:rPr>
                <w:rFonts w:ascii="Times New Roman"/>
                <w:sz w:val="2"/>
              </w:rPr>
            </w:pPr>
          </w:p>
        </w:tc>
        <w:tc>
          <w:tcPr>
            <w:tcW w:w="1878" w:type="dxa"/>
            <w:vMerge w:val="continue"/>
            <w:tcBorders>
              <w:top w:val="nil"/>
            </w:tcBorders>
          </w:tcPr>
          <w:p>
            <w:pPr>
              <w:jc w:val="center"/>
              <w:rPr>
                <w:sz w:val="2"/>
                <w:szCs w:val="2"/>
              </w:rPr>
            </w:pPr>
          </w:p>
        </w:tc>
        <w:tc>
          <w:tcPr>
            <w:tcW w:w="1156" w:type="dxa"/>
            <w:vMerge w:val="continue"/>
            <w:tcBorders>
              <w:top w:val="nil"/>
            </w:tcBorders>
          </w:tcPr>
          <w:p>
            <w:pPr>
              <w:jc w:val="center"/>
              <w:rPr>
                <w:sz w:val="2"/>
                <w:szCs w:val="2"/>
              </w:rPr>
            </w:pPr>
          </w:p>
        </w:tc>
        <w:tc>
          <w:tcPr>
            <w:tcW w:w="1000" w:type="dxa"/>
            <w:vMerge w:val="continue"/>
            <w:tcBorders>
              <w:top w:val="nil"/>
            </w:tcBorders>
          </w:tcPr>
          <w:p>
            <w:pPr>
              <w:jc w:val="center"/>
              <w:rPr>
                <w:sz w:val="2"/>
                <w:szCs w:val="2"/>
              </w:rPr>
            </w:pPr>
          </w:p>
        </w:tc>
        <w:tc>
          <w:tcPr>
            <w:tcW w:w="1016" w:type="dxa"/>
            <w:vMerge w:val="continue"/>
            <w:tcBorders>
              <w:top w:val="nil"/>
            </w:tcBorders>
          </w:tcPr>
          <w:p>
            <w:pPr>
              <w:jc w:val="center"/>
              <w:rPr>
                <w:sz w:val="2"/>
                <w:szCs w:val="2"/>
              </w:rPr>
            </w:pPr>
          </w:p>
        </w:tc>
        <w:tc>
          <w:tcPr>
            <w:tcW w:w="1050" w:type="dxa"/>
            <w:vMerge w:val="continue"/>
            <w:tcBorders>
              <w:top w:val="nil"/>
            </w:tcBorders>
          </w:tcPr>
          <w:p>
            <w:pPr>
              <w:jc w:val="center"/>
              <w:rPr>
                <w:sz w:val="2"/>
                <w:szCs w:val="2"/>
              </w:rPr>
            </w:pPr>
          </w:p>
        </w:tc>
        <w:tc>
          <w:tcPr>
            <w:tcW w:w="1017" w:type="dxa"/>
            <w:vMerge w:val="continue"/>
            <w:tcBorders>
              <w:top w:val="nil"/>
            </w:tcBorders>
          </w:tcPr>
          <w:p>
            <w:pPr>
              <w:jc w:val="center"/>
              <w:rPr>
                <w:sz w:val="2"/>
                <w:szCs w:val="2"/>
              </w:rPr>
            </w:pPr>
          </w:p>
        </w:tc>
        <w:tc>
          <w:tcPr>
            <w:tcW w:w="2590" w:type="dxa"/>
            <w:tcBorders>
              <w:top w:val="nil"/>
            </w:tcBorders>
          </w:tcPr>
          <w:p>
            <w:pPr>
              <w:pStyle w:val="19"/>
              <w:jc w:val="center"/>
              <w:rPr>
                <w:rFonts w:ascii="Times New Roman"/>
                <w:sz w:val="2"/>
              </w:rPr>
            </w:pP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639" w:type="dxa"/>
            <w:vMerge w:val="continue"/>
            <w:tcBorders>
              <w:top w:val="nil"/>
              <w:bottom w:val="nil"/>
            </w:tcBorders>
          </w:tcPr>
          <w:p>
            <w:pPr>
              <w:jc w:val="center"/>
              <w:rPr>
                <w:sz w:val="2"/>
                <w:szCs w:val="2"/>
              </w:rPr>
            </w:pPr>
          </w:p>
        </w:tc>
        <w:tc>
          <w:tcPr>
            <w:tcW w:w="1066" w:type="dxa"/>
            <w:tcBorders>
              <w:bottom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after="0" w:afterLines="50" w:line="212" w:lineRule="exact"/>
              <w:ind w:left="107"/>
              <w:jc w:val="both"/>
              <w:textAlignment w:val="auto"/>
              <w:rPr>
                <w:sz w:val="21"/>
              </w:rPr>
            </w:pPr>
            <w:r>
              <w:rPr>
                <w:sz w:val="21"/>
              </w:rPr>
              <w:t>无害化处</w:t>
            </w:r>
          </w:p>
        </w:tc>
        <w:tc>
          <w:tcPr>
            <w:tcW w:w="1100" w:type="dxa"/>
            <w:tcBorders>
              <w:bottom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50" w:after="0" w:afterLines="50" w:line="212" w:lineRule="exact"/>
              <w:ind w:left="109" w:right="100"/>
              <w:jc w:val="both"/>
              <w:textAlignment w:val="auto"/>
              <w:rPr>
                <w:sz w:val="21"/>
              </w:rPr>
            </w:pPr>
            <w:r>
              <w:rPr>
                <w:sz w:val="21"/>
              </w:rPr>
              <w:t>病死羊及</w:t>
            </w:r>
          </w:p>
        </w:tc>
        <w:tc>
          <w:tcPr>
            <w:tcW w:w="650" w:type="dxa"/>
            <w:tcBorders>
              <w:bottom w:val="nil"/>
            </w:tcBorders>
          </w:tcPr>
          <w:p>
            <w:pPr>
              <w:pStyle w:val="19"/>
              <w:jc w:val="center"/>
              <w:rPr>
                <w:rFonts w:ascii="Times New Roman"/>
                <w:sz w:val="16"/>
              </w:rPr>
            </w:pPr>
          </w:p>
        </w:tc>
        <w:tc>
          <w:tcPr>
            <w:tcW w:w="1878" w:type="dxa"/>
            <w:vMerge w:val="restart"/>
          </w:tcPr>
          <w:p>
            <w:pPr>
              <w:pStyle w:val="19"/>
              <w:spacing w:before="102"/>
              <w:ind w:left="108"/>
              <w:jc w:val="center"/>
              <w:rPr>
                <w:sz w:val="21"/>
              </w:rPr>
            </w:pPr>
            <w:r>
              <w:rPr>
                <w:sz w:val="21"/>
              </w:rPr>
              <w:t>填埋井安全填埋</w:t>
            </w:r>
          </w:p>
        </w:tc>
        <w:tc>
          <w:tcPr>
            <w:tcW w:w="1156" w:type="dxa"/>
            <w:vMerge w:val="restart"/>
          </w:tcPr>
          <w:p>
            <w:pPr>
              <w:pStyle w:val="19"/>
              <w:spacing w:before="102"/>
              <w:ind w:left="7"/>
              <w:jc w:val="center"/>
              <w:rPr>
                <w:sz w:val="21"/>
              </w:rPr>
            </w:pPr>
            <w:r>
              <w:rPr>
                <w:w w:val="99"/>
                <w:sz w:val="21"/>
              </w:rPr>
              <w:t>—</w:t>
            </w:r>
          </w:p>
        </w:tc>
        <w:tc>
          <w:tcPr>
            <w:tcW w:w="1000" w:type="dxa"/>
            <w:vMerge w:val="restart"/>
          </w:tcPr>
          <w:p>
            <w:pPr>
              <w:pStyle w:val="19"/>
              <w:spacing w:before="102"/>
              <w:ind w:left="6"/>
              <w:jc w:val="center"/>
              <w:rPr>
                <w:sz w:val="21"/>
              </w:rPr>
            </w:pPr>
            <w:r>
              <w:rPr>
                <w:w w:val="99"/>
                <w:sz w:val="21"/>
              </w:rPr>
              <w:t>—</w:t>
            </w:r>
          </w:p>
        </w:tc>
        <w:tc>
          <w:tcPr>
            <w:tcW w:w="1016" w:type="dxa"/>
            <w:vMerge w:val="restart"/>
          </w:tcPr>
          <w:p>
            <w:pPr>
              <w:pStyle w:val="19"/>
              <w:spacing w:before="88"/>
              <w:ind w:left="298"/>
              <w:jc w:val="center"/>
              <w:rPr>
                <w:rFonts w:hint="eastAsia" w:ascii="Times New Roman" w:eastAsia="宋体"/>
                <w:sz w:val="24"/>
                <w:lang w:val="en-US" w:eastAsia="zh-CN"/>
              </w:rPr>
            </w:pPr>
            <w:r>
              <w:rPr>
                <w:rFonts w:hint="eastAsia" w:ascii="Times New Roman"/>
                <w:sz w:val="24"/>
                <w:lang w:val="en-US" w:eastAsia="zh-CN"/>
              </w:rPr>
              <w:t>8</w:t>
            </w:r>
          </w:p>
        </w:tc>
        <w:tc>
          <w:tcPr>
            <w:tcW w:w="1050" w:type="dxa"/>
            <w:vMerge w:val="restart"/>
          </w:tcPr>
          <w:p>
            <w:pPr>
              <w:pStyle w:val="19"/>
              <w:spacing w:before="102"/>
              <w:ind w:left="9"/>
              <w:jc w:val="center"/>
              <w:rPr>
                <w:sz w:val="21"/>
              </w:rPr>
            </w:pPr>
            <w:r>
              <w:rPr>
                <w:w w:val="99"/>
                <w:sz w:val="21"/>
              </w:rPr>
              <w:t>—</w:t>
            </w:r>
          </w:p>
        </w:tc>
        <w:tc>
          <w:tcPr>
            <w:tcW w:w="1017" w:type="dxa"/>
            <w:vMerge w:val="restart"/>
          </w:tcPr>
          <w:p>
            <w:pPr>
              <w:pStyle w:val="19"/>
              <w:spacing w:before="102"/>
              <w:ind w:left="6"/>
              <w:jc w:val="center"/>
              <w:rPr>
                <w:sz w:val="21"/>
              </w:rPr>
            </w:pPr>
            <w:r>
              <w:rPr>
                <w:w w:val="99"/>
                <w:sz w:val="21"/>
              </w:rPr>
              <w:t>—</w:t>
            </w:r>
          </w:p>
        </w:tc>
        <w:tc>
          <w:tcPr>
            <w:tcW w:w="2590" w:type="dxa"/>
            <w:tcBorders>
              <w:bottom w:val="nil"/>
            </w:tcBorders>
          </w:tcPr>
          <w:p>
            <w:pPr>
              <w:pStyle w:val="19"/>
              <w:spacing w:line="212" w:lineRule="exact"/>
              <w:ind w:left="107"/>
              <w:jc w:val="center"/>
              <w:rPr>
                <w:sz w:val="21"/>
              </w:rPr>
            </w:pPr>
            <w:r>
              <w:rPr>
                <w:sz w:val="21"/>
              </w:rPr>
              <w:t>满足《畜禽养殖业污染防</w:t>
            </w: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39" w:type="dxa"/>
            <w:vMerge w:val="restart"/>
            <w:tcBorders>
              <w:top w:val="nil"/>
            </w:tcBorders>
          </w:tcPr>
          <w:p>
            <w:pPr>
              <w:pStyle w:val="19"/>
              <w:jc w:val="center"/>
              <w:rPr>
                <w:rFonts w:ascii="Times New Roman"/>
                <w:sz w:val="20"/>
              </w:rPr>
            </w:pPr>
          </w:p>
        </w:tc>
        <w:tc>
          <w:tcPr>
            <w:tcW w:w="1066" w:type="dxa"/>
            <w:tcBorders>
              <w:top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100" w:after="0" w:line="218" w:lineRule="exact"/>
              <w:ind w:left="107"/>
              <w:jc w:val="center"/>
              <w:textAlignment w:val="auto"/>
              <w:rPr>
                <w:sz w:val="21"/>
              </w:rPr>
            </w:pPr>
            <w:r>
              <w:rPr>
                <w:sz w:val="21"/>
              </w:rPr>
              <w:t>理车间</w:t>
            </w:r>
          </w:p>
        </w:tc>
        <w:tc>
          <w:tcPr>
            <w:tcW w:w="1100" w:type="dxa"/>
            <w:tcBorders>
              <w:top w:val="nil"/>
            </w:tcBorders>
          </w:tcPr>
          <w:p>
            <w:pPr>
              <w:pStyle w:val="19"/>
              <w:keepNext w:val="0"/>
              <w:keepLines w:val="0"/>
              <w:pageBreakBefore w:val="0"/>
              <w:widowControl w:val="0"/>
              <w:kinsoku/>
              <w:wordWrap/>
              <w:overflowPunct/>
              <w:topLinePunct w:val="0"/>
              <w:autoSpaceDE w:val="0"/>
              <w:autoSpaceDN w:val="0"/>
              <w:bidi w:val="0"/>
              <w:adjustRightInd/>
              <w:snapToGrid/>
              <w:spacing w:before="0" w:beforeLines="100" w:after="0" w:line="218" w:lineRule="exact"/>
              <w:ind w:left="106" w:right="100"/>
              <w:jc w:val="center"/>
              <w:textAlignment w:val="auto"/>
              <w:rPr>
                <w:sz w:val="21"/>
              </w:rPr>
            </w:pPr>
            <w:r>
              <w:rPr>
                <w:sz w:val="21"/>
              </w:rPr>
              <w:t>分娩物</w:t>
            </w:r>
          </w:p>
        </w:tc>
        <w:tc>
          <w:tcPr>
            <w:tcW w:w="650" w:type="dxa"/>
            <w:vMerge w:val="restart"/>
            <w:tcBorders>
              <w:top w:val="nil"/>
            </w:tcBorders>
          </w:tcPr>
          <w:p>
            <w:pPr>
              <w:pStyle w:val="19"/>
              <w:spacing w:before="128" w:line="213" w:lineRule="auto"/>
              <w:ind w:left="115" w:right="104"/>
              <w:jc w:val="center"/>
              <w:rPr>
                <w:sz w:val="21"/>
              </w:rPr>
            </w:pPr>
            <w:r>
              <w:rPr>
                <w:sz w:val="21"/>
              </w:rPr>
              <w:t>危险废物</w:t>
            </w:r>
          </w:p>
        </w:tc>
        <w:tc>
          <w:tcPr>
            <w:tcW w:w="1878" w:type="dxa"/>
            <w:vMerge w:val="continue"/>
            <w:tcBorders>
              <w:top w:val="nil"/>
            </w:tcBorders>
          </w:tcPr>
          <w:p>
            <w:pPr>
              <w:jc w:val="center"/>
              <w:rPr>
                <w:sz w:val="2"/>
                <w:szCs w:val="2"/>
              </w:rPr>
            </w:pPr>
          </w:p>
        </w:tc>
        <w:tc>
          <w:tcPr>
            <w:tcW w:w="1156" w:type="dxa"/>
            <w:vMerge w:val="continue"/>
            <w:tcBorders>
              <w:top w:val="nil"/>
            </w:tcBorders>
          </w:tcPr>
          <w:p>
            <w:pPr>
              <w:jc w:val="center"/>
              <w:rPr>
                <w:sz w:val="2"/>
                <w:szCs w:val="2"/>
              </w:rPr>
            </w:pPr>
          </w:p>
        </w:tc>
        <w:tc>
          <w:tcPr>
            <w:tcW w:w="1000" w:type="dxa"/>
            <w:vMerge w:val="continue"/>
            <w:tcBorders>
              <w:top w:val="nil"/>
            </w:tcBorders>
          </w:tcPr>
          <w:p>
            <w:pPr>
              <w:jc w:val="center"/>
              <w:rPr>
                <w:sz w:val="2"/>
                <w:szCs w:val="2"/>
              </w:rPr>
            </w:pPr>
          </w:p>
        </w:tc>
        <w:tc>
          <w:tcPr>
            <w:tcW w:w="1016" w:type="dxa"/>
            <w:vMerge w:val="continue"/>
            <w:tcBorders>
              <w:top w:val="nil"/>
            </w:tcBorders>
          </w:tcPr>
          <w:p>
            <w:pPr>
              <w:jc w:val="center"/>
              <w:rPr>
                <w:sz w:val="2"/>
                <w:szCs w:val="2"/>
              </w:rPr>
            </w:pPr>
          </w:p>
        </w:tc>
        <w:tc>
          <w:tcPr>
            <w:tcW w:w="1050" w:type="dxa"/>
            <w:vMerge w:val="continue"/>
            <w:tcBorders>
              <w:top w:val="nil"/>
            </w:tcBorders>
          </w:tcPr>
          <w:p>
            <w:pPr>
              <w:jc w:val="center"/>
              <w:rPr>
                <w:sz w:val="2"/>
                <w:szCs w:val="2"/>
              </w:rPr>
            </w:pPr>
          </w:p>
        </w:tc>
        <w:tc>
          <w:tcPr>
            <w:tcW w:w="1017" w:type="dxa"/>
            <w:vMerge w:val="continue"/>
            <w:tcBorders>
              <w:top w:val="nil"/>
            </w:tcBorders>
          </w:tcPr>
          <w:p>
            <w:pPr>
              <w:jc w:val="center"/>
              <w:rPr>
                <w:sz w:val="2"/>
                <w:szCs w:val="2"/>
              </w:rPr>
            </w:pPr>
          </w:p>
        </w:tc>
        <w:tc>
          <w:tcPr>
            <w:tcW w:w="2590" w:type="dxa"/>
            <w:tcBorders>
              <w:top w:val="nil"/>
            </w:tcBorders>
          </w:tcPr>
          <w:p>
            <w:pPr>
              <w:pStyle w:val="19"/>
              <w:spacing w:line="218" w:lineRule="exact"/>
              <w:ind w:left="107"/>
              <w:jc w:val="center"/>
              <w:rPr>
                <w:sz w:val="21"/>
              </w:rPr>
            </w:pPr>
            <w:r>
              <w:rPr>
                <w:sz w:val="21"/>
              </w:rPr>
              <w:t>治技术规范》要求</w:t>
            </w:r>
          </w:p>
        </w:tc>
        <w:tc>
          <w:tcPr>
            <w:tcW w:w="1023"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3" w:hRule="atLeast"/>
        </w:trPr>
        <w:tc>
          <w:tcPr>
            <w:tcW w:w="639" w:type="dxa"/>
            <w:vMerge w:val="continue"/>
            <w:tcBorders>
              <w:top w:val="nil"/>
            </w:tcBorders>
          </w:tcPr>
          <w:p>
            <w:pPr>
              <w:jc w:val="center"/>
              <w:rPr>
                <w:sz w:val="2"/>
                <w:szCs w:val="2"/>
              </w:rPr>
            </w:pPr>
          </w:p>
        </w:tc>
        <w:tc>
          <w:tcPr>
            <w:tcW w:w="1066" w:type="dxa"/>
          </w:tcPr>
          <w:p>
            <w:pPr>
              <w:pStyle w:val="19"/>
              <w:spacing w:before="125" w:line="213" w:lineRule="auto"/>
              <w:ind w:left="107" w:right="109"/>
              <w:jc w:val="center"/>
              <w:rPr>
                <w:sz w:val="21"/>
              </w:rPr>
            </w:pPr>
            <w:r>
              <w:rPr>
                <w:sz w:val="21"/>
              </w:rPr>
              <w:t>兽医实验室</w:t>
            </w:r>
          </w:p>
        </w:tc>
        <w:tc>
          <w:tcPr>
            <w:tcW w:w="1100" w:type="dxa"/>
          </w:tcPr>
          <w:p>
            <w:pPr>
              <w:pStyle w:val="19"/>
              <w:spacing w:before="125" w:line="213" w:lineRule="auto"/>
              <w:ind w:left="445" w:right="119" w:hanging="315"/>
              <w:jc w:val="center"/>
              <w:rPr>
                <w:sz w:val="21"/>
              </w:rPr>
            </w:pPr>
            <w:r>
              <w:rPr>
                <w:sz w:val="21"/>
              </w:rPr>
              <w:t>医疗废弃物</w:t>
            </w:r>
          </w:p>
        </w:tc>
        <w:tc>
          <w:tcPr>
            <w:tcW w:w="650" w:type="dxa"/>
            <w:vMerge w:val="continue"/>
            <w:tcBorders>
              <w:top w:val="nil"/>
            </w:tcBorders>
          </w:tcPr>
          <w:p>
            <w:pPr>
              <w:jc w:val="center"/>
              <w:rPr>
                <w:sz w:val="2"/>
                <w:szCs w:val="2"/>
              </w:rPr>
            </w:pPr>
          </w:p>
        </w:tc>
        <w:tc>
          <w:tcPr>
            <w:tcW w:w="1878" w:type="dxa"/>
          </w:tcPr>
          <w:p>
            <w:pPr>
              <w:pStyle w:val="19"/>
              <w:spacing w:before="125" w:line="213" w:lineRule="auto"/>
              <w:ind w:left="108" w:right="288"/>
              <w:jc w:val="center"/>
              <w:rPr>
                <w:sz w:val="21"/>
              </w:rPr>
            </w:pPr>
            <w:r>
              <w:rPr>
                <w:sz w:val="21"/>
              </w:rPr>
              <w:t>集中收集后交由有资质单位处置</w:t>
            </w:r>
          </w:p>
        </w:tc>
        <w:tc>
          <w:tcPr>
            <w:tcW w:w="1156" w:type="dxa"/>
          </w:tcPr>
          <w:p>
            <w:pPr>
              <w:pStyle w:val="19"/>
              <w:spacing w:before="3"/>
              <w:jc w:val="center"/>
              <w:rPr>
                <w:b/>
                <w:sz w:val="17"/>
              </w:rPr>
            </w:pPr>
          </w:p>
          <w:p>
            <w:pPr>
              <w:pStyle w:val="19"/>
              <w:spacing w:before="1"/>
              <w:ind w:left="7"/>
              <w:jc w:val="center"/>
              <w:rPr>
                <w:sz w:val="21"/>
              </w:rPr>
            </w:pPr>
            <w:r>
              <w:rPr>
                <w:w w:val="99"/>
                <w:sz w:val="21"/>
              </w:rPr>
              <w:t>—</w:t>
            </w:r>
          </w:p>
        </w:tc>
        <w:tc>
          <w:tcPr>
            <w:tcW w:w="1000" w:type="dxa"/>
          </w:tcPr>
          <w:p>
            <w:pPr>
              <w:pStyle w:val="19"/>
              <w:spacing w:before="3"/>
              <w:jc w:val="center"/>
              <w:rPr>
                <w:b/>
                <w:sz w:val="17"/>
              </w:rPr>
            </w:pPr>
          </w:p>
          <w:p>
            <w:pPr>
              <w:pStyle w:val="19"/>
              <w:spacing w:before="1"/>
              <w:ind w:left="6"/>
              <w:jc w:val="center"/>
              <w:rPr>
                <w:sz w:val="21"/>
              </w:rPr>
            </w:pPr>
            <w:r>
              <w:rPr>
                <w:w w:val="99"/>
                <w:sz w:val="21"/>
              </w:rPr>
              <w:t>—</w:t>
            </w:r>
          </w:p>
        </w:tc>
        <w:tc>
          <w:tcPr>
            <w:tcW w:w="1016" w:type="dxa"/>
          </w:tcPr>
          <w:p>
            <w:pPr>
              <w:pStyle w:val="19"/>
              <w:spacing w:before="5"/>
              <w:jc w:val="center"/>
              <w:rPr>
                <w:b/>
                <w:sz w:val="18"/>
              </w:rPr>
            </w:pPr>
          </w:p>
          <w:p>
            <w:pPr>
              <w:pStyle w:val="19"/>
              <w:jc w:val="center"/>
              <w:rPr>
                <w:rFonts w:ascii="Times New Roman"/>
                <w:sz w:val="21"/>
              </w:rPr>
            </w:pPr>
            <w:r>
              <w:rPr>
                <w:rFonts w:ascii="Times New Roman"/>
                <w:sz w:val="21"/>
              </w:rPr>
              <w:t>6.85</w:t>
            </w:r>
          </w:p>
        </w:tc>
        <w:tc>
          <w:tcPr>
            <w:tcW w:w="1050" w:type="dxa"/>
          </w:tcPr>
          <w:p>
            <w:pPr>
              <w:pStyle w:val="19"/>
              <w:spacing w:before="3"/>
              <w:jc w:val="center"/>
              <w:rPr>
                <w:b/>
                <w:sz w:val="17"/>
              </w:rPr>
            </w:pPr>
          </w:p>
          <w:p>
            <w:pPr>
              <w:pStyle w:val="19"/>
              <w:spacing w:before="1"/>
              <w:ind w:left="420"/>
              <w:jc w:val="center"/>
              <w:rPr>
                <w:sz w:val="21"/>
              </w:rPr>
            </w:pPr>
            <w:r>
              <w:rPr>
                <w:w w:val="99"/>
                <w:sz w:val="21"/>
              </w:rPr>
              <w:t>—</w:t>
            </w:r>
          </w:p>
        </w:tc>
        <w:tc>
          <w:tcPr>
            <w:tcW w:w="1017" w:type="dxa"/>
          </w:tcPr>
          <w:p>
            <w:pPr>
              <w:pStyle w:val="19"/>
              <w:spacing w:before="3"/>
              <w:jc w:val="center"/>
              <w:rPr>
                <w:b/>
                <w:sz w:val="17"/>
              </w:rPr>
            </w:pPr>
          </w:p>
          <w:p>
            <w:pPr>
              <w:pStyle w:val="19"/>
              <w:spacing w:before="1"/>
              <w:ind w:left="6"/>
              <w:jc w:val="center"/>
              <w:rPr>
                <w:sz w:val="21"/>
              </w:rPr>
            </w:pPr>
            <w:r>
              <w:rPr>
                <w:w w:val="99"/>
                <w:sz w:val="21"/>
              </w:rPr>
              <w:t>—</w:t>
            </w:r>
          </w:p>
        </w:tc>
        <w:tc>
          <w:tcPr>
            <w:tcW w:w="2590" w:type="dxa"/>
          </w:tcPr>
          <w:p>
            <w:pPr>
              <w:pStyle w:val="19"/>
              <w:spacing w:before="5" w:line="213" w:lineRule="auto"/>
              <w:ind w:left="107" w:right="115"/>
              <w:jc w:val="center"/>
              <w:rPr>
                <w:sz w:val="21"/>
              </w:rPr>
            </w:pPr>
            <w:r>
              <w:rPr>
                <w:sz w:val="21"/>
              </w:rPr>
              <w:t>《危险废物贮存污染控制</w:t>
            </w:r>
            <w:r>
              <w:rPr>
                <w:w w:val="95"/>
                <w:sz w:val="21"/>
              </w:rPr>
              <w:t>标准》（</w:t>
            </w:r>
            <w:r>
              <w:rPr>
                <w:rFonts w:ascii="Times New Roman" w:eastAsia="Times New Roman"/>
                <w:w w:val="95"/>
                <w:sz w:val="21"/>
              </w:rPr>
              <w:t>GB18597-2001</w:t>
            </w:r>
            <w:r>
              <w:rPr>
                <w:w w:val="95"/>
                <w:sz w:val="21"/>
              </w:rPr>
              <w:t>）</w:t>
            </w:r>
          </w:p>
          <w:p>
            <w:pPr>
              <w:pStyle w:val="19"/>
              <w:spacing w:line="216" w:lineRule="exact"/>
              <w:ind w:left="107"/>
              <w:jc w:val="center"/>
              <w:rPr>
                <w:sz w:val="21"/>
              </w:rPr>
            </w:pPr>
            <w:r>
              <w:rPr>
                <w:sz w:val="21"/>
              </w:rPr>
              <w:t>及修改单中的有关规定</w:t>
            </w:r>
          </w:p>
        </w:tc>
        <w:tc>
          <w:tcPr>
            <w:tcW w:w="1023" w:type="dxa"/>
            <w:vMerge w:val="continue"/>
            <w:tcBorders>
              <w:top w:val="nil"/>
            </w:tcBorders>
          </w:tcPr>
          <w:p>
            <w:pPr>
              <w:jc w:val="center"/>
              <w:rPr>
                <w:sz w:val="2"/>
                <w:szCs w:val="2"/>
              </w:rPr>
            </w:pPr>
          </w:p>
        </w:tc>
      </w:tr>
    </w:tbl>
    <w:p>
      <w:pPr>
        <w:pStyle w:val="7"/>
        <w:ind w:left="0"/>
        <w:rPr>
          <w:b/>
          <w:sz w:val="26"/>
        </w:rPr>
      </w:pPr>
    </w:p>
    <w:p>
      <w:pPr>
        <w:pStyle w:val="7"/>
        <w:ind w:left="0"/>
        <w:rPr>
          <w:b/>
          <w:sz w:val="20"/>
        </w:rPr>
      </w:pPr>
    </w:p>
    <w:p>
      <w:pPr>
        <w:spacing w:before="0"/>
        <w:ind w:left="0" w:right="16" w:firstLine="0"/>
        <w:jc w:val="center"/>
        <w:rPr>
          <w:rFonts w:ascii="Times New Roman"/>
          <w:sz w:val="18"/>
        </w:rPr>
      </w:pPr>
      <w:r>
        <w:rPr>
          <w:rFonts w:ascii="Times New Roman"/>
          <w:sz w:val="18"/>
        </w:rPr>
        <w:t>163</w:t>
      </w:r>
    </w:p>
    <w:p>
      <w:pPr>
        <w:spacing w:after="0"/>
        <w:jc w:val="center"/>
        <w:rPr>
          <w:rFonts w:ascii="Times New Roman"/>
          <w:sz w:val="18"/>
        </w:rPr>
        <w:sectPr>
          <w:headerReference r:id="rId28" w:type="default"/>
          <w:footerReference r:id="rId29" w:type="default"/>
          <w:pgSz w:w="16840" w:h="11910" w:orient="landscape"/>
          <w:pgMar w:top="820" w:right="1200" w:bottom="280" w:left="1220" w:header="0" w:footer="0" w:gutter="0"/>
          <w:pgBorders>
            <w:top w:val="none" w:sz="0" w:space="0"/>
            <w:left w:val="none" w:sz="0" w:space="0"/>
            <w:bottom w:val="none" w:sz="0" w:space="0"/>
            <w:right w:val="none" w:sz="0" w:space="0"/>
          </w:pgBorders>
          <w:pgNumType w:fmt="decimal"/>
        </w:sectPr>
      </w:pPr>
    </w:p>
    <w:p>
      <w:pPr>
        <w:pStyle w:val="18"/>
        <w:numPr>
          <w:ilvl w:val="0"/>
          <w:numId w:val="80"/>
        </w:numPr>
        <w:tabs>
          <w:tab w:val="left" w:pos="1301"/>
        </w:tabs>
        <w:spacing w:before="169" w:after="0" w:line="240" w:lineRule="auto"/>
        <w:ind w:left="1301" w:right="0" w:hanging="601"/>
        <w:jc w:val="left"/>
        <w:rPr>
          <w:sz w:val="24"/>
        </w:rPr>
      </w:pPr>
      <w:r>
        <w:rPr>
          <w:sz w:val="24"/>
        </w:rPr>
        <w:t>总量控制指标</w:t>
      </w:r>
    </w:p>
    <w:p>
      <w:pPr>
        <w:pStyle w:val="7"/>
        <w:spacing w:before="161" w:line="364" w:lineRule="auto"/>
        <w:ind w:left="220" w:right="317" w:firstLine="480"/>
        <w:jc w:val="both"/>
      </w:pPr>
      <w:r>
        <w:rPr>
          <w:spacing w:val="-8"/>
        </w:rPr>
        <w:t>本项目羊排泄的尿液被垫料吸收、蒸发，项目定期对垫料层和粪便进行清理</w:t>
      </w:r>
      <w:r>
        <w:rPr>
          <w:spacing w:val="-11"/>
        </w:rPr>
        <w:t>更换，不需要对畜舍进行冲洗，无冲栏废水产生。垫料层与羊粪一起进入堆肥厂</w:t>
      </w:r>
      <w:r>
        <w:rPr>
          <w:spacing w:val="-10"/>
        </w:rPr>
        <w:t>堆肥发酵，废水实现综合利用，不外排。</w:t>
      </w:r>
      <w:r>
        <w:rPr>
          <w:spacing w:val="-6"/>
        </w:rPr>
        <w:t>本项目职工</w:t>
      </w:r>
      <w:r>
        <w:rPr>
          <w:rFonts w:hint="eastAsia"/>
          <w:spacing w:val="-6"/>
          <w:lang w:val="en-US" w:eastAsia="zh-CN"/>
        </w:rPr>
        <w:t>人数较少产生的</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r>
        <w:rPr>
          <w:spacing w:val="-10"/>
        </w:rPr>
        <w:t>因此，本项目不需申请水污染物排放总量控制</w:t>
      </w:r>
      <w:r>
        <w:t>指标。</w:t>
      </w:r>
    </w:p>
    <w:p>
      <w:pPr>
        <w:pStyle w:val="7"/>
        <w:spacing w:before="3" w:line="362" w:lineRule="auto"/>
        <w:ind w:left="220" w:right="225" w:firstLine="480"/>
      </w:pPr>
      <w:r>
        <w:rPr>
          <w:spacing w:val="-1"/>
        </w:rPr>
        <w:t>本项目废气主要为羊舍舍及污粪处理区恶臭气体，污染因子为氨、硫化氢、</w:t>
      </w:r>
      <w:r>
        <w:rPr>
          <w:spacing w:val="-10"/>
          <w:position w:val="2"/>
        </w:rPr>
        <w:t>臭气浓度等，无</w:t>
      </w:r>
      <w:r>
        <w:rPr>
          <w:rFonts w:ascii="Times New Roman" w:eastAsia="Times New Roman"/>
          <w:position w:val="2"/>
        </w:rPr>
        <w:t>SO</w:t>
      </w:r>
      <w:r>
        <w:rPr>
          <w:rFonts w:ascii="Times New Roman" w:eastAsia="Times New Roman"/>
          <w:position w:val="2"/>
          <w:vertAlign w:val="subscript"/>
        </w:rPr>
        <w:t>2</w:t>
      </w:r>
      <w:r>
        <w:rPr>
          <w:spacing w:val="-12"/>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X</w:t>
      </w:r>
      <w:r>
        <w:rPr>
          <w:spacing w:val="-30"/>
          <w:position w:val="2"/>
          <w:vertAlign w:val="baseline"/>
        </w:rPr>
        <w:t>及</w:t>
      </w:r>
      <w:r>
        <w:rPr>
          <w:rFonts w:ascii="Times New Roman" w:eastAsia="Times New Roman"/>
          <w:position w:val="2"/>
          <w:vertAlign w:val="baseline"/>
        </w:rPr>
        <w:t>VOC</w:t>
      </w:r>
      <w:r>
        <w:rPr>
          <w:rFonts w:ascii="Times New Roman" w:eastAsia="Times New Roman"/>
          <w:position w:val="2"/>
          <w:vertAlign w:val="subscript"/>
        </w:rPr>
        <w:t>S</w:t>
      </w:r>
      <w:r>
        <w:rPr>
          <w:spacing w:val="-5"/>
          <w:position w:val="2"/>
          <w:vertAlign w:val="baseline"/>
        </w:rPr>
        <w:t>排放，因此，本项目不需申请废气污染物排</w:t>
      </w:r>
      <w:r>
        <w:rPr>
          <w:spacing w:val="-5"/>
          <w:vertAlign w:val="baseline"/>
        </w:rPr>
        <w:t>污总量控制指标。</w:t>
      </w:r>
    </w:p>
    <w:p>
      <w:pPr>
        <w:pStyle w:val="7"/>
        <w:spacing w:before="6"/>
        <w:ind w:left="700"/>
      </w:pPr>
      <w:r>
        <w:t>综上所述，本项目无需申请总量控制指标。</w:t>
      </w:r>
    </w:p>
    <w:p>
      <w:pPr>
        <w:pStyle w:val="18"/>
        <w:numPr>
          <w:ilvl w:val="0"/>
          <w:numId w:val="80"/>
        </w:numPr>
        <w:tabs>
          <w:tab w:val="left" w:pos="1301"/>
        </w:tabs>
        <w:spacing w:before="161" w:after="0" w:line="240" w:lineRule="auto"/>
        <w:ind w:left="1301" w:right="0" w:hanging="601"/>
        <w:jc w:val="left"/>
        <w:rPr>
          <w:sz w:val="24"/>
        </w:rPr>
      </w:pPr>
      <w:r>
        <w:rPr>
          <w:sz w:val="24"/>
        </w:rPr>
        <w:t>排污口规范化设置</w:t>
      </w:r>
    </w:p>
    <w:p>
      <w:pPr>
        <w:pStyle w:val="7"/>
        <w:spacing w:before="160"/>
        <w:ind w:left="700"/>
      </w:pPr>
      <w:r>
        <w:rPr>
          <w:spacing w:val="-6"/>
        </w:rPr>
        <w:t>按照原国家环境保护总局制定的《〈环境保护图形标志〉实施细则</w:t>
      </w:r>
      <w:r>
        <w:t>（试行</w:t>
      </w:r>
      <w:r>
        <w:rPr>
          <w:spacing w:val="-24"/>
        </w:rPr>
        <w:t>）</w:t>
      </w:r>
      <w:r>
        <w:t>》</w:t>
      </w:r>
    </w:p>
    <w:p>
      <w:pPr>
        <w:pStyle w:val="7"/>
        <w:spacing w:before="161" w:line="364" w:lineRule="auto"/>
        <w:ind w:left="220" w:right="197"/>
      </w:pPr>
      <w:r>
        <w:t>（</w:t>
      </w:r>
      <w:r>
        <w:rPr>
          <w:spacing w:val="-18"/>
        </w:rPr>
        <w:t>环监</w:t>
      </w:r>
      <w:r>
        <w:rPr>
          <w:spacing w:val="-5"/>
        </w:rPr>
        <w:t>［</w:t>
      </w:r>
      <w:r>
        <w:rPr>
          <w:rFonts w:ascii="Times New Roman" w:eastAsia="Times New Roman"/>
          <w:spacing w:val="-5"/>
        </w:rPr>
        <w:t>1996</w:t>
      </w:r>
      <w:r>
        <w:rPr>
          <w:spacing w:val="-5"/>
        </w:rPr>
        <w:t>］</w:t>
      </w:r>
      <w:r>
        <w:rPr>
          <w:rFonts w:ascii="Times New Roman" w:eastAsia="Times New Roman"/>
          <w:spacing w:val="-5"/>
        </w:rPr>
        <w:t>463</w:t>
      </w:r>
      <w:r>
        <w:t>号</w:t>
      </w:r>
      <w:r>
        <w:rPr>
          <w:spacing w:val="-39"/>
        </w:rPr>
        <w:t>）</w:t>
      </w:r>
      <w:r>
        <w:rPr>
          <w:spacing w:val="-7"/>
        </w:rPr>
        <w:t>的规定，在各排污口应设立相应的环境保护图形标志牌，</w:t>
      </w:r>
      <w:r>
        <w:rPr>
          <w:spacing w:val="-4"/>
        </w:rPr>
        <w:t>本项目设置环境保护图形标志牌见图</w:t>
      </w:r>
      <w:r>
        <w:rPr>
          <w:rFonts w:ascii="Times New Roman" w:eastAsia="Times New Roman"/>
        </w:rPr>
        <w:t>8.1-1</w:t>
      </w:r>
      <w:r>
        <w:t>。</w:t>
      </w:r>
    </w:p>
    <w:p>
      <w:pPr>
        <w:pStyle w:val="7"/>
        <w:ind w:left="0"/>
        <w:rPr>
          <w:sz w:val="23"/>
        </w:rPr>
      </w:pPr>
      <w:r>
        <w:pict>
          <v:group id="_x0000_s1175" o:spid="_x0000_s1175" o:spt="203" style="position:absolute;left:0pt;margin-left:104.25pt;margin-top:16.65pt;height:103pt;width:401.05pt;mso-position-horizontal-relative:page;mso-wrap-distance-bottom:0pt;mso-wrap-distance-top:0pt;z-index:-251552768;mso-width-relative:page;mso-height-relative:page;" coordorigin="2086,334" coordsize="8021,2060">
            <o:lock v:ext="edit"/>
            <v:shape id="_x0000_s1176" o:spid="_x0000_s1176" o:spt="75" type="#_x0000_t75" style="position:absolute;left:2085;top:333;height:2060;width:8021;" filled="f" stroked="f" coordsize="21600,21600">
              <v:path/>
              <v:fill on="f" focussize="0,0"/>
              <v:stroke on="f"/>
              <v:imagedata r:id="rId55" o:title=""/>
              <o:lock v:ext="edit" aspectratio="t"/>
            </v:shape>
            <v:shape id="_x0000_s1177" o:spid="_x0000_s1177" o:spt="75" type="#_x0000_t75" style="position:absolute;left:3717;top:578;height:1764;width:1402;" filled="f" stroked="f" coordsize="21600,21600">
              <v:path/>
              <v:fill on="f" focussize="0,0"/>
              <v:stroke on="f"/>
              <v:imagedata r:id="rId56" o:title=""/>
              <o:lock v:ext="edit" aspectratio="t"/>
            </v:shape>
            <v:shape id="_x0000_s1178" o:spid="_x0000_s1178" o:spt="75" type="#_x0000_t75" style="position:absolute;left:5227;top:530;height:1820;width:1467;" filled="f" stroked="f" coordsize="21600,21600">
              <v:path/>
              <v:fill on="f" focussize="0,0"/>
              <v:stroke on="f"/>
              <v:imagedata r:id="rId57" o:title=""/>
              <o:lock v:ext="edit" aspectratio="t"/>
            </v:shape>
            <v:shape id="_x0000_s1179" o:spid="_x0000_s1179" o:spt="75" type="#_x0000_t75" style="position:absolute;left:6847;top:521;height:1798;width:1344;" filled="f" stroked="f" coordsize="21600,21600">
              <v:path/>
              <v:fill on="f" focussize="0,0"/>
              <v:stroke on="f"/>
              <v:imagedata r:id="rId58" o:title=""/>
              <o:lock v:ext="edit" aspectratio="t"/>
            </v:shape>
            <v:shape id="_x0000_s1180" o:spid="_x0000_s1180" o:spt="75" type="#_x0000_t75" style="position:absolute;left:8416;top:600;height:1304;width:1352;" filled="f" stroked="f" coordsize="21600,21600">
              <v:path/>
              <v:fill on="f" focussize="0,0"/>
              <v:stroke on="f"/>
              <v:imagedata r:id="rId59" o:title=""/>
              <o:lock v:ext="edit" aspectratio="t"/>
            </v:shape>
            <v:shape id="_x0000_s1181" o:spid="_x0000_s1181" o:spt="75" type="#_x0000_t75" style="position:absolute;left:8436;top:1985;height:353;width:1340;" filled="f" stroked="f" coordsize="21600,21600">
              <v:path/>
              <v:fill on="f" focussize="0,0"/>
              <v:stroke on="f"/>
              <v:imagedata r:id="rId60" o:title=""/>
              <o:lock v:ext="edit" aspectratio="t"/>
            </v:shape>
            <w10:wrap type="topAndBottom"/>
          </v:group>
        </w:pict>
      </w:r>
    </w:p>
    <w:p>
      <w:pPr>
        <w:pStyle w:val="7"/>
        <w:spacing w:before="3"/>
        <w:ind w:left="0"/>
        <w:rPr>
          <w:sz w:val="18"/>
        </w:rPr>
      </w:pPr>
    </w:p>
    <w:p>
      <w:pPr>
        <w:pStyle w:val="7"/>
        <w:bidi w:val="0"/>
        <w:jc w:val="center"/>
      </w:pPr>
      <w:r>
        <w:t>图</w:t>
      </w:r>
      <w:r>
        <w:rPr>
          <w:rFonts w:ascii="Times New Roman" w:eastAsia="Times New Roman"/>
        </w:rPr>
        <w:t>8.1-1</w:t>
      </w:r>
      <w:r>
        <w:rPr>
          <w:rFonts w:ascii="Times New Roman" w:eastAsia="Times New Roman"/>
        </w:rPr>
        <w:tab/>
      </w:r>
      <w:r>
        <w:t>排污口环境保护图形标志</w:t>
      </w:r>
    </w:p>
    <w:p>
      <w:pPr>
        <w:pStyle w:val="18"/>
        <w:numPr>
          <w:ilvl w:val="0"/>
          <w:numId w:val="80"/>
        </w:numPr>
        <w:tabs>
          <w:tab w:val="left" w:pos="1301"/>
        </w:tabs>
        <w:spacing w:before="161" w:after="0" w:line="240" w:lineRule="auto"/>
        <w:ind w:left="1301" w:right="0" w:hanging="601"/>
        <w:jc w:val="left"/>
        <w:rPr>
          <w:sz w:val="24"/>
        </w:rPr>
      </w:pPr>
      <w:r>
        <w:rPr>
          <w:sz w:val="24"/>
        </w:rPr>
        <w:t>环境质量标准</w:t>
      </w:r>
    </w:p>
    <w:p>
      <w:pPr>
        <w:pStyle w:val="7"/>
        <w:spacing w:before="160"/>
        <w:ind w:left="700"/>
      </w:pPr>
      <w:r>
        <w:t>根据本项目所处位置环境功能区划，本项目环境质量评价执行标准分别为：</w:t>
      </w:r>
    </w:p>
    <w:p>
      <w:pPr>
        <w:pStyle w:val="7"/>
        <w:spacing w:before="161" w:line="364" w:lineRule="auto"/>
        <w:ind w:left="220" w:right="312"/>
        <w:jc w:val="both"/>
      </w:pPr>
      <w:r>
        <w:rPr>
          <w:spacing w:val="-6"/>
        </w:rPr>
        <w:t>《环境空气质量标准》</w:t>
      </w:r>
      <w:r>
        <w:t>（</w:t>
      </w:r>
      <w:r>
        <w:rPr>
          <w:rFonts w:ascii="Times New Roman" w:hAnsi="Times New Roman" w:eastAsia="Times New Roman"/>
        </w:rPr>
        <w:t>GB3095-2012</w:t>
      </w:r>
      <w:r>
        <w:t>）</w:t>
      </w:r>
      <w:r>
        <w:rPr>
          <w:spacing w:val="-7"/>
        </w:rPr>
        <w:t>二级标准、《环境影响评价技术导则</w:t>
      </w:r>
      <w:r>
        <w:rPr>
          <w:rFonts w:ascii="Times New Roman" w:hAnsi="Times New Roman" w:eastAsia="Times New Roman"/>
        </w:rPr>
        <w:t>·</w:t>
      </w:r>
      <w:r>
        <w:rPr>
          <w:spacing w:val="-12"/>
        </w:rPr>
        <w:t>大</w:t>
      </w:r>
      <w:r>
        <w:rPr>
          <w:spacing w:val="1"/>
        </w:rPr>
        <w:t>气环境》</w:t>
      </w:r>
      <w:r>
        <w:t>（</w:t>
      </w:r>
      <w:r>
        <w:rPr>
          <w:rFonts w:ascii="Times New Roman" w:hAnsi="Times New Roman" w:eastAsia="Times New Roman"/>
        </w:rPr>
        <w:t>HJ2.2-2018</w:t>
      </w:r>
      <w:r>
        <w:t>）</w:t>
      </w:r>
      <w:r>
        <w:rPr>
          <w:spacing w:val="-15"/>
        </w:rPr>
        <w:t>附录</w:t>
      </w:r>
      <w:r>
        <w:rPr>
          <w:rFonts w:ascii="Times New Roman" w:hAnsi="Times New Roman" w:eastAsia="Times New Roman"/>
        </w:rPr>
        <w:t>D</w:t>
      </w:r>
      <w:r>
        <w:t>中最高允许浓度；《地下水质量标准》（</w:t>
      </w:r>
      <w:r>
        <w:rPr>
          <w:rFonts w:ascii="Times New Roman" w:hAnsi="Times New Roman" w:eastAsia="Times New Roman"/>
        </w:rPr>
        <w:t>GB/T 14848-2017</w:t>
      </w:r>
      <w:r>
        <w:t>）Ⅲ类标准；《声环境质量标准》（</w:t>
      </w:r>
      <w:r>
        <w:rPr>
          <w:rFonts w:ascii="Times New Roman" w:hAnsi="Times New Roman" w:eastAsia="Times New Roman"/>
        </w:rPr>
        <w:t>GB3096-2008</w:t>
      </w:r>
      <w:r>
        <w:t>）</w:t>
      </w:r>
      <w:r>
        <w:rPr>
          <w:rFonts w:ascii="Times New Roman" w:hAnsi="Times New Roman" w:eastAsia="Times New Roman"/>
        </w:rPr>
        <w:t>2</w:t>
      </w:r>
      <w:r>
        <w:t>类标准。</w:t>
      </w:r>
    </w:p>
    <w:p>
      <w:pPr>
        <w:pStyle w:val="18"/>
        <w:numPr>
          <w:ilvl w:val="0"/>
          <w:numId w:val="80"/>
        </w:numPr>
        <w:tabs>
          <w:tab w:val="left" w:pos="1301"/>
        </w:tabs>
        <w:spacing w:before="2" w:after="0" w:line="240" w:lineRule="auto"/>
        <w:ind w:left="1301" w:right="0" w:hanging="601"/>
        <w:jc w:val="left"/>
        <w:rPr>
          <w:sz w:val="24"/>
        </w:rPr>
      </w:pPr>
      <w:r>
        <w:rPr>
          <w:sz w:val="24"/>
        </w:rPr>
        <w:t>环境风险防范措施及环境监测</w:t>
      </w:r>
    </w:p>
    <w:p>
      <w:pPr>
        <w:pStyle w:val="7"/>
        <w:spacing w:before="160" w:line="364" w:lineRule="auto"/>
        <w:ind w:left="220" w:right="317" w:firstLine="480"/>
      </w:pPr>
      <w:r>
        <w:rPr>
          <w:spacing w:val="-6"/>
        </w:rPr>
        <w:t>项目采取的环境风险措施主要有设置消防器材、检测报警装置等；环境监测</w:t>
      </w:r>
      <w:r>
        <w:t>主要包括定期执行污染源监测计划及环境质量监测计划等。</w:t>
      </w:r>
    </w:p>
    <w:p>
      <w:pPr>
        <w:spacing w:after="0" w:line="364" w:lineRule="auto"/>
        <w:sectPr>
          <w:headerReference r:id="rId30" w:type="default"/>
          <w:footerReference r:id="rId31" w:type="default"/>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18"/>
        <w:numPr>
          <w:ilvl w:val="0"/>
          <w:numId w:val="80"/>
        </w:numPr>
        <w:tabs>
          <w:tab w:val="left" w:pos="1301"/>
        </w:tabs>
        <w:spacing w:before="90" w:after="0" w:line="240" w:lineRule="auto"/>
        <w:ind w:left="1301" w:right="0" w:hanging="601"/>
        <w:jc w:val="left"/>
        <w:rPr>
          <w:sz w:val="24"/>
        </w:rPr>
      </w:pPr>
      <w:r>
        <w:rPr>
          <w:sz w:val="24"/>
        </w:rPr>
        <w:t>信息公开内容</w:t>
      </w:r>
    </w:p>
    <w:p>
      <w:pPr>
        <w:pStyle w:val="7"/>
        <w:spacing w:before="160" w:line="364" w:lineRule="auto"/>
        <w:ind w:left="220" w:right="317" w:firstLine="480"/>
        <w:jc w:val="both"/>
      </w:pPr>
      <w:r>
        <w:rPr>
          <w:spacing w:val="-4"/>
        </w:rPr>
        <w:t>企业应定期于企业网站或当地官方网站对企业的排污情况进行信息公开，具</w:t>
      </w:r>
      <w:r>
        <w:rPr>
          <w:spacing w:val="-3"/>
        </w:rPr>
        <w:t>体内容应包括养殖场监测计划、以及监测结果</w:t>
      </w:r>
      <w:r>
        <w:t>（</w:t>
      </w:r>
      <w:r>
        <w:rPr>
          <w:spacing w:val="-8"/>
        </w:rPr>
        <w:t>污染源、污染物的名称、监测数</w:t>
      </w:r>
      <w:r>
        <w:t>值和监测日期等信息</w:t>
      </w:r>
      <w:r>
        <w:rPr>
          <w:spacing w:val="-32"/>
        </w:rPr>
        <w:t>）</w:t>
      </w:r>
      <w:r>
        <w:rPr>
          <w:spacing w:val="-9"/>
        </w:rPr>
        <w:t>。信息公开的主体是本项目的建设单位，需要对公示的监</w:t>
      </w:r>
      <w:r>
        <w:t>测数据负责。</w:t>
      </w:r>
    </w:p>
    <w:p>
      <w:pPr>
        <w:pStyle w:val="4"/>
        <w:numPr>
          <w:ilvl w:val="1"/>
          <w:numId w:val="78"/>
        </w:numPr>
        <w:tabs>
          <w:tab w:val="left" w:pos="780"/>
        </w:tabs>
        <w:spacing w:before="156" w:after="0" w:line="240" w:lineRule="auto"/>
        <w:ind w:left="779" w:right="0" w:hanging="560"/>
        <w:jc w:val="left"/>
        <w:outlineLvl w:val="1"/>
      </w:pPr>
      <w:bookmarkStart w:id="478" w:name="_bookmark37"/>
      <w:bookmarkEnd w:id="478"/>
      <w:bookmarkStart w:id="479" w:name="8.2 环境监测计划"/>
      <w:bookmarkEnd w:id="479"/>
      <w:bookmarkStart w:id="480" w:name="_bookmark37"/>
      <w:bookmarkEnd w:id="480"/>
      <w:bookmarkStart w:id="481" w:name="_Toc9314"/>
      <w:r>
        <w:t>环境监测计划</w:t>
      </w:r>
      <w:bookmarkEnd w:id="481"/>
    </w:p>
    <w:p>
      <w:pPr>
        <w:pStyle w:val="7"/>
        <w:spacing w:before="5"/>
        <w:ind w:left="0"/>
        <w:rPr>
          <w:b/>
          <w:sz w:val="28"/>
        </w:rPr>
      </w:pPr>
    </w:p>
    <w:p>
      <w:pPr>
        <w:pStyle w:val="5"/>
        <w:numPr>
          <w:ilvl w:val="2"/>
          <w:numId w:val="78"/>
        </w:numPr>
        <w:tabs>
          <w:tab w:val="left" w:pos="921"/>
        </w:tabs>
        <w:spacing w:before="0" w:after="0" w:line="240" w:lineRule="auto"/>
        <w:ind w:left="920" w:right="0" w:hanging="701"/>
        <w:jc w:val="left"/>
        <w:outlineLvl w:val="2"/>
      </w:pPr>
      <w:bookmarkStart w:id="482" w:name="8.2.1 环境监测目的"/>
      <w:bookmarkEnd w:id="482"/>
      <w:bookmarkStart w:id="483" w:name="8.2.1 环境监测目的"/>
      <w:bookmarkEnd w:id="483"/>
      <w:bookmarkStart w:id="484" w:name="_Toc15900"/>
      <w:r>
        <w:t>环境监测目的</w:t>
      </w:r>
      <w:bookmarkEnd w:id="484"/>
    </w:p>
    <w:p>
      <w:pPr>
        <w:pStyle w:val="7"/>
        <w:spacing w:before="5"/>
        <w:ind w:left="0"/>
        <w:rPr>
          <w:b/>
          <w:sz w:val="21"/>
        </w:rPr>
      </w:pPr>
    </w:p>
    <w:p>
      <w:pPr>
        <w:pStyle w:val="7"/>
        <w:spacing w:line="364" w:lineRule="auto"/>
        <w:ind w:left="220" w:right="317" w:firstLine="480"/>
        <w:jc w:val="both"/>
      </w:pPr>
      <w:r>
        <w:rPr>
          <w:spacing w:val="-7"/>
        </w:rPr>
        <w:t>环境监测是企业搞好环境管理，同时也是环境管理技术的支持，促进污染治理设施正常运行的主要保障。通过定期的环境监测</w:t>
      </w:r>
      <w:r>
        <w:rPr>
          <w:rFonts w:hint="eastAsia"/>
          <w:spacing w:val="-7"/>
          <w:lang w:eastAsia="zh-CN"/>
        </w:rPr>
        <w:t>，</w:t>
      </w:r>
      <w:r>
        <w:rPr>
          <w:spacing w:val="-7"/>
        </w:rPr>
        <w:t>了解邻近地区的环境质量状</w:t>
      </w:r>
      <w:r>
        <w:rPr>
          <w:spacing w:val="-10"/>
        </w:rPr>
        <w:t>况，可以及时发现问题、解决问题，从而有利于监督各项环保措施的落实，并根</w:t>
      </w:r>
      <w:r>
        <w:t>据监测结果适时调整环境保护计划。</w:t>
      </w:r>
    </w:p>
    <w:p>
      <w:pPr>
        <w:pStyle w:val="5"/>
        <w:numPr>
          <w:ilvl w:val="2"/>
          <w:numId w:val="78"/>
        </w:numPr>
        <w:tabs>
          <w:tab w:val="left" w:pos="921"/>
        </w:tabs>
        <w:spacing w:before="116" w:after="0" w:line="240" w:lineRule="auto"/>
        <w:ind w:left="920" w:right="0" w:hanging="701"/>
        <w:jc w:val="left"/>
        <w:outlineLvl w:val="2"/>
      </w:pPr>
      <w:bookmarkStart w:id="485" w:name="8.2.2 环境监测计划"/>
      <w:bookmarkEnd w:id="485"/>
      <w:bookmarkStart w:id="486" w:name="8.2.2 环境监测计划"/>
      <w:bookmarkEnd w:id="486"/>
      <w:bookmarkStart w:id="487" w:name="_Toc9901"/>
      <w:r>
        <w:t>环境监测计划</w:t>
      </w:r>
      <w:bookmarkEnd w:id="487"/>
    </w:p>
    <w:p>
      <w:pPr>
        <w:pStyle w:val="7"/>
        <w:spacing w:before="2"/>
        <w:ind w:left="0"/>
        <w:rPr>
          <w:b/>
          <w:sz w:val="22"/>
        </w:rPr>
      </w:pPr>
    </w:p>
    <w:p>
      <w:pPr>
        <w:pStyle w:val="18"/>
        <w:numPr>
          <w:ilvl w:val="3"/>
          <w:numId w:val="81"/>
        </w:numPr>
        <w:tabs>
          <w:tab w:val="left" w:pos="1000"/>
        </w:tabs>
        <w:spacing w:before="0" w:after="0" w:line="240" w:lineRule="auto"/>
        <w:ind w:left="1000" w:right="0" w:hanging="780"/>
        <w:jc w:val="left"/>
        <w:rPr>
          <w:sz w:val="24"/>
        </w:rPr>
      </w:pPr>
      <w:bookmarkStart w:id="488" w:name="8.2.2.1 环境监测计划"/>
      <w:bookmarkEnd w:id="488"/>
      <w:bookmarkStart w:id="489" w:name="8.2.2.1 环境监测计划"/>
      <w:bookmarkEnd w:id="489"/>
      <w:r>
        <w:rPr>
          <w:sz w:val="24"/>
        </w:rPr>
        <w:t>环境监测计划</w:t>
      </w:r>
    </w:p>
    <w:p>
      <w:pPr>
        <w:pStyle w:val="7"/>
        <w:spacing w:before="168" w:line="364" w:lineRule="auto"/>
        <w:ind w:left="220" w:right="317" w:firstLine="480"/>
        <w:jc w:val="both"/>
        <w:rPr>
          <w:color w:val="0000FF"/>
        </w:rPr>
      </w:pPr>
      <w:r>
        <w:rPr>
          <w:color w:val="0000FF"/>
          <w:spacing w:val="2"/>
        </w:rPr>
        <w:t>本次环评建议项目营运期环境监测工作委托有相应资质的第三方环境监测</w:t>
      </w:r>
      <w:r>
        <w:rPr>
          <w:color w:val="0000FF"/>
          <w:spacing w:val="-10"/>
        </w:rPr>
        <w:t>机构承担，日常的生产例行监测由企业内部执行。建议养殖场配备</w:t>
      </w:r>
      <w:r>
        <w:rPr>
          <w:rFonts w:ascii="Times New Roman" w:eastAsia="Times New Roman"/>
          <w:color w:val="0000FF"/>
        </w:rPr>
        <w:t>1</w:t>
      </w:r>
      <w:r>
        <w:rPr>
          <w:color w:val="0000FF"/>
          <w:spacing w:val="-4"/>
        </w:rPr>
        <w:t>名专职环境</w:t>
      </w:r>
      <w:r>
        <w:rPr>
          <w:color w:val="0000FF"/>
          <w:spacing w:val="-10"/>
        </w:rPr>
        <w:t>监测人员，负责养殖场运营期环境监测工作，仪器设备配置污水计量装置、污水</w:t>
      </w:r>
      <w:r>
        <w:rPr>
          <w:color w:val="0000FF"/>
        </w:rPr>
        <w:t>比例采样器、</w:t>
      </w:r>
      <w:r>
        <w:rPr>
          <w:rFonts w:ascii="Times New Roman" w:eastAsia="Times New Roman"/>
          <w:color w:val="0000FF"/>
        </w:rPr>
        <w:t>COD</w:t>
      </w:r>
      <w:r>
        <w:rPr>
          <w:color w:val="0000FF"/>
        </w:rPr>
        <w:t>检测仪、生化培养箱等。</w:t>
      </w:r>
    </w:p>
    <w:p>
      <w:pPr>
        <w:pStyle w:val="7"/>
        <w:spacing w:before="2"/>
        <w:ind w:left="700"/>
        <w:jc w:val="both"/>
        <w:rPr>
          <w:color w:val="0000FF"/>
        </w:rPr>
      </w:pPr>
      <w:r>
        <w:rPr>
          <w:color w:val="0000FF"/>
        </w:rPr>
        <w:t>①大气污染源监测</w:t>
      </w:r>
    </w:p>
    <w:p>
      <w:pPr>
        <w:pStyle w:val="7"/>
        <w:spacing w:before="161"/>
        <w:ind w:left="700"/>
        <w:rPr>
          <w:color w:val="0000FF"/>
        </w:rPr>
      </w:pPr>
      <w:r>
        <w:rPr>
          <w:color w:val="0000FF"/>
        </w:rPr>
        <w:t>项目定期监测点为养殖场及堆肥厂和饲料加工车间。</w:t>
      </w:r>
    </w:p>
    <w:p>
      <w:pPr>
        <w:pStyle w:val="7"/>
        <w:spacing w:before="157" w:line="364" w:lineRule="auto"/>
        <w:ind w:left="220" w:right="315" w:firstLine="480"/>
        <w:rPr>
          <w:color w:val="0000FF"/>
        </w:rPr>
      </w:pPr>
      <w:r>
        <w:rPr>
          <w:color w:val="0000FF"/>
          <w:position w:val="2"/>
        </w:rPr>
        <w:t>监测项目：养殖场及堆肥厂产生的臭气、</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position w:val="2"/>
          <w:vertAlign w:val="baseline"/>
        </w:rPr>
        <w:t>、</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和饲料加工车间产生的</w:t>
      </w:r>
      <w:r>
        <w:rPr>
          <w:color w:val="0000FF"/>
          <w:vertAlign w:val="baseline"/>
        </w:rPr>
        <w:t>粉尘颗粒物。</w:t>
      </w:r>
    </w:p>
    <w:p>
      <w:pPr>
        <w:pStyle w:val="7"/>
        <w:ind w:left="700"/>
        <w:rPr>
          <w:color w:val="0000FF"/>
        </w:rPr>
      </w:pPr>
      <w:r>
        <w:rPr>
          <w:color w:val="0000FF"/>
        </w:rPr>
        <w:t>定期监测频次：每年监测</w:t>
      </w:r>
      <w:r>
        <w:rPr>
          <w:rFonts w:ascii="Times New Roman" w:eastAsia="Times New Roman"/>
          <w:color w:val="0000FF"/>
        </w:rPr>
        <w:t>1</w:t>
      </w:r>
      <w:r>
        <w:rPr>
          <w:color w:val="0000FF"/>
        </w:rPr>
        <w:t>次。</w:t>
      </w:r>
    </w:p>
    <w:p>
      <w:pPr>
        <w:pStyle w:val="7"/>
        <w:spacing w:before="160"/>
        <w:ind w:left="700"/>
        <w:jc w:val="both"/>
        <w:rPr>
          <w:color w:val="0000FF"/>
        </w:rPr>
      </w:pPr>
      <w:r>
        <w:rPr>
          <w:color w:val="0000FF"/>
        </w:rPr>
        <w:t>②噪声监测</w:t>
      </w:r>
    </w:p>
    <w:p>
      <w:pPr>
        <w:pStyle w:val="7"/>
        <w:spacing w:before="161"/>
        <w:ind w:left="700"/>
        <w:rPr>
          <w:color w:val="0000FF"/>
        </w:rPr>
      </w:pPr>
      <w:r>
        <w:rPr>
          <w:color w:val="0000FF"/>
        </w:rPr>
        <w:t>在厂界设</w:t>
      </w:r>
      <w:r>
        <w:rPr>
          <w:rFonts w:ascii="Times New Roman" w:eastAsia="Times New Roman"/>
          <w:color w:val="0000FF"/>
        </w:rPr>
        <w:t>4</w:t>
      </w:r>
      <w:r>
        <w:rPr>
          <w:color w:val="0000FF"/>
        </w:rPr>
        <w:t>个厂界噪声监测点，每年</w:t>
      </w:r>
      <w:r>
        <w:rPr>
          <w:rFonts w:ascii="Times New Roman" w:eastAsia="Times New Roman"/>
          <w:color w:val="0000FF"/>
        </w:rPr>
        <w:t>1</w:t>
      </w:r>
      <w:r>
        <w:rPr>
          <w:color w:val="0000FF"/>
        </w:rPr>
        <w:t>次。</w:t>
      </w:r>
    </w:p>
    <w:p>
      <w:pPr>
        <w:pStyle w:val="7"/>
        <w:spacing w:before="160"/>
        <w:ind w:left="700"/>
        <w:rPr>
          <w:color w:val="0000FF"/>
        </w:rPr>
      </w:pPr>
      <w:r>
        <w:rPr>
          <w:color w:val="0000FF"/>
        </w:rPr>
        <w:t>③环保设施检查计划</w:t>
      </w:r>
    </w:p>
    <w:p>
      <w:pPr>
        <w:pStyle w:val="7"/>
        <w:spacing w:before="161"/>
        <w:ind w:left="700"/>
        <w:rPr>
          <w:color w:val="0000FF"/>
        </w:rPr>
      </w:pPr>
      <w:r>
        <w:rPr>
          <w:color w:val="0000FF"/>
        </w:rPr>
        <w:t>定期对环保设施检修，保证各设施正常运行。</w:t>
      </w:r>
    </w:p>
    <w:p>
      <w:pPr>
        <w:pStyle w:val="7"/>
        <w:spacing w:before="160"/>
        <w:ind w:left="700"/>
        <w:jc w:val="both"/>
        <w:rPr>
          <w:color w:val="0000FF"/>
        </w:rPr>
      </w:pPr>
      <w:r>
        <w:rPr>
          <w:color w:val="0000FF"/>
        </w:rPr>
        <w:t>④绿化监管计划</w:t>
      </w:r>
    </w:p>
    <w:p>
      <w:pPr>
        <w:pStyle w:val="7"/>
        <w:spacing w:before="161"/>
        <w:ind w:left="700"/>
        <w:rPr>
          <w:color w:val="0000FF"/>
        </w:rPr>
      </w:pPr>
      <w:r>
        <w:rPr>
          <w:color w:val="0000FF"/>
        </w:rPr>
        <w:t>应在养殖区、生产车间周围和场区内空地、进出场区的道路两侧因地制宜进</w:t>
      </w:r>
    </w:p>
    <w:p>
      <w:pPr>
        <w:spacing w:after="0"/>
        <w:rPr>
          <w:color w:val="0000FF"/>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7"/>
        <w:spacing w:before="90"/>
        <w:ind w:left="220"/>
        <w:rPr>
          <w:color w:val="0000FF"/>
        </w:rPr>
      </w:pPr>
      <w:r>
        <w:rPr>
          <w:color w:val="0000FF"/>
        </w:rPr>
        <w:t>行植树或种草，减少裸露地面，并定期检查、督促做好场区的绿化工作。</w:t>
      </w:r>
    </w:p>
    <w:p>
      <w:pPr>
        <w:pStyle w:val="7"/>
        <w:spacing w:before="160"/>
        <w:ind w:left="700"/>
        <w:rPr>
          <w:color w:val="0000FF"/>
        </w:rPr>
      </w:pPr>
      <w:r>
        <w:rPr>
          <w:color w:val="0000FF"/>
        </w:rPr>
        <w:t>⑤地下水监测</w:t>
      </w:r>
    </w:p>
    <w:p>
      <w:pPr>
        <w:pStyle w:val="7"/>
        <w:spacing w:before="161"/>
        <w:ind w:left="700"/>
        <w:rPr>
          <w:color w:val="0000FF"/>
        </w:rPr>
      </w:pPr>
      <w:r>
        <w:rPr>
          <w:color w:val="0000FF"/>
        </w:rPr>
        <w:t>监测位置：在场区下游设置</w:t>
      </w:r>
      <w:r>
        <w:rPr>
          <w:rFonts w:ascii="Times New Roman" w:eastAsia="Times New Roman"/>
          <w:color w:val="0000FF"/>
        </w:rPr>
        <w:t>1</w:t>
      </w:r>
      <w:r>
        <w:rPr>
          <w:color w:val="0000FF"/>
        </w:rPr>
        <w:t>个地下水监测点（污染监控井）。</w:t>
      </w:r>
    </w:p>
    <w:p>
      <w:pPr>
        <w:pStyle w:val="7"/>
        <w:spacing w:before="160" w:line="364" w:lineRule="auto"/>
        <w:ind w:left="220" w:right="320" w:firstLine="480"/>
        <w:rPr>
          <w:color w:val="0000FF"/>
          <w:sz w:val="24"/>
          <w:szCs w:val="24"/>
        </w:rPr>
      </w:pPr>
      <w:r>
        <w:rPr>
          <w:color w:val="0000FF"/>
        </w:rPr>
        <w:t>监测项目：</w:t>
      </w:r>
      <w:r>
        <w:rPr>
          <w:rFonts w:hint="default" w:ascii="Times New Roman" w:hAnsi="Times New Roman" w:eastAsia="宋体" w:cs="Times New Roman"/>
          <w:i w:val="0"/>
          <w:color w:val="0000FF"/>
          <w:kern w:val="0"/>
          <w:sz w:val="24"/>
          <w:szCs w:val="24"/>
          <w:u w:val="none"/>
          <w:lang w:val="en-US" w:eastAsia="zh-CN" w:bidi="ar"/>
        </w:rPr>
        <w:t>pH</w:t>
      </w:r>
      <w:r>
        <w:rPr>
          <w:rStyle w:val="26"/>
          <w:color w:val="0000FF"/>
          <w:sz w:val="24"/>
          <w:szCs w:val="24"/>
          <w:lang w:val="en-US" w:eastAsia="zh-CN" w:bidi="ar"/>
        </w:rPr>
        <w:t>、总硬度、高锰酸盐指数、氨氮、硫酸盐、氯化物、硝酸盐氮、氟化物、挥发酚、亚硝酸盐氮、氰化物、六价铬、硫化物、溶解性总固体、总大肠菌群、菌落总数、汞、砷、铅、镉、铁、钠</w:t>
      </w:r>
      <w:r>
        <w:rPr>
          <w:color w:val="0000FF"/>
          <w:sz w:val="24"/>
          <w:szCs w:val="24"/>
        </w:rPr>
        <w:t>。</w:t>
      </w:r>
    </w:p>
    <w:p>
      <w:pPr>
        <w:pStyle w:val="7"/>
        <w:spacing w:before="2"/>
        <w:ind w:left="700"/>
        <w:rPr>
          <w:color w:val="0000FF"/>
        </w:rPr>
      </w:pPr>
      <w:r>
        <w:rPr>
          <w:color w:val="0000FF"/>
        </w:rPr>
        <w:t>监测频次：每年</w:t>
      </w:r>
      <w:r>
        <w:rPr>
          <w:rFonts w:ascii="Times New Roman" w:eastAsia="Times New Roman"/>
          <w:color w:val="0000FF"/>
        </w:rPr>
        <w:t>1</w:t>
      </w:r>
      <w:r>
        <w:rPr>
          <w:color w:val="0000FF"/>
        </w:rPr>
        <w:t>次。</w:t>
      </w:r>
    </w:p>
    <w:p>
      <w:pPr>
        <w:pStyle w:val="7"/>
        <w:spacing w:before="160" w:line="364" w:lineRule="auto"/>
        <w:ind w:left="220" w:right="315" w:firstLine="480"/>
        <w:jc w:val="both"/>
        <w:rPr>
          <w:color w:val="0000FF"/>
        </w:rPr>
      </w:pPr>
      <w:r>
        <w:rPr>
          <w:color w:val="0000FF"/>
        </w:rPr>
        <w:t>根据《环境影响评价技术导则</w:t>
      </w:r>
      <w:r>
        <w:rPr>
          <w:rFonts w:ascii="Times New Roman" w:hAnsi="Times New Roman" w:eastAsia="Times New Roman"/>
          <w:color w:val="0000FF"/>
          <w:spacing w:val="4"/>
        </w:rPr>
        <w:t>·</w:t>
      </w:r>
      <w:r>
        <w:rPr>
          <w:color w:val="0000FF"/>
        </w:rPr>
        <w:t>地下水环境》（</w:t>
      </w:r>
      <w:r>
        <w:rPr>
          <w:rFonts w:ascii="Times New Roman" w:hAnsi="Times New Roman" w:eastAsia="Times New Roman"/>
          <w:color w:val="0000FF"/>
        </w:rPr>
        <w:t>HJ 610-2016</w:t>
      </w:r>
      <w:r>
        <w:rPr>
          <w:color w:val="0000FF"/>
        </w:rPr>
        <w:t>）“</w:t>
      </w:r>
      <w:r>
        <w:rPr>
          <w:rFonts w:ascii="Times New Roman" w:hAnsi="Times New Roman" w:eastAsia="Times New Roman"/>
          <w:color w:val="0000FF"/>
        </w:rPr>
        <w:t>11.3.2.1</w:t>
      </w:r>
      <w:r>
        <w:rPr>
          <w:color w:val="0000FF"/>
        </w:rPr>
        <w:t>跟踪监测点数量要求</w:t>
      </w:r>
      <w:r>
        <w:rPr>
          <w:rFonts w:ascii="Times New Roman" w:hAnsi="Times New Roman" w:eastAsia="Times New Roman"/>
          <w:color w:val="0000FF"/>
          <w:spacing w:val="-16"/>
        </w:rPr>
        <w:t>b</w:t>
      </w:r>
      <w:r>
        <w:rPr>
          <w:color w:val="0000FF"/>
          <w:spacing w:val="-16"/>
        </w:rPr>
        <w:t>）</w:t>
      </w:r>
      <w:r>
        <w:rPr>
          <w:color w:val="0000FF"/>
          <w:spacing w:val="-4"/>
        </w:rPr>
        <w:t>三级评价的建设项目，一般不少于</w:t>
      </w:r>
      <w:r>
        <w:rPr>
          <w:rFonts w:ascii="Times New Roman" w:hAnsi="Times New Roman" w:eastAsia="Times New Roman"/>
          <w:color w:val="0000FF"/>
        </w:rPr>
        <w:t>1</w:t>
      </w:r>
      <w:r>
        <w:rPr>
          <w:color w:val="0000FF"/>
          <w:spacing w:val="-7"/>
        </w:rPr>
        <w:t>个，应至少在建设项</w:t>
      </w:r>
      <w:r>
        <w:rPr>
          <w:color w:val="0000FF"/>
        </w:rPr>
        <w:t>目场地下游布置</w:t>
      </w:r>
      <w:r>
        <w:rPr>
          <w:rFonts w:ascii="Times New Roman" w:hAnsi="Times New Roman" w:eastAsia="Times New Roman"/>
          <w:color w:val="0000FF"/>
        </w:rPr>
        <w:t>1</w:t>
      </w:r>
      <w:r>
        <w:rPr>
          <w:color w:val="0000FF"/>
          <w:spacing w:val="-11"/>
        </w:rPr>
        <w:t>个”，本项目地下水评价等级为三级，拟在场地下游设置</w:t>
      </w:r>
      <w:r>
        <w:rPr>
          <w:rFonts w:ascii="Times New Roman" w:hAnsi="Times New Roman" w:eastAsia="Times New Roman"/>
          <w:color w:val="0000FF"/>
        </w:rPr>
        <w:t>1</w:t>
      </w:r>
      <w:r>
        <w:rPr>
          <w:color w:val="0000FF"/>
          <w:spacing w:val="-6"/>
        </w:rPr>
        <w:t>个地</w:t>
      </w:r>
      <w:r>
        <w:rPr>
          <w:color w:val="0000FF"/>
        </w:rPr>
        <w:t>下水监控井。</w:t>
      </w:r>
    </w:p>
    <w:p>
      <w:pPr>
        <w:tabs>
          <w:tab w:val="left" w:pos="3572"/>
        </w:tabs>
        <w:spacing w:before="2" w:line="427" w:lineRule="auto"/>
        <w:ind w:left="2053" w:right="1265" w:hanging="1354"/>
        <w:jc w:val="both"/>
        <w:rPr>
          <w:b/>
          <w:color w:val="0000FF"/>
          <w:sz w:val="24"/>
        </w:rPr>
      </w:pPr>
      <w:r>
        <w:rPr>
          <w:color w:val="0000FF"/>
          <w:sz w:val="24"/>
        </w:rPr>
        <w:t>本项目污染源监测计划见表</w:t>
      </w:r>
      <w:r>
        <w:rPr>
          <w:rFonts w:ascii="Times New Roman" w:eastAsia="Times New Roman"/>
          <w:color w:val="0000FF"/>
          <w:sz w:val="24"/>
        </w:rPr>
        <w:t>8.2-1</w:t>
      </w:r>
      <w:r>
        <w:rPr>
          <w:color w:val="0000FF"/>
          <w:sz w:val="24"/>
        </w:rPr>
        <w:t>，环境质量监测计划见表</w:t>
      </w:r>
      <w:r>
        <w:rPr>
          <w:rFonts w:ascii="Times New Roman" w:eastAsia="Times New Roman"/>
          <w:color w:val="0000FF"/>
          <w:sz w:val="24"/>
        </w:rPr>
        <w:t>8.2-2</w:t>
      </w:r>
      <w:r>
        <w:rPr>
          <w:color w:val="0000FF"/>
          <w:spacing w:val="-16"/>
          <w:sz w:val="24"/>
        </w:rPr>
        <w:t>。</w:t>
      </w:r>
      <w:r>
        <w:rPr>
          <w:b/>
          <w:color w:val="0000FF"/>
          <w:sz w:val="24"/>
        </w:rPr>
        <w:t>表</w:t>
      </w:r>
      <w:r>
        <w:rPr>
          <w:rFonts w:ascii="Times New Roman" w:eastAsia="Times New Roman"/>
          <w:b/>
          <w:color w:val="0000FF"/>
          <w:sz w:val="24"/>
        </w:rPr>
        <w:t>8.2-1</w:t>
      </w:r>
      <w:r>
        <w:rPr>
          <w:rFonts w:ascii="Times New Roman" w:eastAsia="Times New Roman"/>
          <w:b/>
          <w:color w:val="0000FF"/>
          <w:sz w:val="24"/>
        </w:rPr>
        <w:tab/>
      </w:r>
      <w:r>
        <w:rPr>
          <w:b/>
          <w:color w:val="0000FF"/>
          <w:sz w:val="24"/>
        </w:rPr>
        <w:t>污染源监测内容及计划一览表</w:t>
      </w:r>
    </w:p>
    <w:p>
      <w:pPr>
        <w:pStyle w:val="7"/>
        <w:ind w:left="0"/>
        <w:rPr>
          <w:b/>
          <w:color w:val="0000FF"/>
          <w:sz w:val="26"/>
        </w:rPr>
      </w:pPr>
    </w:p>
    <w:tbl>
      <w:tblPr>
        <w:tblStyle w:val="15"/>
        <w:tblW w:w="8757" w:type="dxa"/>
        <w:tblInd w:w="0" w:type="dxa"/>
        <w:shd w:val="clear" w:color="auto" w:fill="auto"/>
        <w:tblLayout w:type="autofit"/>
        <w:tblCellMar>
          <w:top w:w="0" w:type="dxa"/>
          <w:left w:w="0" w:type="dxa"/>
          <w:bottom w:w="0" w:type="dxa"/>
          <w:right w:w="0" w:type="dxa"/>
        </w:tblCellMar>
      </w:tblPr>
      <w:tblGrid>
        <w:gridCol w:w="1246"/>
        <w:gridCol w:w="1246"/>
        <w:gridCol w:w="3531"/>
        <w:gridCol w:w="1246"/>
        <w:gridCol w:w="1488"/>
      </w:tblGrid>
      <w:tr>
        <w:tblPrEx>
          <w:shd w:val="clear" w:color="auto" w:fill="auto"/>
          <w:tblCellMar>
            <w:top w:w="0" w:type="dxa"/>
            <w:left w:w="0" w:type="dxa"/>
            <w:bottom w:w="0" w:type="dxa"/>
            <w:right w:w="0" w:type="dxa"/>
          </w:tblCellMar>
        </w:tblPrEx>
        <w:trPr>
          <w:trHeight w:val="299" w:hRule="atLeast"/>
        </w:trPr>
        <w:tc>
          <w:tcPr>
            <w:tcW w:w="249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环境要素</w:t>
            </w:r>
          </w:p>
        </w:tc>
        <w:tc>
          <w:tcPr>
            <w:tcW w:w="35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监测项目</w:t>
            </w:r>
          </w:p>
        </w:tc>
        <w:tc>
          <w:tcPr>
            <w:tcW w:w="124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监测频次</w:t>
            </w:r>
          </w:p>
        </w:tc>
        <w:tc>
          <w:tcPr>
            <w:tcW w:w="148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监测点</w:t>
            </w:r>
          </w:p>
        </w:tc>
      </w:tr>
      <w:tr>
        <w:tblPrEx>
          <w:shd w:val="clear" w:color="auto" w:fill="auto"/>
          <w:tblCellMar>
            <w:top w:w="0" w:type="dxa"/>
            <w:left w:w="0" w:type="dxa"/>
            <w:bottom w:w="0" w:type="dxa"/>
            <w:right w:w="0" w:type="dxa"/>
          </w:tblCellMar>
        </w:tblPrEx>
        <w:trPr>
          <w:trHeight w:val="385" w:hRule="atLeast"/>
        </w:trPr>
        <w:tc>
          <w:tcPr>
            <w:tcW w:w="1246"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大气污染物</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发酵恶臭</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vertAlign w:val="baseline"/>
              </w:rPr>
            </w:pPr>
            <w:r>
              <w:rPr>
                <w:rFonts w:hint="default" w:ascii="Times New Roman" w:hAnsi="Times New Roman" w:eastAsia="宋体" w:cs="Times New Roman"/>
                <w:i w:val="0"/>
                <w:color w:val="0000FF"/>
                <w:kern w:val="0"/>
                <w:sz w:val="21"/>
                <w:szCs w:val="21"/>
                <w:u w:val="none"/>
                <w:lang w:val="en-US" w:eastAsia="zh-CN" w:bidi="ar"/>
              </w:rPr>
              <w:t>H</w:t>
            </w:r>
            <w:r>
              <w:rPr>
                <w:rFonts w:hint="default" w:ascii="Times New Roman" w:hAnsi="Times New Roman" w:eastAsia="宋体" w:cs="Times New Roman"/>
                <w:i w:val="0"/>
                <w:color w:val="0000FF"/>
                <w:kern w:val="0"/>
                <w:sz w:val="21"/>
                <w:szCs w:val="21"/>
                <w:u w:val="none"/>
                <w:vertAlign w:val="subscript"/>
                <w:lang w:val="en-US" w:eastAsia="zh-CN" w:bidi="ar"/>
              </w:rPr>
              <w:t>2</w:t>
            </w:r>
            <w:r>
              <w:rPr>
                <w:rFonts w:hint="default" w:ascii="Times New Roman" w:hAnsi="Times New Roman" w:eastAsia="宋体" w:cs="Times New Roman"/>
                <w:i w:val="0"/>
                <w:color w:val="0000FF"/>
                <w:kern w:val="0"/>
                <w:sz w:val="21"/>
                <w:szCs w:val="21"/>
                <w:u w:val="none"/>
                <w:lang w:val="en-US" w:eastAsia="zh-CN" w:bidi="ar"/>
              </w:rPr>
              <w:t>S</w:t>
            </w:r>
            <w:r>
              <w:rPr>
                <w:rFonts w:hint="eastAsia" w:ascii="宋体" w:hAnsi="宋体" w:eastAsia="宋体" w:cs="宋体"/>
                <w:i w:val="0"/>
                <w:color w:val="0000FF"/>
                <w:kern w:val="0"/>
                <w:sz w:val="21"/>
                <w:szCs w:val="21"/>
                <w:u w:val="none"/>
                <w:lang w:val="en-US" w:eastAsia="zh-CN" w:bidi="ar"/>
              </w:rPr>
              <w:t>、</w:t>
            </w:r>
            <w:r>
              <w:rPr>
                <w:rFonts w:hint="default" w:ascii="Times New Roman" w:hAnsi="Times New Roman" w:eastAsia="宋体" w:cs="Times New Roman"/>
                <w:i w:val="0"/>
                <w:color w:val="0000FF"/>
                <w:kern w:val="0"/>
                <w:sz w:val="21"/>
                <w:szCs w:val="21"/>
                <w:u w:val="none"/>
                <w:lang w:val="en-US" w:eastAsia="zh-CN" w:bidi="ar"/>
              </w:rPr>
              <w:t>NH</w:t>
            </w:r>
            <w:r>
              <w:rPr>
                <w:rFonts w:hint="default" w:ascii="Times New Roman" w:hAnsi="Times New Roman" w:eastAsia="宋体" w:cs="Times New Roman"/>
                <w:i w:val="0"/>
                <w:color w:val="0000FF"/>
                <w:kern w:val="0"/>
                <w:sz w:val="21"/>
                <w:szCs w:val="21"/>
                <w:u w:val="none"/>
                <w:vertAlign w:val="subscript"/>
                <w:lang w:val="en-US" w:eastAsia="zh-CN" w:bidi="ar"/>
              </w:rPr>
              <w:t>3</w:t>
            </w:r>
            <w:r>
              <w:rPr>
                <w:rFonts w:hint="eastAsia" w:ascii="Times New Roman" w:hAnsi="Times New Roman" w:eastAsia="宋体" w:cs="Times New Roman"/>
                <w:i w:val="0"/>
                <w:color w:val="0000FF"/>
                <w:kern w:val="0"/>
                <w:sz w:val="21"/>
                <w:szCs w:val="21"/>
                <w:u w:val="none"/>
                <w:vertAlign w:val="baseline"/>
                <w:lang w:val="en-US" w:eastAsia="zh-CN" w:bidi="ar"/>
              </w:rPr>
              <w:t>、臭气浓度</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 xml:space="preserve">1 </w:t>
            </w:r>
            <w:r>
              <w:rPr>
                <w:rFonts w:hint="eastAsia" w:ascii="宋体" w:hAnsi="宋体" w:eastAsia="宋体" w:cs="宋体"/>
                <w:i w:val="0"/>
                <w:color w:val="0000FF"/>
                <w:kern w:val="0"/>
                <w:sz w:val="21"/>
                <w:szCs w:val="21"/>
                <w:u w:val="none"/>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Fonts w:hint="eastAsia" w:ascii="宋体" w:hAnsi="宋体" w:eastAsia="宋体" w:cs="宋体"/>
                <w:i w:val="0"/>
                <w:color w:val="0000FF"/>
                <w:kern w:val="0"/>
                <w:sz w:val="21"/>
                <w:szCs w:val="21"/>
                <w:u w:val="none"/>
                <w:lang w:val="en-US" w:eastAsia="zh-CN" w:bidi="ar"/>
              </w:rPr>
              <w:t>年</w:t>
            </w:r>
          </w:p>
        </w:tc>
        <w:tc>
          <w:tcPr>
            <w:tcW w:w="148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w:t>
            </w:r>
          </w:p>
        </w:tc>
      </w:tr>
      <w:tr>
        <w:tblPrEx>
          <w:shd w:val="clear" w:color="auto" w:fill="auto"/>
          <w:tblCellMar>
            <w:top w:w="0" w:type="dxa"/>
            <w:left w:w="0" w:type="dxa"/>
            <w:bottom w:w="0" w:type="dxa"/>
            <w:right w:w="0" w:type="dxa"/>
          </w:tblCellMar>
        </w:tblPrEx>
        <w:trPr>
          <w:trHeight w:val="882" w:hRule="atLeast"/>
        </w:trPr>
        <w:tc>
          <w:tcPr>
            <w:tcW w:w="1246"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厂界无组织恶臭</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vertAlign w:val="baseline"/>
              </w:rPr>
            </w:pPr>
            <w:r>
              <w:rPr>
                <w:rFonts w:hint="default" w:ascii="Times New Roman" w:hAnsi="Times New Roman" w:eastAsia="宋体" w:cs="Times New Roman"/>
                <w:i w:val="0"/>
                <w:color w:val="0000FF"/>
                <w:kern w:val="0"/>
                <w:sz w:val="21"/>
                <w:szCs w:val="21"/>
                <w:u w:val="none"/>
                <w:lang w:val="en-US" w:eastAsia="zh-CN" w:bidi="ar"/>
              </w:rPr>
              <w:t>H</w:t>
            </w:r>
            <w:r>
              <w:rPr>
                <w:rFonts w:hint="default" w:ascii="Times New Roman" w:hAnsi="Times New Roman" w:eastAsia="宋体" w:cs="Times New Roman"/>
                <w:i w:val="0"/>
                <w:color w:val="0000FF"/>
                <w:kern w:val="0"/>
                <w:sz w:val="21"/>
                <w:szCs w:val="21"/>
                <w:u w:val="none"/>
                <w:vertAlign w:val="subscript"/>
                <w:lang w:val="en-US" w:eastAsia="zh-CN" w:bidi="ar"/>
              </w:rPr>
              <w:t>2</w:t>
            </w:r>
            <w:r>
              <w:rPr>
                <w:rFonts w:hint="default" w:ascii="Times New Roman" w:hAnsi="Times New Roman" w:eastAsia="宋体" w:cs="Times New Roman"/>
                <w:i w:val="0"/>
                <w:color w:val="0000FF"/>
                <w:kern w:val="0"/>
                <w:sz w:val="21"/>
                <w:szCs w:val="21"/>
                <w:u w:val="none"/>
                <w:lang w:val="en-US" w:eastAsia="zh-CN" w:bidi="ar"/>
              </w:rPr>
              <w:t>S</w:t>
            </w:r>
            <w:r>
              <w:rPr>
                <w:rFonts w:hint="eastAsia" w:ascii="宋体" w:hAnsi="宋体" w:eastAsia="宋体" w:cs="宋体"/>
                <w:i w:val="0"/>
                <w:color w:val="0000FF"/>
                <w:kern w:val="0"/>
                <w:sz w:val="21"/>
                <w:szCs w:val="21"/>
                <w:u w:val="none"/>
                <w:lang w:val="en-US" w:eastAsia="zh-CN" w:bidi="ar"/>
              </w:rPr>
              <w:t>、</w:t>
            </w:r>
            <w:r>
              <w:rPr>
                <w:rFonts w:hint="default" w:ascii="Times New Roman" w:hAnsi="Times New Roman" w:eastAsia="宋体" w:cs="Times New Roman"/>
                <w:i w:val="0"/>
                <w:color w:val="0000FF"/>
                <w:kern w:val="0"/>
                <w:sz w:val="21"/>
                <w:szCs w:val="21"/>
                <w:u w:val="none"/>
                <w:lang w:val="en-US" w:eastAsia="zh-CN" w:bidi="ar"/>
              </w:rPr>
              <w:t>NH</w:t>
            </w:r>
            <w:r>
              <w:rPr>
                <w:rFonts w:hint="default" w:ascii="Times New Roman" w:hAnsi="Times New Roman" w:eastAsia="宋体" w:cs="Times New Roman"/>
                <w:i w:val="0"/>
                <w:color w:val="0000FF"/>
                <w:kern w:val="0"/>
                <w:sz w:val="21"/>
                <w:szCs w:val="21"/>
                <w:u w:val="none"/>
                <w:vertAlign w:val="subscript"/>
                <w:lang w:val="en-US" w:eastAsia="zh-CN" w:bidi="ar"/>
              </w:rPr>
              <w:t>3</w:t>
            </w:r>
            <w:r>
              <w:rPr>
                <w:rFonts w:hint="eastAsia" w:ascii="Times New Roman" w:hAnsi="Times New Roman" w:eastAsia="宋体" w:cs="Times New Roman"/>
                <w:i w:val="0"/>
                <w:color w:val="0000FF"/>
                <w:kern w:val="0"/>
                <w:sz w:val="21"/>
                <w:szCs w:val="21"/>
                <w:u w:val="none"/>
                <w:vertAlign w:val="baseline"/>
                <w:lang w:val="en-US" w:eastAsia="zh-CN" w:bidi="ar"/>
              </w:rPr>
              <w:t>、臭气浓度</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 xml:space="preserve">1 </w:t>
            </w:r>
            <w:r>
              <w:rPr>
                <w:rFonts w:hint="eastAsia" w:ascii="宋体" w:hAnsi="宋体" w:eastAsia="宋体" w:cs="宋体"/>
                <w:i w:val="0"/>
                <w:color w:val="0000FF"/>
                <w:kern w:val="0"/>
                <w:sz w:val="21"/>
                <w:szCs w:val="21"/>
                <w:u w:val="none"/>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Fonts w:hint="eastAsia" w:ascii="宋体" w:hAnsi="宋体" w:eastAsia="宋体" w:cs="宋体"/>
                <w:i w:val="0"/>
                <w:color w:val="0000FF"/>
                <w:kern w:val="0"/>
                <w:sz w:val="21"/>
                <w:szCs w:val="21"/>
                <w:u w:val="none"/>
                <w:lang w:val="en-US" w:eastAsia="zh-CN" w:bidi="ar"/>
              </w:rPr>
              <w:t>年</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w:t>
            </w:r>
          </w:p>
        </w:tc>
      </w:tr>
      <w:tr>
        <w:tblPrEx>
          <w:shd w:val="clear" w:color="auto" w:fill="auto"/>
          <w:tblCellMar>
            <w:top w:w="0" w:type="dxa"/>
            <w:left w:w="0" w:type="dxa"/>
            <w:bottom w:w="0" w:type="dxa"/>
            <w:right w:w="0" w:type="dxa"/>
          </w:tblCellMar>
        </w:tblPrEx>
        <w:trPr>
          <w:trHeight w:val="779" w:hRule="atLeast"/>
        </w:trPr>
        <w:tc>
          <w:tcPr>
            <w:tcW w:w="1246"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无害化处理车间废气</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H</w:t>
            </w:r>
            <w:r>
              <w:rPr>
                <w:rFonts w:hint="default" w:ascii="Times New Roman" w:hAnsi="Times New Roman" w:eastAsia="宋体" w:cs="Times New Roman"/>
                <w:i w:val="0"/>
                <w:color w:val="0000FF"/>
                <w:kern w:val="0"/>
                <w:sz w:val="21"/>
                <w:szCs w:val="21"/>
                <w:u w:val="none"/>
                <w:vertAlign w:val="subscript"/>
                <w:lang w:val="en-US" w:eastAsia="zh-CN" w:bidi="ar"/>
              </w:rPr>
              <w:t>2</w:t>
            </w:r>
            <w:r>
              <w:rPr>
                <w:rFonts w:hint="default" w:ascii="Times New Roman" w:hAnsi="Times New Roman" w:eastAsia="宋体" w:cs="Times New Roman"/>
                <w:i w:val="0"/>
                <w:color w:val="0000FF"/>
                <w:kern w:val="0"/>
                <w:sz w:val="21"/>
                <w:szCs w:val="21"/>
                <w:u w:val="none"/>
                <w:lang w:val="en-US" w:eastAsia="zh-CN" w:bidi="ar"/>
              </w:rPr>
              <w:t>S</w:t>
            </w:r>
            <w:r>
              <w:rPr>
                <w:rFonts w:hint="eastAsia" w:ascii="宋体" w:hAnsi="宋体" w:eastAsia="宋体" w:cs="宋体"/>
                <w:i w:val="0"/>
                <w:color w:val="0000FF"/>
                <w:kern w:val="0"/>
                <w:sz w:val="21"/>
                <w:szCs w:val="21"/>
                <w:u w:val="none"/>
                <w:lang w:val="en-US" w:eastAsia="zh-CN" w:bidi="ar"/>
              </w:rPr>
              <w:t>、</w:t>
            </w:r>
            <w:r>
              <w:rPr>
                <w:rFonts w:hint="default" w:ascii="Times New Roman" w:hAnsi="Times New Roman" w:eastAsia="宋体" w:cs="Times New Roman"/>
                <w:i w:val="0"/>
                <w:color w:val="0000FF"/>
                <w:kern w:val="0"/>
                <w:sz w:val="21"/>
                <w:szCs w:val="21"/>
                <w:u w:val="none"/>
                <w:lang w:val="en-US" w:eastAsia="zh-CN" w:bidi="ar"/>
              </w:rPr>
              <w:t>NH</w:t>
            </w:r>
            <w:r>
              <w:rPr>
                <w:rFonts w:hint="default" w:ascii="Times New Roman" w:hAnsi="Times New Roman" w:eastAsia="宋体" w:cs="Times New Roman"/>
                <w:i w:val="0"/>
                <w:color w:val="0000FF"/>
                <w:kern w:val="0"/>
                <w:sz w:val="21"/>
                <w:szCs w:val="21"/>
                <w:u w:val="none"/>
                <w:vertAlign w:val="subscript"/>
                <w:lang w:val="en-US" w:eastAsia="zh-CN" w:bidi="ar"/>
              </w:rPr>
              <w:t>3</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 xml:space="preserve">1 </w:t>
            </w:r>
            <w:r>
              <w:rPr>
                <w:rFonts w:hint="eastAsia" w:ascii="宋体" w:hAnsi="宋体" w:eastAsia="宋体" w:cs="宋体"/>
                <w:i w:val="0"/>
                <w:color w:val="0000FF"/>
                <w:kern w:val="0"/>
                <w:sz w:val="21"/>
                <w:szCs w:val="21"/>
                <w:u w:val="none"/>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Fonts w:hint="eastAsia" w:ascii="宋体" w:hAnsi="宋体" w:eastAsia="宋体" w:cs="宋体"/>
                <w:i w:val="0"/>
                <w:color w:val="0000FF"/>
                <w:kern w:val="0"/>
                <w:sz w:val="21"/>
                <w:szCs w:val="21"/>
                <w:u w:val="none"/>
                <w:lang w:val="en-US" w:eastAsia="zh-CN" w:bidi="ar"/>
              </w:rPr>
              <w:t>年</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排气筒</w:t>
            </w:r>
          </w:p>
        </w:tc>
      </w:tr>
      <w:tr>
        <w:tblPrEx>
          <w:shd w:val="clear" w:color="auto" w:fill="auto"/>
          <w:tblCellMar>
            <w:top w:w="0" w:type="dxa"/>
            <w:left w:w="0" w:type="dxa"/>
            <w:bottom w:w="0" w:type="dxa"/>
            <w:right w:w="0" w:type="dxa"/>
          </w:tblCellMar>
        </w:tblPrEx>
        <w:trPr>
          <w:trHeight w:val="299" w:hRule="atLeast"/>
        </w:trPr>
        <w:tc>
          <w:tcPr>
            <w:tcW w:w="2492"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噪声污染源</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厂界噪声</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 xml:space="preserve">1 </w:t>
            </w:r>
            <w:r>
              <w:rPr>
                <w:rFonts w:hint="eastAsia" w:ascii="宋体" w:hAnsi="宋体" w:eastAsia="宋体" w:cs="宋体"/>
                <w:i w:val="0"/>
                <w:color w:val="0000FF"/>
                <w:kern w:val="0"/>
                <w:sz w:val="21"/>
                <w:szCs w:val="21"/>
                <w:u w:val="none"/>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Fonts w:hint="eastAsia" w:ascii="宋体" w:hAnsi="宋体" w:eastAsia="宋体" w:cs="宋体"/>
                <w:i w:val="0"/>
                <w:color w:val="0000FF"/>
                <w:kern w:val="0"/>
                <w:sz w:val="21"/>
                <w:szCs w:val="21"/>
                <w:u w:val="none"/>
                <w:lang w:val="en-US" w:eastAsia="zh-CN" w:bidi="ar"/>
              </w:rPr>
              <w:t>年</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 xml:space="preserve">厂界外 </w:t>
            </w:r>
            <w:r>
              <w:rPr>
                <w:rFonts w:hint="default" w:ascii="Times New Roman" w:hAnsi="Times New Roman" w:eastAsia="宋体" w:cs="Times New Roman"/>
                <w:i w:val="0"/>
                <w:color w:val="0000FF"/>
                <w:kern w:val="0"/>
                <w:sz w:val="21"/>
                <w:szCs w:val="21"/>
                <w:u w:val="none"/>
                <w:lang w:val="en-US" w:eastAsia="zh-CN" w:bidi="ar"/>
              </w:rPr>
              <w:t>1m</w:t>
            </w:r>
          </w:p>
        </w:tc>
      </w:tr>
      <w:tr>
        <w:tblPrEx>
          <w:shd w:val="clear" w:color="auto" w:fill="auto"/>
          <w:tblCellMar>
            <w:top w:w="0" w:type="dxa"/>
            <w:left w:w="0" w:type="dxa"/>
            <w:bottom w:w="0" w:type="dxa"/>
            <w:right w:w="0" w:type="dxa"/>
          </w:tblCellMar>
        </w:tblPrEx>
        <w:trPr>
          <w:trHeight w:val="794" w:hRule="atLeast"/>
        </w:trPr>
        <w:tc>
          <w:tcPr>
            <w:tcW w:w="2492"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环保设施</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环保设施落实及运行情况</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不定期</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各环保设施</w:t>
            </w:r>
          </w:p>
        </w:tc>
      </w:tr>
      <w:tr>
        <w:tblPrEx>
          <w:shd w:val="clear" w:color="auto" w:fill="auto"/>
          <w:tblCellMar>
            <w:top w:w="0" w:type="dxa"/>
            <w:left w:w="0" w:type="dxa"/>
            <w:bottom w:w="0" w:type="dxa"/>
            <w:right w:w="0" w:type="dxa"/>
          </w:tblCellMar>
        </w:tblPrEx>
        <w:trPr>
          <w:trHeight w:val="363" w:hRule="atLeast"/>
        </w:trPr>
        <w:tc>
          <w:tcPr>
            <w:tcW w:w="2492" w:type="dxa"/>
            <w:gridSpan w:val="2"/>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jc w:val="left"/>
              <w:rPr>
                <w:rFonts w:hint="eastAsia" w:ascii="宋体" w:hAnsi="宋体" w:eastAsia="宋体" w:cs="宋体"/>
                <w:b/>
                <w:i w:val="0"/>
                <w:color w:val="0000FF"/>
                <w:sz w:val="26"/>
                <w:szCs w:val="26"/>
                <w:u w:val="none"/>
              </w:rPr>
            </w:pPr>
          </w:p>
        </w:tc>
        <w:tc>
          <w:tcPr>
            <w:tcW w:w="3531"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在养殖区、生产车间周围和场区内空地、进出场区的道路两侧因地制宜进行植树或种草</w:t>
            </w:r>
          </w:p>
        </w:tc>
        <w:tc>
          <w:tcPr>
            <w:tcW w:w="1246" w:type="dxa"/>
            <w:tcBorders>
              <w:top w:val="nil"/>
              <w:left w:val="nil"/>
              <w:bottom w:val="nil"/>
              <w:right w:val="single" w:color="000000" w:sz="8" w:space="0"/>
            </w:tcBorders>
            <w:shd w:val="clear" w:color="auto" w:fill="auto"/>
            <w:tcMar>
              <w:top w:w="15" w:type="dxa"/>
              <w:left w:w="15" w:type="dxa"/>
              <w:right w:w="15" w:type="dxa"/>
            </w:tcMar>
            <w:vAlign w:val="top"/>
          </w:tcPr>
          <w:p>
            <w:pPr>
              <w:jc w:val="left"/>
              <w:rPr>
                <w:rFonts w:hint="eastAsia" w:ascii="宋体" w:hAnsi="宋体" w:eastAsia="宋体" w:cs="宋体"/>
                <w:b/>
                <w:i w:val="0"/>
                <w:color w:val="0000FF"/>
                <w:sz w:val="26"/>
                <w:szCs w:val="26"/>
                <w:u w:val="none"/>
              </w:rPr>
            </w:pPr>
          </w:p>
        </w:tc>
        <w:tc>
          <w:tcPr>
            <w:tcW w:w="1488" w:type="dxa"/>
            <w:tcBorders>
              <w:top w:val="nil"/>
              <w:left w:val="nil"/>
              <w:bottom w:val="nil"/>
              <w:right w:val="single" w:color="000000" w:sz="8" w:space="0"/>
            </w:tcBorders>
            <w:shd w:val="clear" w:color="auto" w:fill="auto"/>
            <w:tcMar>
              <w:top w:w="15" w:type="dxa"/>
              <w:left w:w="15" w:type="dxa"/>
              <w:right w:w="15" w:type="dxa"/>
            </w:tcMar>
            <w:vAlign w:val="top"/>
          </w:tcPr>
          <w:p>
            <w:pPr>
              <w:jc w:val="left"/>
              <w:rPr>
                <w:rFonts w:hint="eastAsia" w:ascii="宋体" w:hAnsi="宋体" w:eastAsia="宋体" w:cs="宋体"/>
                <w:b/>
                <w:i w:val="0"/>
                <w:color w:val="0000FF"/>
                <w:sz w:val="26"/>
                <w:szCs w:val="26"/>
                <w:u w:val="none"/>
              </w:rPr>
            </w:pPr>
          </w:p>
        </w:tc>
      </w:tr>
      <w:tr>
        <w:tblPrEx>
          <w:shd w:val="clear" w:color="auto" w:fill="auto"/>
          <w:tblCellMar>
            <w:top w:w="0" w:type="dxa"/>
            <w:left w:w="0" w:type="dxa"/>
            <w:bottom w:w="0" w:type="dxa"/>
            <w:right w:w="0" w:type="dxa"/>
          </w:tblCellMar>
        </w:tblPrEx>
        <w:trPr>
          <w:trHeight w:val="1261" w:hRule="atLeast"/>
        </w:trPr>
        <w:tc>
          <w:tcPr>
            <w:tcW w:w="2492"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绿化监管</w:t>
            </w:r>
          </w:p>
        </w:tc>
        <w:tc>
          <w:tcPr>
            <w:tcW w:w="3531"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both"/>
              <w:rPr>
                <w:rFonts w:hint="eastAsia" w:ascii="宋体" w:hAnsi="宋体" w:eastAsia="宋体" w:cs="宋体"/>
                <w:i w:val="0"/>
                <w:color w:val="0000FF"/>
                <w:sz w:val="21"/>
                <w:szCs w:val="21"/>
                <w:u w:val="none"/>
              </w:rPr>
            </w:pP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不定期</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厂区内</w:t>
            </w:r>
          </w:p>
        </w:tc>
      </w:tr>
      <w:tr>
        <w:tblPrEx>
          <w:tblCellMar>
            <w:top w:w="0" w:type="dxa"/>
            <w:left w:w="0" w:type="dxa"/>
            <w:bottom w:w="0" w:type="dxa"/>
            <w:right w:w="0" w:type="dxa"/>
          </w:tblCellMar>
        </w:tblPrEx>
        <w:trPr>
          <w:trHeight w:val="813" w:hRule="atLeast"/>
        </w:trPr>
        <w:tc>
          <w:tcPr>
            <w:tcW w:w="2492"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事故监测</w:t>
            </w:r>
          </w:p>
        </w:tc>
        <w:tc>
          <w:tcPr>
            <w:tcW w:w="3531"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事故发生的类型、原因、污染程度及采取的措施</w:t>
            </w:r>
          </w:p>
        </w:tc>
        <w:tc>
          <w:tcPr>
            <w:tcW w:w="1246"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不定期</w:t>
            </w:r>
          </w:p>
        </w:tc>
        <w:tc>
          <w:tcPr>
            <w:tcW w:w="1488"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事故发生点</w:t>
            </w:r>
          </w:p>
        </w:tc>
      </w:tr>
    </w:tbl>
    <w:p>
      <w:pPr>
        <w:pStyle w:val="7"/>
        <w:ind w:left="0"/>
        <w:rPr>
          <w:b/>
          <w:color w:val="0000FF"/>
          <w:sz w:val="26"/>
        </w:rPr>
      </w:pPr>
    </w:p>
    <w:p>
      <w:pPr>
        <w:pStyle w:val="7"/>
        <w:ind w:left="0"/>
        <w:rPr>
          <w:b/>
          <w:sz w:val="26"/>
        </w:rPr>
      </w:pPr>
    </w:p>
    <w:p>
      <w:pPr>
        <w:pStyle w:val="7"/>
        <w:ind w:left="0"/>
        <w:rPr>
          <w:b/>
          <w:sz w:val="26"/>
        </w:rPr>
      </w:pPr>
    </w:p>
    <w:p>
      <w:pPr>
        <w:pStyle w:val="7"/>
        <w:bidi w:val="0"/>
        <w:jc w:val="center"/>
        <w:rPr>
          <w:rFonts w:ascii="Times New Roman" w:eastAsia="Times New Roman"/>
        </w:rPr>
      </w:pPr>
      <w:r>
        <w:t>表</w:t>
      </w:r>
      <w:r>
        <w:rPr>
          <w:rFonts w:ascii="Times New Roman" w:eastAsia="Times New Roman"/>
        </w:rPr>
        <w:t>8.2-2</w:t>
      </w:r>
      <w:r>
        <w:rPr>
          <w:w w:val="95"/>
        </w:rPr>
        <w:t>项目环境质量监测计划一览表</w:t>
      </w:r>
    </w:p>
    <w:tbl>
      <w:tblPr>
        <w:tblStyle w:val="15"/>
        <w:tblW w:w="8160" w:type="dxa"/>
        <w:tblInd w:w="0" w:type="dxa"/>
        <w:shd w:val="clear" w:color="auto" w:fill="auto"/>
        <w:tblLayout w:type="autofit"/>
        <w:tblCellMar>
          <w:top w:w="0" w:type="dxa"/>
          <w:left w:w="0" w:type="dxa"/>
          <w:bottom w:w="0" w:type="dxa"/>
          <w:right w:w="0" w:type="dxa"/>
        </w:tblCellMar>
      </w:tblPr>
      <w:tblGrid>
        <w:gridCol w:w="1080"/>
        <w:gridCol w:w="2760"/>
        <w:gridCol w:w="1080"/>
        <w:gridCol w:w="1080"/>
        <w:gridCol w:w="1080"/>
        <w:gridCol w:w="1080"/>
      </w:tblGrid>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要素</w:t>
            </w:r>
          </w:p>
        </w:tc>
        <w:tc>
          <w:tcPr>
            <w:tcW w:w="276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监测项目</w:t>
            </w:r>
          </w:p>
        </w:tc>
        <w:tc>
          <w:tcPr>
            <w:tcW w:w="1080" w:type="dxa"/>
            <w:tcBorders>
              <w:top w:val="single" w:color="000000" w:sz="8" w:space="0"/>
              <w:left w:val="nil"/>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监测点</w:t>
            </w:r>
          </w:p>
        </w:tc>
        <w:tc>
          <w:tcPr>
            <w:tcW w:w="1080" w:type="dxa"/>
            <w:tcBorders>
              <w:top w:val="single" w:color="000000" w:sz="8" w:space="0"/>
              <w:left w:val="nil"/>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监测点</w:t>
            </w:r>
          </w:p>
        </w:tc>
        <w:tc>
          <w:tcPr>
            <w:tcW w:w="1080" w:type="dxa"/>
            <w:tcBorders>
              <w:top w:val="single" w:color="000000" w:sz="8" w:space="0"/>
              <w:left w:val="nil"/>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监测频</w:t>
            </w:r>
          </w:p>
        </w:tc>
        <w:tc>
          <w:tcPr>
            <w:tcW w:w="108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监测方式</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276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数量</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位置</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FF"/>
                <w:sz w:val="21"/>
                <w:szCs w:val="21"/>
                <w:u w:val="none"/>
              </w:rPr>
            </w:pPr>
            <w:r>
              <w:rPr>
                <w:rFonts w:hint="eastAsia" w:ascii="宋体" w:hAnsi="宋体" w:eastAsia="宋体" w:cs="宋体"/>
                <w:b/>
                <w:i w:val="0"/>
                <w:color w:val="0000FF"/>
                <w:kern w:val="0"/>
                <w:sz w:val="21"/>
                <w:szCs w:val="21"/>
                <w:u w:val="none"/>
                <w:lang w:val="en-US" w:eastAsia="zh-CN" w:bidi="ar"/>
              </w:rPr>
              <w:t>率</w:t>
            </w:r>
          </w:p>
        </w:tc>
        <w:tc>
          <w:tcPr>
            <w:tcW w:w="108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0000FF"/>
                <w:sz w:val="21"/>
                <w:szCs w:val="21"/>
                <w:u w:val="none"/>
              </w:rPr>
            </w:pPr>
          </w:p>
        </w:tc>
      </w:tr>
      <w:tr>
        <w:tblPrEx>
          <w:shd w:val="clear" w:color="auto" w:fill="auto"/>
          <w:tblCellMar>
            <w:top w:w="0" w:type="dxa"/>
            <w:left w:w="0" w:type="dxa"/>
            <w:bottom w:w="0" w:type="dxa"/>
            <w:right w:w="0" w:type="dxa"/>
          </w:tblCellMar>
        </w:tblPrEx>
        <w:trPr>
          <w:trHeight w:val="285"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噪声</w:t>
            </w:r>
          </w:p>
        </w:tc>
        <w:tc>
          <w:tcPr>
            <w:tcW w:w="276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噪声</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4</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1</w:t>
            </w:r>
            <w:r>
              <w:rPr>
                <w:rStyle w:val="26"/>
                <w:color w:val="0000FF"/>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Style w:val="26"/>
                <w:color w:val="0000FF"/>
                <w:lang w:val="en-US" w:eastAsia="zh-CN" w:bidi="ar"/>
              </w:rPr>
              <w:t>年</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委托监测</w:t>
            </w:r>
          </w:p>
        </w:tc>
      </w:tr>
      <w:tr>
        <w:tblPrEx>
          <w:shd w:val="clear" w:color="auto" w:fill="auto"/>
          <w:tblCellMar>
            <w:top w:w="0" w:type="dxa"/>
            <w:left w:w="0" w:type="dxa"/>
            <w:bottom w:w="0" w:type="dxa"/>
            <w:right w:w="0" w:type="dxa"/>
          </w:tblCellMar>
        </w:tblPrEx>
        <w:trPr>
          <w:trHeight w:val="36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环境空气</w:t>
            </w:r>
          </w:p>
        </w:tc>
        <w:tc>
          <w:tcPr>
            <w:tcW w:w="276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H</w:t>
            </w:r>
            <w:r>
              <w:rPr>
                <w:rFonts w:hint="default" w:ascii="Times New Roman" w:hAnsi="Times New Roman" w:eastAsia="宋体" w:cs="Times New Roman"/>
                <w:i w:val="0"/>
                <w:color w:val="0000FF"/>
                <w:kern w:val="0"/>
                <w:sz w:val="21"/>
                <w:szCs w:val="21"/>
                <w:u w:val="none"/>
                <w:vertAlign w:val="subscript"/>
                <w:lang w:val="en-US" w:eastAsia="zh-CN" w:bidi="ar"/>
              </w:rPr>
              <w:t>2</w:t>
            </w:r>
            <w:r>
              <w:rPr>
                <w:rFonts w:hint="default" w:ascii="Times New Roman" w:hAnsi="Times New Roman" w:eastAsia="宋体" w:cs="Times New Roman"/>
                <w:i w:val="0"/>
                <w:color w:val="0000FF"/>
                <w:kern w:val="0"/>
                <w:sz w:val="21"/>
                <w:szCs w:val="21"/>
                <w:u w:val="none"/>
                <w:lang w:val="en-US" w:eastAsia="zh-CN" w:bidi="ar"/>
              </w:rPr>
              <w:t>S</w:t>
            </w:r>
            <w:r>
              <w:rPr>
                <w:rStyle w:val="26"/>
                <w:color w:val="0000FF"/>
                <w:lang w:val="en-US" w:eastAsia="zh-CN" w:bidi="ar"/>
              </w:rPr>
              <w:t>、</w:t>
            </w:r>
            <w:r>
              <w:rPr>
                <w:rFonts w:hint="default" w:ascii="Times New Roman" w:hAnsi="Times New Roman" w:eastAsia="宋体" w:cs="Times New Roman"/>
                <w:i w:val="0"/>
                <w:color w:val="0000FF"/>
                <w:kern w:val="0"/>
                <w:sz w:val="21"/>
                <w:szCs w:val="21"/>
                <w:u w:val="none"/>
                <w:lang w:val="en-US" w:eastAsia="zh-CN" w:bidi="ar"/>
              </w:rPr>
              <w:t>NH</w:t>
            </w:r>
            <w:r>
              <w:rPr>
                <w:rFonts w:hint="default" w:ascii="Times New Roman" w:hAnsi="Times New Roman" w:eastAsia="宋体" w:cs="Times New Roman"/>
                <w:i w:val="0"/>
                <w:color w:val="0000FF"/>
                <w:kern w:val="0"/>
                <w:sz w:val="21"/>
                <w:szCs w:val="21"/>
                <w:u w:val="none"/>
                <w:vertAlign w:val="subscript"/>
                <w:lang w:val="en-US" w:eastAsia="zh-CN" w:bidi="ar"/>
              </w:rPr>
              <w:t>3</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2</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上下风向</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1</w:t>
            </w:r>
            <w:r>
              <w:rPr>
                <w:rStyle w:val="26"/>
                <w:color w:val="0000FF"/>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Style w:val="26"/>
                <w:color w:val="0000FF"/>
                <w:lang w:val="en-US" w:eastAsia="zh-CN" w:bidi="ar"/>
              </w:rPr>
              <w:t>年</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委托监测</w:t>
            </w:r>
          </w:p>
        </w:tc>
      </w:tr>
      <w:tr>
        <w:tblPrEx>
          <w:shd w:val="clear" w:color="auto" w:fill="auto"/>
          <w:tblCellMar>
            <w:top w:w="0" w:type="dxa"/>
            <w:left w:w="0" w:type="dxa"/>
            <w:bottom w:w="0" w:type="dxa"/>
            <w:right w:w="0" w:type="dxa"/>
          </w:tblCellMar>
        </w:tblPrEx>
        <w:trPr>
          <w:trHeight w:val="270" w:hRule="atLeast"/>
        </w:trPr>
        <w:tc>
          <w:tcPr>
            <w:tcW w:w="1080"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地下水</w:t>
            </w:r>
          </w:p>
        </w:tc>
        <w:tc>
          <w:tcPr>
            <w:tcW w:w="276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pH</w:t>
            </w:r>
            <w:r>
              <w:rPr>
                <w:rStyle w:val="26"/>
                <w:color w:val="0000FF"/>
                <w:lang w:val="en-US" w:eastAsia="zh-CN" w:bidi="ar"/>
              </w:rPr>
              <w:t>、总硬度、高锰酸盐指数、氨氮、硫酸盐、氯化物、硝酸盐氮、氟化物、挥发酚、亚硝酸盐氮、氰化物、六价铬、硫化物、溶解性总固体、总大肠菌群、菌落总数、汞、砷、铅、镉、铁、钠</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1</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default" w:ascii="宋体" w:hAnsi="宋体" w:eastAsia="宋体" w:cs="宋体"/>
                <w:i w:val="0"/>
                <w:color w:val="0000FF"/>
                <w:sz w:val="21"/>
                <w:szCs w:val="21"/>
                <w:u w:val="none"/>
                <w:lang w:val="en-US" w:eastAsia="zh-CN"/>
              </w:rPr>
            </w:pPr>
            <w:r>
              <w:rPr>
                <w:rFonts w:hint="eastAsia" w:ascii="宋体" w:hAnsi="宋体" w:eastAsia="宋体" w:cs="宋体"/>
                <w:i w:val="0"/>
                <w:color w:val="0000FF"/>
                <w:sz w:val="21"/>
                <w:szCs w:val="21"/>
                <w:u w:val="none"/>
                <w:lang w:val="en-US" w:eastAsia="zh-CN"/>
              </w:rPr>
              <w:t>地下监测井</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1次/年</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color w:val="0000FF"/>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color w:val="0000FF"/>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委托监测</w:t>
            </w: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276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r>
        <w:tblPrEx>
          <w:shd w:val="clear" w:color="auto" w:fill="auto"/>
          <w:tblCellMar>
            <w:top w:w="0" w:type="dxa"/>
            <w:left w:w="0" w:type="dxa"/>
            <w:bottom w:w="0" w:type="dxa"/>
            <w:right w:w="0" w:type="dxa"/>
          </w:tblCellMar>
        </w:tblPrEx>
        <w:trPr>
          <w:trHeight w:val="270" w:hRule="atLeast"/>
        </w:trPr>
        <w:tc>
          <w:tcPr>
            <w:tcW w:w="108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276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r>
        <w:tblPrEx>
          <w:shd w:val="clear" w:color="auto" w:fill="auto"/>
          <w:tblCellMar>
            <w:top w:w="0" w:type="dxa"/>
            <w:left w:w="0" w:type="dxa"/>
            <w:bottom w:w="0" w:type="dxa"/>
            <w:right w:w="0" w:type="dxa"/>
          </w:tblCellMar>
        </w:tblPrEx>
        <w:trPr>
          <w:trHeight w:val="800" w:hRule="atLeast"/>
        </w:trPr>
        <w:tc>
          <w:tcPr>
            <w:tcW w:w="108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276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FF"/>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0000FF"/>
                <w:sz w:val="21"/>
                <w:szCs w:val="21"/>
                <w:u w:val="none"/>
              </w:rPr>
            </w:pPr>
          </w:p>
        </w:tc>
      </w:tr>
      <w:tr>
        <w:tblPrEx>
          <w:shd w:val="clear" w:color="auto" w:fill="auto"/>
          <w:tblCellMar>
            <w:top w:w="0" w:type="dxa"/>
            <w:left w:w="0" w:type="dxa"/>
            <w:bottom w:w="0" w:type="dxa"/>
            <w:right w:w="0" w:type="dxa"/>
          </w:tblCellMar>
        </w:tblPrEx>
        <w:trPr>
          <w:trHeight w:val="525"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土壤</w:t>
            </w:r>
          </w:p>
        </w:tc>
        <w:tc>
          <w:tcPr>
            <w:tcW w:w="276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PH、总砷、总汞、铅、镉、六价铬、铜、镍、锌</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3</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厂界</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0000FF"/>
                <w:sz w:val="21"/>
                <w:szCs w:val="21"/>
                <w:u w:val="none"/>
              </w:rPr>
            </w:pPr>
            <w:r>
              <w:rPr>
                <w:rFonts w:hint="default" w:ascii="Times New Roman" w:hAnsi="Times New Roman" w:eastAsia="宋体" w:cs="Times New Roman"/>
                <w:i w:val="0"/>
                <w:color w:val="0000FF"/>
                <w:kern w:val="0"/>
                <w:sz w:val="21"/>
                <w:szCs w:val="21"/>
                <w:u w:val="none"/>
                <w:lang w:val="en-US" w:eastAsia="zh-CN" w:bidi="ar"/>
              </w:rPr>
              <w:t>1</w:t>
            </w:r>
            <w:r>
              <w:rPr>
                <w:rStyle w:val="26"/>
                <w:color w:val="0000FF"/>
                <w:lang w:val="en-US" w:eastAsia="zh-CN" w:bidi="ar"/>
              </w:rPr>
              <w:t>次</w:t>
            </w:r>
            <w:r>
              <w:rPr>
                <w:rFonts w:hint="default" w:ascii="Times New Roman" w:hAnsi="Times New Roman" w:eastAsia="宋体" w:cs="Times New Roman"/>
                <w:i w:val="0"/>
                <w:color w:val="0000FF"/>
                <w:kern w:val="0"/>
                <w:sz w:val="21"/>
                <w:szCs w:val="21"/>
                <w:u w:val="none"/>
                <w:lang w:val="en-US" w:eastAsia="zh-CN" w:bidi="ar"/>
              </w:rPr>
              <w:t>/</w:t>
            </w:r>
            <w:r>
              <w:rPr>
                <w:rStyle w:val="26"/>
                <w:color w:val="0000FF"/>
                <w:lang w:val="en-US" w:eastAsia="zh-CN" w:bidi="ar"/>
              </w:rPr>
              <w:t>年</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FF"/>
                <w:sz w:val="21"/>
                <w:szCs w:val="21"/>
                <w:u w:val="none"/>
              </w:rPr>
            </w:pPr>
            <w:r>
              <w:rPr>
                <w:rFonts w:hint="eastAsia" w:ascii="宋体" w:hAnsi="宋体" w:eastAsia="宋体" w:cs="宋体"/>
                <w:i w:val="0"/>
                <w:color w:val="0000FF"/>
                <w:kern w:val="0"/>
                <w:sz w:val="21"/>
                <w:szCs w:val="21"/>
                <w:u w:val="none"/>
                <w:lang w:val="en-US" w:eastAsia="zh-CN" w:bidi="ar"/>
              </w:rPr>
              <w:t>委托监测</w:t>
            </w:r>
          </w:p>
        </w:tc>
      </w:tr>
    </w:tbl>
    <w:p>
      <w:pPr>
        <w:pStyle w:val="18"/>
        <w:numPr>
          <w:ilvl w:val="3"/>
          <w:numId w:val="81"/>
        </w:numPr>
        <w:tabs>
          <w:tab w:val="left" w:pos="1000"/>
        </w:tabs>
        <w:spacing w:before="100" w:after="0" w:line="240" w:lineRule="auto"/>
        <w:ind w:left="1000" w:right="0" w:hanging="780"/>
        <w:jc w:val="left"/>
        <w:rPr>
          <w:sz w:val="24"/>
        </w:rPr>
      </w:pPr>
      <w:bookmarkStart w:id="490" w:name="8.2.2.2 环境管理调查"/>
      <w:bookmarkEnd w:id="490"/>
      <w:bookmarkStart w:id="491" w:name="8.2.2.2 环境管理调查"/>
      <w:bookmarkEnd w:id="491"/>
      <w:r>
        <w:rPr>
          <w:sz w:val="24"/>
        </w:rPr>
        <w:t>环境管理调查</w:t>
      </w:r>
    </w:p>
    <w:p>
      <w:pPr>
        <w:pStyle w:val="7"/>
        <w:spacing w:before="167" w:line="364" w:lineRule="auto"/>
        <w:ind w:left="220" w:right="317" w:firstLine="480"/>
      </w:pPr>
      <w:r>
        <w:rPr>
          <w:spacing w:val="-8"/>
        </w:rPr>
        <w:t>为保证项目建成后，大气污染物长期稳定达标排放，水污染物，固体废物处</w:t>
      </w:r>
      <w:r>
        <w:t>置方式合理，建设单位需建立长期有效的管理调查制度，调查内容如下：</w:t>
      </w:r>
    </w:p>
    <w:p>
      <w:pPr>
        <w:pStyle w:val="18"/>
        <w:numPr>
          <w:ilvl w:val="4"/>
          <w:numId w:val="81"/>
        </w:numPr>
        <w:tabs>
          <w:tab w:val="left" w:pos="1301"/>
        </w:tabs>
        <w:spacing w:before="1" w:after="0" w:line="240" w:lineRule="auto"/>
        <w:ind w:left="1301" w:right="0" w:hanging="601"/>
        <w:jc w:val="left"/>
        <w:rPr>
          <w:sz w:val="24"/>
        </w:rPr>
      </w:pPr>
      <w:r>
        <w:rPr>
          <w:sz w:val="24"/>
        </w:rPr>
        <w:t>废气污染源监督检查</w:t>
      </w:r>
    </w:p>
    <w:p>
      <w:pPr>
        <w:pStyle w:val="7"/>
        <w:spacing w:before="161" w:line="364" w:lineRule="auto"/>
        <w:ind w:left="220" w:right="465" w:firstLine="480"/>
      </w:pPr>
      <w:r>
        <w:t>检查本项目生产运营过程中是否对棚舍的畜禽粪及时清运，无害化处理车间、堆肥厂采取防渗措施，臭气防护的效果是否符合有关标准。</w:t>
      </w:r>
    </w:p>
    <w:p>
      <w:pPr>
        <w:pStyle w:val="18"/>
        <w:numPr>
          <w:ilvl w:val="4"/>
          <w:numId w:val="81"/>
        </w:numPr>
        <w:tabs>
          <w:tab w:val="left" w:pos="1301"/>
        </w:tabs>
        <w:spacing w:before="1" w:after="0" w:line="240" w:lineRule="auto"/>
        <w:ind w:left="1301" w:right="0" w:hanging="601"/>
        <w:jc w:val="left"/>
        <w:rPr>
          <w:sz w:val="24"/>
        </w:rPr>
      </w:pPr>
      <w:r>
        <w:rPr>
          <w:sz w:val="24"/>
        </w:rPr>
        <w:t>噪声污染源监督检查</w:t>
      </w:r>
    </w:p>
    <w:p>
      <w:pPr>
        <w:pStyle w:val="7"/>
        <w:spacing w:before="161" w:line="364" w:lineRule="auto"/>
        <w:ind w:left="220" w:right="317" w:firstLine="480"/>
        <w:jc w:val="both"/>
      </w:pPr>
      <w:r>
        <w:rPr>
          <w:spacing w:val="-7"/>
        </w:rPr>
        <w:t>检查产生噪声的设备如铡草机、水泵是否为国家禁止生产、销售、使用的淘</w:t>
      </w:r>
      <w:r>
        <w:rPr>
          <w:spacing w:val="-10"/>
        </w:rPr>
        <w:t>汰产品。一些设备在运行了一段时期后，会产生额外的噪声与振动。也会使噪声</w:t>
      </w:r>
      <w:r>
        <w:t>值升高，应监督企业加强设备的维护，及时更换磨损部件，降低噪声。</w:t>
      </w:r>
    </w:p>
    <w:p>
      <w:pPr>
        <w:pStyle w:val="7"/>
        <w:spacing w:before="1"/>
        <w:ind w:left="700"/>
      </w:pPr>
      <w:r>
        <w:t>（</w:t>
      </w:r>
      <w:r>
        <w:rPr>
          <w:rFonts w:ascii="Times New Roman" w:eastAsia="Times New Roman"/>
        </w:rPr>
        <w:t>5</w:t>
      </w:r>
      <w:r>
        <w:t>）废水污染源监督检查</w:t>
      </w:r>
    </w:p>
    <w:p>
      <w:pPr>
        <w:pStyle w:val="7"/>
        <w:spacing w:before="161" w:line="364" w:lineRule="auto"/>
        <w:ind w:left="220" w:right="317" w:firstLine="480"/>
      </w:pPr>
      <w:r>
        <w:rPr>
          <w:spacing w:val="-5"/>
        </w:rPr>
        <w:t>检查建设单位是否对生产过程中产生的羊尿液进行了合理处置，监督建设单</w:t>
      </w:r>
      <w:r>
        <w:t>位不准将污水乱排乱倒。</w:t>
      </w:r>
    </w:p>
    <w:p>
      <w:pPr>
        <w:pStyle w:val="7"/>
        <w:spacing w:before="1"/>
        <w:ind w:left="700"/>
      </w:pPr>
      <w:r>
        <w:t>（</w:t>
      </w:r>
      <w:r>
        <w:rPr>
          <w:rFonts w:ascii="Times New Roman" w:eastAsia="Times New Roman"/>
        </w:rPr>
        <w:t>4</w:t>
      </w:r>
      <w:r>
        <w:t>）固体废物监督检查</w:t>
      </w:r>
    </w:p>
    <w:p>
      <w:pPr>
        <w:pStyle w:val="7"/>
        <w:spacing w:before="161" w:line="364" w:lineRule="auto"/>
        <w:ind w:left="220" w:right="317" w:firstLine="480"/>
        <w:jc w:val="both"/>
      </w:pPr>
      <w:r>
        <w:rPr>
          <w:spacing w:val="-5"/>
        </w:rPr>
        <w:t>检查建设单位是否对生产过程中产生的医疗固废进行规范处置，固体粪便是</w:t>
      </w:r>
      <w:r>
        <w:rPr>
          <w:spacing w:val="-8"/>
        </w:rPr>
        <w:t>否全部用于有机肥生产，生活垃圾及时送往</w:t>
      </w:r>
      <w:r>
        <w:rPr>
          <w:rFonts w:hint="eastAsia"/>
          <w:spacing w:val="-8"/>
          <w:lang w:val="en-US" w:eastAsia="zh-CN"/>
        </w:rPr>
        <w:t>莎车</w:t>
      </w:r>
      <w:r>
        <w:rPr>
          <w:spacing w:val="-8"/>
        </w:rPr>
        <w:t>县生活垃圾填埋场处置，病死羊</w:t>
      </w:r>
      <w:r>
        <w:t>尸体是否通过无害化处理。监督建设单位不准将未处理的固体废物随意排放。</w:t>
      </w:r>
    </w:p>
    <w:p>
      <w:pPr>
        <w:pStyle w:val="4"/>
        <w:numPr>
          <w:ilvl w:val="1"/>
          <w:numId w:val="78"/>
        </w:numPr>
        <w:tabs>
          <w:tab w:val="left" w:pos="780"/>
        </w:tabs>
        <w:spacing w:before="152" w:after="0" w:line="240" w:lineRule="auto"/>
        <w:ind w:left="779" w:right="0" w:hanging="560"/>
        <w:jc w:val="left"/>
        <w:outlineLvl w:val="1"/>
      </w:pPr>
      <w:bookmarkStart w:id="492" w:name="_bookmark38"/>
      <w:bookmarkEnd w:id="492"/>
      <w:bookmarkStart w:id="493" w:name="_bookmark38"/>
      <w:bookmarkEnd w:id="493"/>
      <w:bookmarkStart w:id="494" w:name="8.3 竣工验收计划"/>
      <w:bookmarkEnd w:id="494"/>
      <w:bookmarkStart w:id="495" w:name="_Toc9970"/>
      <w:r>
        <w:t>竣工验收计划</w:t>
      </w:r>
      <w:bookmarkEnd w:id="495"/>
    </w:p>
    <w:p>
      <w:pPr>
        <w:pStyle w:val="7"/>
        <w:spacing w:before="5"/>
        <w:ind w:left="0"/>
        <w:rPr>
          <w:b/>
        </w:rPr>
      </w:pPr>
    </w:p>
    <w:p>
      <w:pPr>
        <w:pStyle w:val="7"/>
        <w:spacing w:line="364" w:lineRule="auto"/>
        <w:ind w:left="220" w:right="317" w:firstLine="480"/>
        <w:jc w:val="both"/>
      </w:pPr>
      <w:r>
        <w:rPr>
          <w:spacing w:val="-6"/>
        </w:rPr>
        <w:t>本项目中的污染防治措施必须与主体工程同时设计、同时施工、同时投产使</w:t>
      </w:r>
      <w:r>
        <w:rPr>
          <w:spacing w:val="-4"/>
        </w:rPr>
        <w:t>用。本项目竣工“三同时”验收计划详见表</w:t>
      </w:r>
      <w:r>
        <w:rPr>
          <w:rFonts w:ascii="Times New Roman" w:hAnsi="Times New Roman" w:eastAsia="Times New Roman"/>
        </w:rPr>
        <w:t>8.3-1</w:t>
      </w:r>
      <w:r>
        <w:t>。</w:t>
      </w:r>
    </w:p>
    <w:p>
      <w:pPr>
        <w:pStyle w:val="7"/>
        <w:bidi w:val="0"/>
        <w:jc w:val="center"/>
      </w:pPr>
      <w:r>
        <w:t>表</w:t>
      </w:r>
      <w:r>
        <w:rPr>
          <w:rFonts w:ascii="Times New Roman" w:eastAsia="Times New Roman"/>
        </w:rPr>
        <w:t>8.3-1</w:t>
      </w:r>
      <w:r>
        <w:rPr>
          <w:rFonts w:ascii="Times New Roman" w:eastAsia="Times New Roman"/>
        </w:rPr>
        <w:tab/>
      </w:r>
      <w:r>
        <w:t>建设项目竣工环境保护验收一览表</w:t>
      </w:r>
    </w:p>
    <w:p>
      <w:pPr>
        <w:spacing w:after="0"/>
        <w:jc w:val="left"/>
        <w:rPr>
          <w:sz w:val="21"/>
        </w:rPr>
      </w:pPr>
    </w:p>
    <w:tbl>
      <w:tblPr>
        <w:tblStyle w:val="15"/>
        <w:tblW w:w="0" w:type="auto"/>
        <w:tblInd w:w="2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7"/>
        <w:gridCol w:w="450"/>
        <w:gridCol w:w="1320"/>
        <w:gridCol w:w="2347"/>
        <w:gridCol w:w="3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707" w:type="dxa"/>
          </w:tcPr>
          <w:p>
            <w:pPr>
              <w:pStyle w:val="19"/>
              <w:spacing w:before="33"/>
              <w:ind w:left="142"/>
              <w:jc w:val="left"/>
              <w:rPr>
                <w:b/>
                <w:color w:val="0000FF"/>
                <w:sz w:val="21"/>
              </w:rPr>
            </w:pPr>
            <w:r>
              <w:rPr>
                <w:b/>
                <w:color w:val="0000FF"/>
                <w:sz w:val="21"/>
              </w:rPr>
              <w:t>类别</w:t>
            </w:r>
          </w:p>
        </w:tc>
        <w:tc>
          <w:tcPr>
            <w:tcW w:w="1770" w:type="dxa"/>
            <w:gridSpan w:val="2"/>
          </w:tcPr>
          <w:p>
            <w:pPr>
              <w:pStyle w:val="19"/>
              <w:spacing w:before="33"/>
              <w:ind w:left="570"/>
              <w:jc w:val="left"/>
              <w:rPr>
                <w:b/>
                <w:color w:val="0000FF"/>
                <w:sz w:val="21"/>
              </w:rPr>
            </w:pPr>
            <w:r>
              <w:rPr>
                <w:b/>
                <w:color w:val="0000FF"/>
                <w:sz w:val="21"/>
              </w:rPr>
              <w:t>污染源</w:t>
            </w:r>
          </w:p>
        </w:tc>
        <w:tc>
          <w:tcPr>
            <w:tcW w:w="2347" w:type="dxa"/>
          </w:tcPr>
          <w:p>
            <w:pPr>
              <w:pStyle w:val="19"/>
              <w:spacing w:before="33"/>
              <w:ind w:left="727"/>
              <w:jc w:val="left"/>
              <w:rPr>
                <w:b/>
                <w:color w:val="0000FF"/>
                <w:sz w:val="21"/>
              </w:rPr>
            </w:pPr>
            <w:r>
              <w:rPr>
                <w:b/>
                <w:color w:val="0000FF"/>
                <w:sz w:val="21"/>
              </w:rPr>
              <w:t>防治措施</w:t>
            </w:r>
          </w:p>
        </w:tc>
        <w:tc>
          <w:tcPr>
            <w:tcW w:w="3473" w:type="dxa"/>
          </w:tcPr>
          <w:p>
            <w:pPr>
              <w:pStyle w:val="19"/>
              <w:spacing w:before="33"/>
              <w:ind w:left="139" w:right="129"/>
              <w:rPr>
                <w:b/>
                <w:color w:val="0000FF"/>
                <w:sz w:val="21"/>
              </w:rPr>
            </w:pPr>
            <w:r>
              <w:rPr>
                <w:b/>
                <w:color w:val="0000FF"/>
                <w:sz w:val="21"/>
              </w:rPr>
              <w:t>验收标准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07" w:type="dxa"/>
            <w:vMerge w:val="restart"/>
          </w:tcPr>
          <w:p>
            <w:pPr>
              <w:pStyle w:val="19"/>
              <w:spacing w:line="236" w:lineRule="exact"/>
              <w:ind w:left="142"/>
              <w:jc w:val="left"/>
              <w:rPr>
                <w:color w:val="0000FF"/>
                <w:sz w:val="21"/>
              </w:rPr>
            </w:pPr>
            <w:r>
              <w:rPr>
                <w:color w:val="0000FF"/>
                <w:spacing w:val="-1"/>
                <w:w w:val="95"/>
                <w:sz w:val="21"/>
              </w:rPr>
              <w:t>废水</w:t>
            </w:r>
          </w:p>
          <w:p>
            <w:pPr>
              <w:pStyle w:val="19"/>
              <w:spacing w:line="224" w:lineRule="exact"/>
              <w:ind w:left="142"/>
              <w:jc w:val="left"/>
              <w:rPr>
                <w:color w:val="0000FF"/>
                <w:sz w:val="21"/>
              </w:rPr>
            </w:pPr>
            <w:r>
              <w:rPr>
                <w:color w:val="0000FF"/>
                <w:spacing w:val="-1"/>
                <w:w w:val="95"/>
                <w:sz w:val="21"/>
              </w:rPr>
              <w:t>治理</w:t>
            </w:r>
          </w:p>
        </w:tc>
        <w:tc>
          <w:tcPr>
            <w:tcW w:w="1770" w:type="dxa"/>
            <w:gridSpan w:val="2"/>
          </w:tcPr>
          <w:p>
            <w:pPr>
              <w:pStyle w:val="19"/>
              <w:spacing w:line="224" w:lineRule="exact"/>
              <w:ind w:left="107"/>
              <w:jc w:val="center"/>
              <w:rPr>
                <w:rFonts w:hint="default" w:eastAsia="宋体"/>
                <w:color w:val="0000FF"/>
                <w:sz w:val="21"/>
                <w:lang w:val="en-US" w:eastAsia="zh-CN"/>
              </w:rPr>
            </w:pPr>
            <w:r>
              <w:rPr>
                <w:rFonts w:hint="eastAsia"/>
                <w:color w:val="0000FF"/>
                <w:sz w:val="21"/>
                <w:lang w:val="en-US" w:eastAsia="zh-CN"/>
              </w:rPr>
              <w:t>生活废水</w:t>
            </w:r>
          </w:p>
        </w:tc>
        <w:tc>
          <w:tcPr>
            <w:tcW w:w="2347" w:type="dxa"/>
          </w:tcPr>
          <w:p>
            <w:pPr>
              <w:pStyle w:val="19"/>
              <w:spacing w:line="224" w:lineRule="exact"/>
              <w:ind w:left="108"/>
              <w:jc w:val="left"/>
              <w:rPr>
                <w:rFonts w:hint="default" w:eastAsia="宋体"/>
                <w:color w:val="0000FF"/>
                <w:sz w:val="21"/>
                <w:lang w:val="en-US" w:eastAsia="zh-CN"/>
              </w:rPr>
            </w:pPr>
            <w:r>
              <w:rPr>
                <w:rFonts w:hint="eastAsia"/>
                <w:color w:val="0000FF"/>
                <w:sz w:val="21"/>
                <w:lang w:val="en-US" w:eastAsia="zh-CN"/>
              </w:rPr>
              <w:t>化粪池和地埋式一体化污水处理设备</w:t>
            </w:r>
          </w:p>
        </w:tc>
        <w:tc>
          <w:tcPr>
            <w:tcW w:w="3473" w:type="dxa"/>
          </w:tcPr>
          <w:p>
            <w:pPr>
              <w:pStyle w:val="19"/>
              <w:spacing w:line="224" w:lineRule="exact"/>
              <w:jc w:val="center"/>
              <w:rPr>
                <w:color w:val="0000FF"/>
                <w:sz w:val="21"/>
              </w:rPr>
            </w:pPr>
            <w:r>
              <w:rPr>
                <w:rFonts w:hint="eastAsia" w:ascii="宋体" w:hAnsi="宋体" w:eastAsia="宋体" w:cs="宋体"/>
                <w:color w:val="FF0000"/>
                <w:spacing w:val="-1"/>
                <w:sz w:val="21"/>
                <w:szCs w:val="21"/>
                <w:lang w:val="en-US" w:eastAsia="zh-CN"/>
              </w:rPr>
              <w:t>沉淀物由相关环卫部门抽运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07" w:type="dxa"/>
            <w:vMerge w:val="continue"/>
          </w:tcPr>
          <w:p>
            <w:pPr>
              <w:pStyle w:val="19"/>
              <w:spacing w:line="224" w:lineRule="exact"/>
              <w:ind w:left="142"/>
              <w:jc w:val="left"/>
              <w:rPr>
                <w:color w:val="0000FF"/>
                <w:sz w:val="21"/>
              </w:rPr>
            </w:pPr>
          </w:p>
        </w:tc>
        <w:tc>
          <w:tcPr>
            <w:tcW w:w="1770" w:type="dxa"/>
            <w:gridSpan w:val="2"/>
          </w:tcPr>
          <w:p>
            <w:pPr>
              <w:pStyle w:val="19"/>
              <w:spacing w:line="236" w:lineRule="exact"/>
              <w:ind w:left="107"/>
              <w:jc w:val="left"/>
              <w:rPr>
                <w:color w:val="0000FF"/>
                <w:sz w:val="21"/>
              </w:rPr>
            </w:pPr>
            <w:r>
              <w:rPr>
                <w:color w:val="0000FF"/>
                <w:sz w:val="21"/>
              </w:rPr>
              <w:t>无害化处理车间</w:t>
            </w:r>
          </w:p>
          <w:p>
            <w:pPr>
              <w:pStyle w:val="19"/>
              <w:spacing w:line="224" w:lineRule="exact"/>
              <w:ind w:left="107"/>
              <w:jc w:val="left"/>
              <w:rPr>
                <w:color w:val="0000FF"/>
                <w:sz w:val="21"/>
              </w:rPr>
            </w:pPr>
            <w:r>
              <w:rPr>
                <w:color w:val="0000FF"/>
                <w:sz w:val="21"/>
              </w:rPr>
              <w:t>化制废水</w:t>
            </w:r>
          </w:p>
        </w:tc>
        <w:tc>
          <w:tcPr>
            <w:tcW w:w="2347" w:type="dxa"/>
          </w:tcPr>
          <w:p>
            <w:pPr>
              <w:pStyle w:val="19"/>
              <w:spacing w:line="236" w:lineRule="exact"/>
              <w:ind w:left="108"/>
              <w:jc w:val="left"/>
              <w:rPr>
                <w:color w:val="0000FF"/>
                <w:sz w:val="21"/>
              </w:rPr>
            </w:pPr>
            <w:r>
              <w:rPr>
                <w:rFonts w:ascii="Times New Roman" w:eastAsia="Times New Roman"/>
                <w:color w:val="0000FF"/>
                <w:sz w:val="21"/>
              </w:rPr>
              <w:t>1</w:t>
            </w:r>
            <w:r>
              <w:rPr>
                <w:color w:val="0000FF"/>
                <w:sz w:val="21"/>
              </w:rPr>
              <w:t>个地埋式密闭防渗储</w:t>
            </w:r>
          </w:p>
          <w:p>
            <w:pPr>
              <w:pStyle w:val="19"/>
              <w:spacing w:line="224" w:lineRule="exact"/>
              <w:ind w:left="108"/>
              <w:jc w:val="left"/>
              <w:rPr>
                <w:color w:val="0000FF"/>
                <w:sz w:val="21"/>
              </w:rPr>
            </w:pPr>
            <w:r>
              <w:rPr>
                <w:color w:val="0000FF"/>
                <w:sz w:val="21"/>
              </w:rPr>
              <w:t>液池</w:t>
            </w:r>
          </w:p>
        </w:tc>
        <w:tc>
          <w:tcPr>
            <w:tcW w:w="3473" w:type="dxa"/>
          </w:tcPr>
          <w:p>
            <w:pPr>
              <w:pStyle w:val="19"/>
              <w:spacing w:line="236" w:lineRule="exact"/>
              <w:ind w:left="107"/>
              <w:jc w:val="left"/>
              <w:rPr>
                <w:color w:val="0000FF"/>
                <w:sz w:val="21"/>
              </w:rPr>
            </w:pPr>
            <w:r>
              <w:rPr>
                <w:color w:val="0000FF"/>
                <w:sz w:val="21"/>
              </w:rPr>
              <w:t>定期清运至</w:t>
            </w:r>
            <w:r>
              <w:rPr>
                <w:rFonts w:hint="eastAsia"/>
                <w:color w:val="0000FF"/>
                <w:sz w:val="21"/>
                <w:lang w:val="en-US" w:eastAsia="zh-CN"/>
              </w:rPr>
              <w:t>莎车</w:t>
            </w:r>
            <w:r>
              <w:rPr>
                <w:color w:val="0000FF"/>
                <w:sz w:val="21"/>
              </w:rPr>
              <w:t>县污水处理厂，不外排。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707" w:type="dxa"/>
            <w:vMerge w:val="restart"/>
          </w:tcPr>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spacing w:before="7"/>
              <w:jc w:val="left"/>
              <w:rPr>
                <w:b/>
                <w:color w:val="0000FF"/>
                <w:sz w:val="15"/>
              </w:rPr>
            </w:pPr>
          </w:p>
          <w:p>
            <w:pPr>
              <w:pStyle w:val="19"/>
              <w:spacing w:line="213" w:lineRule="auto"/>
              <w:ind w:left="142" w:right="135"/>
              <w:jc w:val="left"/>
              <w:rPr>
                <w:color w:val="0000FF"/>
                <w:sz w:val="21"/>
              </w:rPr>
            </w:pPr>
            <w:r>
              <w:rPr>
                <w:color w:val="0000FF"/>
                <w:sz w:val="21"/>
              </w:rPr>
              <w:t>废气治理</w:t>
            </w:r>
          </w:p>
        </w:tc>
        <w:tc>
          <w:tcPr>
            <w:tcW w:w="450" w:type="dxa"/>
          </w:tcPr>
          <w:p>
            <w:pPr>
              <w:pStyle w:val="19"/>
              <w:spacing w:before="4" w:line="213" w:lineRule="auto"/>
              <w:ind w:left="119" w:right="109"/>
              <w:jc w:val="both"/>
              <w:rPr>
                <w:color w:val="0000FF"/>
                <w:sz w:val="21"/>
              </w:rPr>
            </w:pPr>
            <w:r>
              <w:rPr>
                <w:color w:val="0000FF"/>
                <w:sz w:val="21"/>
              </w:rPr>
              <w:t>有组织废</w:t>
            </w:r>
          </w:p>
          <w:p>
            <w:pPr>
              <w:pStyle w:val="19"/>
              <w:spacing w:line="218" w:lineRule="exact"/>
              <w:ind w:left="119"/>
              <w:jc w:val="left"/>
              <w:rPr>
                <w:color w:val="0000FF"/>
                <w:sz w:val="21"/>
              </w:rPr>
            </w:pPr>
            <w:r>
              <w:rPr>
                <w:color w:val="0000FF"/>
                <w:w w:val="99"/>
                <w:sz w:val="21"/>
              </w:rPr>
              <w:t>气</w:t>
            </w:r>
          </w:p>
        </w:tc>
        <w:tc>
          <w:tcPr>
            <w:tcW w:w="1320" w:type="dxa"/>
          </w:tcPr>
          <w:p>
            <w:pPr>
              <w:pStyle w:val="19"/>
              <w:spacing w:before="5"/>
              <w:jc w:val="left"/>
              <w:rPr>
                <w:b/>
                <w:color w:val="0000FF"/>
                <w:sz w:val="28"/>
              </w:rPr>
            </w:pPr>
          </w:p>
          <w:p>
            <w:pPr>
              <w:pStyle w:val="19"/>
              <w:spacing w:line="213" w:lineRule="auto"/>
              <w:ind w:left="240" w:right="124" w:hanging="106"/>
              <w:jc w:val="left"/>
              <w:rPr>
                <w:color w:val="0000FF"/>
                <w:sz w:val="21"/>
              </w:rPr>
            </w:pPr>
            <w:r>
              <w:rPr>
                <w:color w:val="0000FF"/>
                <w:sz w:val="21"/>
              </w:rPr>
              <w:t>无害化处理车间废气</w:t>
            </w:r>
          </w:p>
        </w:tc>
        <w:tc>
          <w:tcPr>
            <w:tcW w:w="2347" w:type="dxa"/>
          </w:tcPr>
          <w:p>
            <w:pPr>
              <w:pStyle w:val="19"/>
              <w:spacing w:before="7"/>
              <w:jc w:val="left"/>
              <w:rPr>
                <w:b/>
                <w:color w:val="0000FF"/>
                <w:sz w:val="26"/>
              </w:rPr>
            </w:pPr>
          </w:p>
          <w:p>
            <w:pPr>
              <w:pStyle w:val="19"/>
              <w:spacing w:line="255" w:lineRule="exact"/>
              <w:ind w:left="108"/>
              <w:jc w:val="left"/>
              <w:rPr>
                <w:color w:val="0000FF"/>
                <w:sz w:val="21"/>
              </w:rPr>
            </w:pPr>
            <w:r>
              <w:rPr>
                <w:rFonts w:ascii="Times New Roman" w:eastAsia="Times New Roman"/>
                <w:color w:val="0000FF"/>
                <w:sz w:val="21"/>
              </w:rPr>
              <w:t>1</w:t>
            </w:r>
            <w:r>
              <w:rPr>
                <w:color w:val="0000FF"/>
                <w:sz w:val="21"/>
              </w:rPr>
              <w:t>套光解除臭装置</w:t>
            </w:r>
          </w:p>
          <w:p>
            <w:pPr>
              <w:pStyle w:val="19"/>
              <w:spacing w:line="255" w:lineRule="exact"/>
              <w:ind w:left="108"/>
              <w:jc w:val="left"/>
              <w:rPr>
                <w:color w:val="0000FF"/>
                <w:sz w:val="21"/>
              </w:rPr>
            </w:pPr>
            <w:r>
              <w:rPr>
                <w:rFonts w:ascii="Times New Roman" w:eastAsia="Times New Roman"/>
                <w:color w:val="0000FF"/>
                <w:sz w:val="21"/>
              </w:rPr>
              <w:t>+15m</w:t>
            </w:r>
            <w:r>
              <w:rPr>
                <w:color w:val="0000FF"/>
                <w:sz w:val="21"/>
              </w:rPr>
              <w:t>高排气筒</w:t>
            </w:r>
          </w:p>
        </w:tc>
        <w:tc>
          <w:tcPr>
            <w:tcW w:w="3473" w:type="dxa"/>
          </w:tcPr>
          <w:p>
            <w:pPr>
              <w:pStyle w:val="19"/>
              <w:jc w:val="left"/>
              <w:rPr>
                <w:b/>
                <w:color w:val="0000FF"/>
                <w:sz w:val="22"/>
              </w:rPr>
            </w:pPr>
          </w:p>
          <w:p>
            <w:pPr>
              <w:pStyle w:val="19"/>
              <w:spacing w:before="179"/>
              <w:ind w:left="139" w:right="132"/>
              <w:rPr>
                <w:color w:val="0000FF"/>
                <w:sz w:val="21"/>
              </w:rPr>
            </w:pPr>
            <w:r>
              <w:rPr>
                <w:color w:val="0000FF"/>
                <w:sz w:val="21"/>
              </w:rPr>
              <w:t>《恶臭污染物排放标准》表</w:t>
            </w:r>
            <w:r>
              <w:rPr>
                <w:rFonts w:ascii="Times New Roman" w:eastAsia="Times New Roman"/>
                <w:color w:val="0000FF"/>
                <w:sz w:val="21"/>
              </w:rPr>
              <w:t>2</w:t>
            </w:r>
            <w:r>
              <w:rPr>
                <w:color w:val="0000FF"/>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707" w:type="dxa"/>
            <w:vMerge w:val="continue"/>
            <w:tcBorders>
              <w:top w:val="nil"/>
            </w:tcBorders>
          </w:tcPr>
          <w:p>
            <w:pPr>
              <w:rPr>
                <w:color w:val="0000FF"/>
                <w:sz w:val="2"/>
                <w:szCs w:val="2"/>
              </w:rPr>
            </w:pPr>
          </w:p>
        </w:tc>
        <w:tc>
          <w:tcPr>
            <w:tcW w:w="450" w:type="dxa"/>
          </w:tcPr>
          <w:p>
            <w:pPr>
              <w:pStyle w:val="19"/>
              <w:spacing w:before="3" w:line="213" w:lineRule="auto"/>
              <w:ind w:left="119" w:right="109"/>
              <w:jc w:val="both"/>
              <w:rPr>
                <w:color w:val="0000FF"/>
                <w:sz w:val="21"/>
              </w:rPr>
            </w:pPr>
            <w:r>
              <w:rPr>
                <w:color w:val="0000FF"/>
                <w:sz w:val="21"/>
              </w:rPr>
              <w:t>无组织废</w:t>
            </w:r>
          </w:p>
          <w:p>
            <w:pPr>
              <w:pStyle w:val="19"/>
              <w:spacing w:line="217" w:lineRule="exact"/>
              <w:ind w:left="119"/>
              <w:jc w:val="left"/>
              <w:rPr>
                <w:color w:val="0000FF"/>
                <w:sz w:val="21"/>
              </w:rPr>
            </w:pPr>
            <w:r>
              <w:rPr>
                <w:color w:val="0000FF"/>
                <w:w w:val="99"/>
                <w:sz w:val="21"/>
              </w:rPr>
              <w:t>气</w:t>
            </w:r>
          </w:p>
        </w:tc>
        <w:tc>
          <w:tcPr>
            <w:tcW w:w="1320" w:type="dxa"/>
          </w:tcPr>
          <w:p>
            <w:pPr>
              <w:pStyle w:val="19"/>
              <w:jc w:val="left"/>
              <w:rPr>
                <w:b/>
                <w:color w:val="0000FF"/>
                <w:sz w:val="20"/>
              </w:rPr>
            </w:pPr>
          </w:p>
          <w:p>
            <w:pPr>
              <w:pStyle w:val="19"/>
              <w:spacing w:before="11"/>
              <w:jc w:val="left"/>
              <w:rPr>
                <w:b/>
                <w:color w:val="0000FF"/>
                <w:sz w:val="15"/>
              </w:rPr>
            </w:pPr>
          </w:p>
          <w:p>
            <w:pPr>
              <w:pStyle w:val="19"/>
              <w:spacing w:before="1"/>
              <w:ind w:left="134"/>
              <w:jc w:val="left"/>
              <w:rPr>
                <w:color w:val="0000FF"/>
                <w:sz w:val="21"/>
              </w:rPr>
            </w:pPr>
            <w:r>
              <w:rPr>
                <w:color w:val="0000FF"/>
                <w:sz w:val="21"/>
              </w:rPr>
              <w:t>养殖场恶臭</w:t>
            </w:r>
          </w:p>
        </w:tc>
        <w:tc>
          <w:tcPr>
            <w:tcW w:w="2347" w:type="dxa"/>
          </w:tcPr>
          <w:p>
            <w:pPr>
              <w:pStyle w:val="19"/>
              <w:jc w:val="left"/>
              <w:rPr>
                <w:b/>
                <w:color w:val="0000FF"/>
                <w:sz w:val="19"/>
              </w:rPr>
            </w:pPr>
          </w:p>
          <w:p>
            <w:pPr>
              <w:pStyle w:val="19"/>
              <w:spacing w:line="213" w:lineRule="auto"/>
              <w:ind w:left="108" w:right="76"/>
              <w:jc w:val="both"/>
              <w:rPr>
                <w:color w:val="0000FF"/>
                <w:sz w:val="21"/>
              </w:rPr>
            </w:pPr>
            <w:r>
              <w:rPr>
                <w:color w:val="0000FF"/>
                <w:sz w:val="21"/>
              </w:rPr>
              <w:t>及时清粪、通风换气、喷洒除臭剂、加强绿化密闭、喷洒除臭剂</w:t>
            </w:r>
          </w:p>
        </w:tc>
        <w:tc>
          <w:tcPr>
            <w:tcW w:w="3473" w:type="dxa"/>
          </w:tcPr>
          <w:p>
            <w:pPr>
              <w:pStyle w:val="19"/>
              <w:jc w:val="left"/>
              <w:rPr>
                <w:b/>
                <w:color w:val="0000FF"/>
                <w:sz w:val="22"/>
              </w:rPr>
            </w:pPr>
          </w:p>
          <w:p>
            <w:pPr>
              <w:pStyle w:val="19"/>
              <w:spacing w:before="178"/>
              <w:ind w:left="139" w:right="132"/>
              <w:rPr>
                <w:color w:val="0000FF"/>
                <w:sz w:val="21"/>
              </w:rPr>
            </w:pPr>
            <w:r>
              <w:rPr>
                <w:color w:val="0000FF"/>
                <w:sz w:val="21"/>
              </w:rPr>
              <w:t>《恶臭污染物排放标准》表</w:t>
            </w:r>
            <w:r>
              <w:rPr>
                <w:rFonts w:ascii="Times New Roman" w:eastAsia="Times New Roman"/>
                <w:color w:val="0000FF"/>
                <w:sz w:val="21"/>
              </w:rPr>
              <w:t>1</w:t>
            </w:r>
            <w:r>
              <w:rPr>
                <w:color w:val="0000FF"/>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7" w:type="dxa"/>
          </w:tcPr>
          <w:p>
            <w:pPr>
              <w:pStyle w:val="19"/>
              <w:spacing w:line="240" w:lineRule="exact"/>
              <w:ind w:left="142" w:right="135"/>
              <w:jc w:val="left"/>
              <w:rPr>
                <w:color w:val="0000FF"/>
                <w:sz w:val="21"/>
              </w:rPr>
            </w:pPr>
            <w:r>
              <w:rPr>
                <w:color w:val="0000FF"/>
                <w:sz w:val="21"/>
              </w:rPr>
              <w:t>噪声控制</w:t>
            </w:r>
          </w:p>
        </w:tc>
        <w:tc>
          <w:tcPr>
            <w:tcW w:w="1770" w:type="dxa"/>
            <w:gridSpan w:val="2"/>
          </w:tcPr>
          <w:p>
            <w:pPr>
              <w:pStyle w:val="19"/>
              <w:spacing w:before="102"/>
              <w:ind w:left="464"/>
              <w:jc w:val="left"/>
              <w:rPr>
                <w:color w:val="0000FF"/>
                <w:sz w:val="21"/>
              </w:rPr>
            </w:pPr>
            <w:r>
              <w:rPr>
                <w:color w:val="0000FF"/>
                <w:sz w:val="21"/>
              </w:rPr>
              <w:t>设备噪声</w:t>
            </w:r>
          </w:p>
        </w:tc>
        <w:tc>
          <w:tcPr>
            <w:tcW w:w="2347" w:type="dxa"/>
          </w:tcPr>
          <w:p>
            <w:pPr>
              <w:pStyle w:val="19"/>
              <w:spacing w:before="102"/>
              <w:ind w:left="108"/>
              <w:jc w:val="left"/>
              <w:rPr>
                <w:color w:val="0000FF"/>
                <w:sz w:val="21"/>
              </w:rPr>
            </w:pPr>
            <w:r>
              <w:rPr>
                <w:color w:val="0000FF"/>
                <w:sz w:val="21"/>
              </w:rPr>
              <w:t>隔声、减振、场区种树</w:t>
            </w:r>
          </w:p>
        </w:tc>
        <w:tc>
          <w:tcPr>
            <w:tcW w:w="3473" w:type="dxa"/>
          </w:tcPr>
          <w:p>
            <w:pPr>
              <w:pStyle w:val="19"/>
              <w:spacing w:line="237" w:lineRule="exact"/>
              <w:ind w:left="107"/>
              <w:jc w:val="left"/>
              <w:rPr>
                <w:color w:val="0000FF"/>
                <w:sz w:val="21"/>
              </w:rPr>
            </w:pPr>
            <w:r>
              <w:rPr>
                <w:color w:val="0000FF"/>
                <w:sz w:val="21"/>
              </w:rPr>
              <w:t>《工业企业厂界环境噪声排放标准》</w:t>
            </w:r>
          </w:p>
          <w:p>
            <w:pPr>
              <w:pStyle w:val="19"/>
              <w:spacing w:line="223" w:lineRule="exact"/>
              <w:ind w:left="107"/>
              <w:jc w:val="left"/>
              <w:rPr>
                <w:color w:val="0000FF"/>
                <w:sz w:val="21"/>
              </w:rPr>
            </w:pPr>
            <w:r>
              <w:rPr>
                <w:color w:val="0000FF"/>
                <w:sz w:val="21"/>
              </w:rPr>
              <w:t>（</w:t>
            </w:r>
            <w:r>
              <w:rPr>
                <w:rFonts w:ascii="Times New Roman" w:eastAsia="Times New Roman"/>
                <w:color w:val="0000FF"/>
                <w:sz w:val="21"/>
              </w:rPr>
              <w:t>GB12348-2008</w:t>
            </w:r>
            <w:r>
              <w:rPr>
                <w:color w:val="0000FF"/>
                <w:sz w:val="21"/>
              </w:rPr>
              <w:t>）</w:t>
            </w:r>
            <w:r>
              <w:rPr>
                <w:rFonts w:ascii="Times New Roman" w:eastAsia="Times New Roman"/>
                <w:color w:val="0000FF"/>
                <w:sz w:val="21"/>
              </w:rPr>
              <w:t>2</w:t>
            </w:r>
            <w:r>
              <w:rPr>
                <w:color w:val="0000FF"/>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7" w:type="dxa"/>
            <w:vMerge w:val="restart"/>
          </w:tcPr>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jc w:val="left"/>
              <w:rPr>
                <w:b/>
                <w:color w:val="0000FF"/>
                <w:sz w:val="20"/>
              </w:rPr>
            </w:pPr>
          </w:p>
          <w:p>
            <w:pPr>
              <w:pStyle w:val="19"/>
              <w:spacing w:before="5"/>
              <w:jc w:val="left"/>
              <w:rPr>
                <w:b/>
                <w:color w:val="0000FF"/>
                <w:sz w:val="14"/>
              </w:rPr>
            </w:pPr>
          </w:p>
          <w:p>
            <w:pPr>
              <w:pStyle w:val="19"/>
              <w:spacing w:before="1" w:line="213" w:lineRule="auto"/>
              <w:ind w:left="142" w:right="135"/>
              <w:jc w:val="left"/>
              <w:rPr>
                <w:color w:val="0000FF"/>
                <w:sz w:val="21"/>
              </w:rPr>
            </w:pPr>
            <w:r>
              <w:rPr>
                <w:color w:val="0000FF"/>
                <w:sz w:val="21"/>
              </w:rPr>
              <w:t>固废处理</w:t>
            </w:r>
          </w:p>
        </w:tc>
        <w:tc>
          <w:tcPr>
            <w:tcW w:w="450" w:type="dxa"/>
            <w:vMerge w:val="restart"/>
          </w:tcPr>
          <w:p>
            <w:pPr>
              <w:pStyle w:val="19"/>
              <w:spacing w:before="6"/>
              <w:jc w:val="left"/>
              <w:rPr>
                <w:b/>
                <w:color w:val="0000FF"/>
                <w:sz w:val="14"/>
              </w:rPr>
            </w:pPr>
          </w:p>
          <w:p>
            <w:pPr>
              <w:pStyle w:val="19"/>
              <w:spacing w:line="213" w:lineRule="auto"/>
              <w:ind w:left="119" w:right="109"/>
              <w:jc w:val="both"/>
              <w:rPr>
                <w:color w:val="0000FF"/>
                <w:sz w:val="21"/>
              </w:rPr>
            </w:pPr>
            <w:r>
              <w:rPr>
                <w:color w:val="0000FF"/>
                <w:sz w:val="21"/>
              </w:rPr>
              <w:t>一般固废</w:t>
            </w:r>
          </w:p>
        </w:tc>
        <w:tc>
          <w:tcPr>
            <w:tcW w:w="1320" w:type="dxa"/>
          </w:tcPr>
          <w:p>
            <w:pPr>
              <w:pStyle w:val="19"/>
              <w:spacing w:before="102"/>
              <w:ind w:left="113" w:right="105"/>
              <w:rPr>
                <w:color w:val="0000FF"/>
                <w:sz w:val="21"/>
              </w:rPr>
            </w:pPr>
            <w:r>
              <w:rPr>
                <w:color w:val="0000FF"/>
                <w:sz w:val="21"/>
              </w:rPr>
              <w:t>羊粪，垫料</w:t>
            </w:r>
          </w:p>
        </w:tc>
        <w:tc>
          <w:tcPr>
            <w:tcW w:w="2347" w:type="dxa"/>
          </w:tcPr>
          <w:p>
            <w:pPr>
              <w:pStyle w:val="19"/>
              <w:spacing w:line="240" w:lineRule="exact"/>
              <w:ind w:left="108" w:right="47"/>
              <w:jc w:val="left"/>
              <w:rPr>
                <w:color w:val="0000FF"/>
                <w:sz w:val="21"/>
              </w:rPr>
            </w:pPr>
            <w:r>
              <w:rPr>
                <w:color w:val="0000FF"/>
                <w:sz w:val="21"/>
              </w:rPr>
              <w:t>暂存于羊粪堆场，最终用于有机肥生产</w:t>
            </w:r>
          </w:p>
        </w:tc>
        <w:tc>
          <w:tcPr>
            <w:tcW w:w="3473" w:type="dxa"/>
          </w:tcPr>
          <w:p>
            <w:pPr>
              <w:pStyle w:val="19"/>
              <w:spacing w:line="237" w:lineRule="exact"/>
              <w:ind w:left="107"/>
              <w:jc w:val="left"/>
              <w:rPr>
                <w:color w:val="0000FF"/>
                <w:sz w:val="21"/>
              </w:rPr>
            </w:pPr>
            <w:r>
              <w:rPr>
                <w:color w:val="0000FF"/>
                <w:sz w:val="21"/>
              </w:rPr>
              <w:t>满足《粪便无害化卫生要求》</w:t>
            </w:r>
          </w:p>
          <w:p>
            <w:pPr>
              <w:pStyle w:val="19"/>
              <w:spacing w:line="223" w:lineRule="exact"/>
              <w:ind w:left="107"/>
              <w:jc w:val="left"/>
              <w:rPr>
                <w:color w:val="0000FF"/>
                <w:sz w:val="21"/>
              </w:rPr>
            </w:pPr>
            <w:r>
              <w:rPr>
                <w:color w:val="0000FF"/>
                <w:sz w:val="21"/>
              </w:rPr>
              <w:t>（</w:t>
            </w:r>
            <w:r>
              <w:rPr>
                <w:rFonts w:ascii="Times New Roman" w:eastAsia="Times New Roman"/>
                <w:color w:val="0000FF"/>
                <w:sz w:val="21"/>
              </w:rPr>
              <w:t>GB7959-2012</w:t>
            </w:r>
            <w:r>
              <w:rPr>
                <w:color w:val="0000FF"/>
                <w:sz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7" w:type="dxa"/>
            <w:vMerge w:val="continue"/>
            <w:tcBorders>
              <w:top w:val="nil"/>
            </w:tcBorders>
          </w:tcPr>
          <w:p>
            <w:pPr>
              <w:rPr>
                <w:color w:val="0000FF"/>
                <w:sz w:val="2"/>
                <w:szCs w:val="2"/>
              </w:rPr>
            </w:pPr>
          </w:p>
        </w:tc>
        <w:tc>
          <w:tcPr>
            <w:tcW w:w="450" w:type="dxa"/>
            <w:vMerge w:val="continue"/>
            <w:tcBorders>
              <w:top w:val="nil"/>
            </w:tcBorders>
          </w:tcPr>
          <w:p>
            <w:pPr>
              <w:rPr>
                <w:color w:val="0000FF"/>
                <w:sz w:val="2"/>
                <w:szCs w:val="2"/>
              </w:rPr>
            </w:pPr>
          </w:p>
        </w:tc>
        <w:tc>
          <w:tcPr>
            <w:tcW w:w="1320" w:type="dxa"/>
          </w:tcPr>
          <w:p>
            <w:pPr>
              <w:pStyle w:val="19"/>
              <w:spacing w:before="102"/>
              <w:ind w:left="112" w:right="106"/>
              <w:rPr>
                <w:color w:val="0000FF"/>
                <w:sz w:val="21"/>
              </w:rPr>
            </w:pPr>
            <w:r>
              <w:rPr>
                <w:color w:val="0000FF"/>
                <w:sz w:val="21"/>
              </w:rPr>
              <w:t>肉骨粉</w:t>
            </w:r>
          </w:p>
        </w:tc>
        <w:tc>
          <w:tcPr>
            <w:tcW w:w="2347" w:type="dxa"/>
          </w:tcPr>
          <w:p>
            <w:pPr>
              <w:pStyle w:val="19"/>
              <w:spacing w:line="240" w:lineRule="exact"/>
              <w:ind w:left="108" w:right="285"/>
              <w:jc w:val="left"/>
              <w:rPr>
                <w:color w:val="0000FF"/>
                <w:sz w:val="21"/>
              </w:rPr>
            </w:pPr>
            <w:r>
              <w:rPr>
                <w:color w:val="0000FF"/>
                <w:sz w:val="21"/>
              </w:rPr>
              <w:t>出售给肉骨粉干品生产厂</w:t>
            </w:r>
          </w:p>
        </w:tc>
        <w:tc>
          <w:tcPr>
            <w:tcW w:w="3473" w:type="dxa"/>
            <w:vMerge w:val="restart"/>
          </w:tcPr>
          <w:p>
            <w:pPr>
              <w:pStyle w:val="19"/>
              <w:spacing w:before="60" w:line="213" w:lineRule="auto"/>
              <w:ind w:left="107" w:right="97"/>
              <w:jc w:val="both"/>
              <w:rPr>
                <w:color w:val="0000FF"/>
                <w:sz w:val="21"/>
              </w:rPr>
            </w:pPr>
            <w:r>
              <w:rPr>
                <w:color w:val="0000FF"/>
                <w:spacing w:val="-5"/>
                <w:w w:val="95"/>
                <w:sz w:val="21"/>
              </w:rPr>
              <w:t>《一般工业固体废物贮存、处置场污</w:t>
            </w:r>
            <w:r>
              <w:rPr>
                <w:color w:val="0000FF"/>
                <w:spacing w:val="-12"/>
                <w:w w:val="95"/>
                <w:sz w:val="21"/>
              </w:rPr>
              <w:t>染控制标准》</w:t>
            </w:r>
            <w:r>
              <w:rPr>
                <w:color w:val="0000FF"/>
                <w:spacing w:val="-1"/>
                <w:w w:val="95"/>
                <w:sz w:val="21"/>
              </w:rPr>
              <w:t>（</w:t>
            </w:r>
            <w:r>
              <w:rPr>
                <w:rFonts w:ascii="Times New Roman" w:eastAsia="Times New Roman"/>
                <w:color w:val="0000FF"/>
                <w:spacing w:val="-1"/>
                <w:w w:val="95"/>
                <w:sz w:val="21"/>
              </w:rPr>
              <w:t>GB18599-2001</w:t>
            </w:r>
            <w:r>
              <w:rPr>
                <w:color w:val="0000FF"/>
                <w:spacing w:val="-1"/>
                <w:w w:val="95"/>
                <w:sz w:val="21"/>
              </w:rPr>
              <w:t>）及其</w:t>
            </w:r>
            <w:r>
              <w:rPr>
                <w:color w:val="0000FF"/>
                <w:sz w:val="21"/>
              </w:rPr>
              <w:t>修改单要求。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vMerge w:val="continue"/>
            <w:tcBorders>
              <w:top w:val="nil"/>
            </w:tcBorders>
          </w:tcPr>
          <w:p>
            <w:pPr>
              <w:rPr>
                <w:color w:val="0000FF"/>
                <w:sz w:val="2"/>
                <w:szCs w:val="2"/>
              </w:rPr>
            </w:pPr>
          </w:p>
        </w:tc>
        <w:tc>
          <w:tcPr>
            <w:tcW w:w="450" w:type="dxa"/>
            <w:vMerge w:val="continue"/>
            <w:tcBorders>
              <w:top w:val="nil"/>
            </w:tcBorders>
          </w:tcPr>
          <w:p>
            <w:pPr>
              <w:rPr>
                <w:color w:val="0000FF"/>
                <w:sz w:val="2"/>
                <w:szCs w:val="2"/>
              </w:rPr>
            </w:pPr>
          </w:p>
        </w:tc>
        <w:tc>
          <w:tcPr>
            <w:tcW w:w="1320" w:type="dxa"/>
          </w:tcPr>
          <w:p>
            <w:pPr>
              <w:pStyle w:val="19"/>
              <w:spacing w:before="32"/>
              <w:ind w:left="112" w:right="106"/>
              <w:rPr>
                <w:color w:val="0000FF"/>
                <w:sz w:val="21"/>
              </w:rPr>
            </w:pPr>
            <w:r>
              <w:rPr>
                <w:color w:val="0000FF"/>
                <w:sz w:val="21"/>
              </w:rPr>
              <w:t>油脂</w:t>
            </w:r>
          </w:p>
        </w:tc>
        <w:tc>
          <w:tcPr>
            <w:tcW w:w="2347" w:type="dxa"/>
          </w:tcPr>
          <w:p>
            <w:pPr>
              <w:pStyle w:val="19"/>
              <w:spacing w:before="32"/>
              <w:ind w:left="108"/>
              <w:jc w:val="left"/>
              <w:rPr>
                <w:color w:val="0000FF"/>
                <w:sz w:val="21"/>
              </w:rPr>
            </w:pPr>
            <w:r>
              <w:rPr>
                <w:color w:val="0000FF"/>
                <w:sz w:val="21"/>
              </w:rPr>
              <w:t>出售给工业用油脂厂</w:t>
            </w:r>
          </w:p>
        </w:tc>
        <w:tc>
          <w:tcPr>
            <w:tcW w:w="3473" w:type="dxa"/>
            <w:vMerge w:val="continue"/>
            <w:tcBorders>
              <w:top w:val="nil"/>
            </w:tcBorders>
          </w:tcPr>
          <w:p>
            <w:pPr>
              <w:rPr>
                <w:color w:val="0000FF"/>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vMerge w:val="continue"/>
            <w:tcBorders>
              <w:top w:val="nil"/>
            </w:tcBorders>
          </w:tcPr>
          <w:p>
            <w:pPr>
              <w:rPr>
                <w:color w:val="0000FF"/>
                <w:sz w:val="2"/>
                <w:szCs w:val="2"/>
              </w:rPr>
            </w:pPr>
          </w:p>
        </w:tc>
        <w:tc>
          <w:tcPr>
            <w:tcW w:w="450" w:type="dxa"/>
            <w:tcBorders>
              <w:top w:val="nil"/>
            </w:tcBorders>
          </w:tcPr>
          <w:p>
            <w:pPr>
              <w:rPr>
                <w:color w:val="0000FF"/>
                <w:sz w:val="2"/>
                <w:szCs w:val="2"/>
              </w:rPr>
            </w:pPr>
          </w:p>
        </w:tc>
        <w:tc>
          <w:tcPr>
            <w:tcW w:w="1320" w:type="dxa"/>
          </w:tcPr>
          <w:p>
            <w:pPr>
              <w:pStyle w:val="19"/>
              <w:spacing w:before="32"/>
              <w:ind w:left="112" w:right="106"/>
              <w:rPr>
                <w:rFonts w:hint="default" w:eastAsia="宋体"/>
                <w:color w:val="FF0000"/>
                <w:sz w:val="21"/>
                <w:lang w:val="en-US" w:eastAsia="zh-CN"/>
              </w:rPr>
            </w:pPr>
            <w:r>
              <w:rPr>
                <w:rFonts w:hint="eastAsia"/>
                <w:color w:val="FF0000"/>
                <w:sz w:val="21"/>
                <w:lang w:val="en-US" w:eastAsia="zh-CN"/>
              </w:rPr>
              <w:t>生活垃圾</w:t>
            </w:r>
          </w:p>
        </w:tc>
        <w:tc>
          <w:tcPr>
            <w:tcW w:w="2347" w:type="dxa"/>
          </w:tcPr>
          <w:p>
            <w:pPr>
              <w:pStyle w:val="19"/>
              <w:spacing w:before="32"/>
              <w:ind w:left="108"/>
              <w:jc w:val="left"/>
              <w:rPr>
                <w:rFonts w:hint="default" w:eastAsia="宋体"/>
                <w:color w:val="FF0000"/>
                <w:sz w:val="21"/>
                <w:lang w:val="en-US" w:eastAsia="zh-CN"/>
              </w:rPr>
            </w:pPr>
            <w:r>
              <w:rPr>
                <w:rFonts w:hint="eastAsia"/>
                <w:color w:val="FF0000"/>
                <w:sz w:val="21"/>
                <w:lang w:val="en-US" w:eastAsia="zh-CN"/>
              </w:rPr>
              <w:t>设置垃圾箱，集中收集后运至莎车县垃圾填埋场。</w:t>
            </w:r>
          </w:p>
        </w:tc>
        <w:tc>
          <w:tcPr>
            <w:tcW w:w="3473" w:type="dxa"/>
            <w:tcBorders>
              <w:top w:val="nil"/>
            </w:tcBorders>
          </w:tcPr>
          <w:p>
            <w:pPr>
              <w:rPr>
                <w:color w:val="FF0000"/>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707" w:type="dxa"/>
            <w:vMerge w:val="continue"/>
            <w:tcBorders>
              <w:top w:val="nil"/>
            </w:tcBorders>
          </w:tcPr>
          <w:p>
            <w:pPr>
              <w:rPr>
                <w:color w:val="0000FF"/>
                <w:sz w:val="2"/>
                <w:szCs w:val="2"/>
              </w:rPr>
            </w:pPr>
          </w:p>
        </w:tc>
        <w:tc>
          <w:tcPr>
            <w:tcW w:w="450" w:type="dxa"/>
            <w:vMerge w:val="restart"/>
          </w:tcPr>
          <w:p>
            <w:pPr>
              <w:pStyle w:val="19"/>
              <w:spacing w:before="130" w:line="213" w:lineRule="auto"/>
              <w:ind w:left="119" w:right="109"/>
              <w:jc w:val="both"/>
              <w:rPr>
                <w:color w:val="0000FF"/>
                <w:sz w:val="21"/>
              </w:rPr>
            </w:pPr>
            <w:r>
              <w:rPr>
                <w:color w:val="0000FF"/>
                <w:sz w:val="21"/>
              </w:rPr>
              <w:t>危险废物</w:t>
            </w:r>
          </w:p>
        </w:tc>
        <w:tc>
          <w:tcPr>
            <w:tcW w:w="1320" w:type="dxa"/>
          </w:tcPr>
          <w:p>
            <w:pPr>
              <w:pStyle w:val="19"/>
              <w:spacing w:before="4"/>
              <w:jc w:val="left"/>
              <w:rPr>
                <w:b/>
                <w:color w:val="0000FF"/>
                <w:sz w:val="17"/>
              </w:rPr>
            </w:pPr>
          </w:p>
          <w:p>
            <w:pPr>
              <w:pStyle w:val="19"/>
              <w:ind w:left="113" w:right="105"/>
              <w:rPr>
                <w:color w:val="0000FF"/>
                <w:sz w:val="21"/>
              </w:rPr>
            </w:pPr>
            <w:r>
              <w:rPr>
                <w:color w:val="0000FF"/>
                <w:sz w:val="21"/>
              </w:rPr>
              <w:t>医疗废弃物</w:t>
            </w:r>
          </w:p>
        </w:tc>
        <w:tc>
          <w:tcPr>
            <w:tcW w:w="2347" w:type="dxa"/>
          </w:tcPr>
          <w:p>
            <w:pPr>
              <w:pStyle w:val="19"/>
              <w:spacing w:line="240" w:lineRule="exact"/>
              <w:ind w:left="108" w:right="98"/>
              <w:jc w:val="left"/>
              <w:rPr>
                <w:color w:val="0000FF"/>
                <w:sz w:val="21"/>
              </w:rPr>
            </w:pPr>
            <w:r>
              <w:rPr>
                <w:color w:val="0000FF"/>
                <w:sz w:val="21"/>
              </w:rPr>
              <w:t>集中收集于危险废物</w:t>
            </w:r>
            <w:r>
              <w:rPr>
                <w:color w:val="0000FF"/>
                <w:spacing w:val="-5"/>
                <w:sz w:val="21"/>
              </w:rPr>
              <w:t>暂存间，定期交由有资</w:t>
            </w:r>
            <w:r>
              <w:rPr>
                <w:color w:val="0000FF"/>
                <w:sz w:val="21"/>
              </w:rPr>
              <w:t>质单位处置</w:t>
            </w:r>
          </w:p>
        </w:tc>
        <w:tc>
          <w:tcPr>
            <w:tcW w:w="3473" w:type="dxa"/>
          </w:tcPr>
          <w:p>
            <w:pPr>
              <w:pStyle w:val="19"/>
              <w:spacing w:line="237" w:lineRule="exact"/>
              <w:ind w:left="107"/>
              <w:jc w:val="left"/>
              <w:rPr>
                <w:color w:val="0000FF"/>
                <w:sz w:val="21"/>
              </w:rPr>
            </w:pPr>
            <w:r>
              <w:rPr>
                <w:color w:val="0000FF"/>
                <w:sz w:val="21"/>
              </w:rPr>
              <w:t>《危险废物贮存污染控制标准》</w:t>
            </w:r>
          </w:p>
          <w:p>
            <w:pPr>
              <w:pStyle w:val="19"/>
              <w:spacing w:before="3" w:line="240" w:lineRule="exact"/>
              <w:ind w:left="107" w:right="97"/>
              <w:jc w:val="left"/>
              <w:rPr>
                <w:color w:val="0000FF"/>
                <w:sz w:val="21"/>
              </w:rPr>
            </w:pPr>
            <w:r>
              <w:rPr>
                <w:color w:val="0000FF"/>
                <w:spacing w:val="-1"/>
                <w:w w:val="99"/>
                <w:sz w:val="21"/>
              </w:rPr>
              <w:t>（</w:t>
            </w:r>
            <w:r>
              <w:rPr>
                <w:rFonts w:ascii="Times New Roman" w:eastAsia="Times New Roman"/>
                <w:color w:val="0000FF"/>
                <w:w w:val="99"/>
                <w:sz w:val="21"/>
              </w:rPr>
              <w:t>G</w:t>
            </w:r>
            <w:r>
              <w:rPr>
                <w:rFonts w:ascii="Times New Roman" w:eastAsia="Times New Roman"/>
                <w:color w:val="0000FF"/>
                <w:spacing w:val="-1"/>
                <w:w w:val="99"/>
                <w:sz w:val="21"/>
              </w:rPr>
              <w:t>B</w:t>
            </w:r>
            <w:r>
              <w:rPr>
                <w:rFonts w:ascii="Times New Roman" w:eastAsia="Times New Roman"/>
                <w:color w:val="0000FF"/>
                <w:spacing w:val="1"/>
                <w:w w:val="99"/>
                <w:sz w:val="21"/>
              </w:rPr>
              <w:t>18597</w:t>
            </w:r>
            <w:r>
              <w:rPr>
                <w:rFonts w:ascii="Times New Roman" w:eastAsia="Times New Roman"/>
                <w:color w:val="0000FF"/>
                <w:spacing w:val="-3"/>
                <w:w w:val="99"/>
                <w:sz w:val="21"/>
              </w:rPr>
              <w:t>-</w:t>
            </w:r>
            <w:r>
              <w:rPr>
                <w:rFonts w:ascii="Times New Roman" w:eastAsia="Times New Roman"/>
                <w:color w:val="0000FF"/>
                <w:spacing w:val="1"/>
                <w:w w:val="99"/>
                <w:sz w:val="21"/>
              </w:rPr>
              <w:t>2001</w:t>
            </w:r>
            <w:r>
              <w:rPr>
                <w:color w:val="0000FF"/>
                <w:spacing w:val="-97"/>
                <w:w w:val="99"/>
                <w:sz w:val="21"/>
              </w:rPr>
              <w:t>）</w:t>
            </w:r>
            <w:r>
              <w:rPr>
                <w:color w:val="0000FF"/>
                <w:spacing w:val="-1"/>
                <w:w w:val="99"/>
                <w:sz w:val="21"/>
              </w:rPr>
              <w:t>及修改单中的有关</w:t>
            </w:r>
            <w:r>
              <w:rPr>
                <w:color w:val="0000FF"/>
                <w:spacing w:val="-1"/>
                <w:sz w:val="21"/>
              </w:rPr>
              <w:t>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7" w:type="dxa"/>
            <w:vMerge w:val="continue"/>
            <w:tcBorders>
              <w:top w:val="nil"/>
            </w:tcBorders>
          </w:tcPr>
          <w:p>
            <w:pPr>
              <w:rPr>
                <w:color w:val="0000FF"/>
                <w:sz w:val="2"/>
                <w:szCs w:val="2"/>
              </w:rPr>
            </w:pPr>
          </w:p>
        </w:tc>
        <w:tc>
          <w:tcPr>
            <w:tcW w:w="450" w:type="dxa"/>
            <w:vMerge w:val="continue"/>
            <w:tcBorders>
              <w:top w:val="nil"/>
            </w:tcBorders>
          </w:tcPr>
          <w:p>
            <w:pPr>
              <w:rPr>
                <w:color w:val="0000FF"/>
                <w:sz w:val="2"/>
                <w:szCs w:val="2"/>
              </w:rPr>
            </w:pPr>
          </w:p>
        </w:tc>
        <w:tc>
          <w:tcPr>
            <w:tcW w:w="1320" w:type="dxa"/>
          </w:tcPr>
          <w:p>
            <w:pPr>
              <w:pStyle w:val="19"/>
              <w:spacing w:line="236" w:lineRule="exact"/>
              <w:ind w:left="112" w:right="106"/>
              <w:rPr>
                <w:color w:val="0000FF"/>
                <w:sz w:val="21"/>
              </w:rPr>
            </w:pPr>
            <w:r>
              <w:rPr>
                <w:color w:val="0000FF"/>
                <w:sz w:val="21"/>
              </w:rPr>
              <w:t>病死羊及分</w:t>
            </w:r>
          </w:p>
          <w:p>
            <w:pPr>
              <w:pStyle w:val="19"/>
              <w:spacing w:line="224" w:lineRule="exact"/>
              <w:ind w:left="112" w:right="106"/>
              <w:rPr>
                <w:color w:val="0000FF"/>
                <w:sz w:val="21"/>
              </w:rPr>
            </w:pPr>
            <w:r>
              <w:rPr>
                <w:color w:val="0000FF"/>
                <w:sz w:val="21"/>
              </w:rPr>
              <w:t>娩物</w:t>
            </w:r>
          </w:p>
        </w:tc>
        <w:tc>
          <w:tcPr>
            <w:tcW w:w="2347" w:type="dxa"/>
          </w:tcPr>
          <w:p>
            <w:pPr>
              <w:pStyle w:val="19"/>
              <w:spacing w:before="101"/>
              <w:ind w:left="410"/>
              <w:jc w:val="left"/>
              <w:rPr>
                <w:color w:val="0000FF"/>
                <w:sz w:val="21"/>
              </w:rPr>
            </w:pPr>
            <w:r>
              <w:rPr>
                <w:color w:val="0000FF"/>
                <w:sz w:val="21"/>
              </w:rPr>
              <w:t>无害化处理车间</w:t>
            </w:r>
          </w:p>
        </w:tc>
        <w:tc>
          <w:tcPr>
            <w:tcW w:w="3473" w:type="dxa"/>
          </w:tcPr>
          <w:p>
            <w:pPr>
              <w:pStyle w:val="19"/>
              <w:spacing w:line="236" w:lineRule="exact"/>
              <w:ind w:left="107"/>
              <w:jc w:val="left"/>
              <w:rPr>
                <w:color w:val="0000FF"/>
                <w:sz w:val="21"/>
              </w:rPr>
            </w:pPr>
            <w:r>
              <w:rPr>
                <w:color w:val="0000FF"/>
                <w:sz w:val="21"/>
              </w:rPr>
              <w:t>满足《畜禽养殖业污染防治技术规</w:t>
            </w:r>
          </w:p>
          <w:p>
            <w:pPr>
              <w:pStyle w:val="19"/>
              <w:spacing w:line="224" w:lineRule="exact"/>
              <w:ind w:left="107"/>
              <w:jc w:val="left"/>
              <w:rPr>
                <w:color w:val="0000FF"/>
                <w:sz w:val="21"/>
              </w:rPr>
            </w:pPr>
            <w:r>
              <w:rPr>
                <w:color w:val="0000FF"/>
                <w:sz w:val="21"/>
              </w:rPr>
              <w:t>范》（</w:t>
            </w:r>
            <w:r>
              <w:rPr>
                <w:rFonts w:ascii="Times New Roman" w:eastAsia="Times New Roman"/>
                <w:color w:val="0000FF"/>
                <w:sz w:val="21"/>
              </w:rPr>
              <w:t>HJ/T81-2001</w:t>
            </w:r>
            <w:r>
              <w:rPr>
                <w:color w:val="0000FF"/>
                <w:sz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vMerge w:val="continue"/>
            <w:tcBorders>
              <w:top w:val="nil"/>
            </w:tcBorders>
          </w:tcPr>
          <w:p>
            <w:pPr>
              <w:rPr>
                <w:color w:val="0000FF"/>
                <w:sz w:val="2"/>
                <w:szCs w:val="2"/>
              </w:rPr>
            </w:pPr>
          </w:p>
        </w:tc>
        <w:tc>
          <w:tcPr>
            <w:tcW w:w="1770" w:type="dxa"/>
            <w:gridSpan w:val="2"/>
          </w:tcPr>
          <w:p>
            <w:pPr>
              <w:pStyle w:val="19"/>
              <w:spacing w:before="34"/>
              <w:ind w:left="464"/>
              <w:jc w:val="left"/>
              <w:rPr>
                <w:color w:val="0000FF"/>
                <w:sz w:val="21"/>
              </w:rPr>
            </w:pPr>
            <w:r>
              <w:rPr>
                <w:color w:val="0000FF"/>
                <w:sz w:val="21"/>
              </w:rPr>
              <w:t>生活垃圾</w:t>
            </w:r>
          </w:p>
        </w:tc>
        <w:tc>
          <w:tcPr>
            <w:tcW w:w="2347" w:type="dxa"/>
          </w:tcPr>
          <w:p>
            <w:pPr>
              <w:pStyle w:val="19"/>
              <w:spacing w:before="34"/>
              <w:ind w:left="621"/>
              <w:jc w:val="left"/>
              <w:rPr>
                <w:color w:val="0000FF"/>
                <w:sz w:val="21"/>
              </w:rPr>
            </w:pPr>
            <w:r>
              <w:rPr>
                <w:color w:val="0000FF"/>
                <w:sz w:val="21"/>
              </w:rPr>
              <w:t>若干垃圾桶</w:t>
            </w:r>
          </w:p>
        </w:tc>
        <w:tc>
          <w:tcPr>
            <w:tcW w:w="3473" w:type="dxa"/>
          </w:tcPr>
          <w:p>
            <w:pPr>
              <w:pStyle w:val="19"/>
              <w:spacing w:before="34"/>
              <w:ind w:left="395"/>
              <w:jc w:val="left"/>
              <w:rPr>
                <w:color w:val="0000FF"/>
                <w:sz w:val="21"/>
              </w:rPr>
            </w:pPr>
            <w:r>
              <w:rPr>
                <w:color w:val="0000FF"/>
                <w:sz w:val="21"/>
              </w:rPr>
              <w:t>清运到</w:t>
            </w:r>
            <w:r>
              <w:rPr>
                <w:rFonts w:hint="eastAsia"/>
                <w:color w:val="0000FF"/>
                <w:sz w:val="21"/>
                <w:lang w:val="en-US" w:eastAsia="zh-CN"/>
              </w:rPr>
              <w:t>喀什</w:t>
            </w:r>
            <w:r>
              <w:rPr>
                <w:color w:val="0000FF"/>
                <w:sz w:val="21"/>
              </w:rPr>
              <w:t>市生活垃圾填埋场</w:t>
            </w:r>
          </w:p>
        </w:tc>
      </w:tr>
    </w:tbl>
    <w:p>
      <w:pPr>
        <w:pStyle w:val="2"/>
        <w:outlineLvl w:val="9"/>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tabs>
          <w:tab w:val="left" w:pos="1444"/>
        </w:tabs>
        <w:spacing w:before="90"/>
        <w:ind w:left="0" w:right="95" w:firstLine="0"/>
        <w:jc w:val="center"/>
        <w:outlineLvl w:val="0"/>
        <w:rPr>
          <w:b/>
          <w:sz w:val="36"/>
        </w:rPr>
      </w:pPr>
      <w:bookmarkStart w:id="496" w:name="第九章  评价结论与建议"/>
      <w:bookmarkEnd w:id="496"/>
      <w:bookmarkStart w:id="497" w:name="_bookmark39"/>
      <w:bookmarkEnd w:id="497"/>
      <w:bookmarkStart w:id="498" w:name="_Toc9895"/>
      <w:r>
        <w:rPr>
          <w:b/>
          <w:sz w:val="36"/>
        </w:rPr>
        <w:t>第九章</w:t>
      </w:r>
      <w:r>
        <w:rPr>
          <w:b/>
          <w:sz w:val="36"/>
        </w:rPr>
        <w:tab/>
      </w:r>
      <w:r>
        <w:rPr>
          <w:b/>
          <w:sz w:val="36"/>
        </w:rPr>
        <w:t>评价结论与建议</w:t>
      </w:r>
      <w:bookmarkEnd w:id="498"/>
    </w:p>
    <w:p>
      <w:pPr>
        <w:pStyle w:val="7"/>
        <w:spacing w:before="8"/>
        <w:ind w:left="0"/>
        <w:rPr>
          <w:b/>
          <w:sz w:val="19"/>
        </w:rPr>
      </w:pPr>
    </w:p>
    <w:p>
      <w:pPr>
        <w:pStyle w:val="18"/>
        <w:numPr>
          <w:ilvl w:val="1"/>
          <w:numId w:val="82"/>
        </w:numPr>
        <w:tabs>
          <w:tab w:val="left" w:pos="780"/>
        </w:tabs>
        <w:spacing w:before="64" w:after="0" w:line="240" w:lineRule="auto"/>
        <w:ind w:left="779" w:right="0" w:hanging="560"/>
        <w:jc w:val="left"/>
        <w:outlineLvl w:val="1"/>
        <w:rPr>
          <w:b/>
          <w:sz w:val="32"/>
        </w:rPr>
      </w:pPr>
      <w:bookmarkStart w:id="499" w:name="_bookmark40"/>
      <w:bookmarkEnd w:id="499"/>
      <w:bookmarkStart w:id="500" w:name="9.1 项目概况"/>
      <w:bookmarkEnd w:id="500"/>
      <w:bookmarkStart w:id="501" w:name="_bookmark40"/>
      <w:bookmarkEnd w:id="501"/>
      <w:bookmarkStart w:id="502" w:name="_Toc23209"/>
      <w:r>
        <w:rPr>
          <w:b/>
          <w:sz w:val="32"/>
        </w:rPr>
        <w:t>项目概况</w:t>
      </w:r>
      <w:bookmarkEnd w:id="502"/>
    </w:p>
    <w:p>
      <w:pPr>
        <w:pStyle w:val="7"/>
        <w:spacing w:before="3"/>
        <w:ind w:left="0"/>
        <w:rPr>
          <w:b/>
        </w:rPr>
      </w:pPr>
    </w:p>
    <w:p>
      <w:pPr>
        <w:pStyle w:val="18"/>
        <w:numPr>
          <w:ilvl w:val="3"/>
          <w:numId w:val="19"/>
        </w:numPr>
        <w:tabs>
          <w:tab w:val="left" w:pos="1621"/>
        </w:tabs>
        <w:spacing w:before="0" w:after="0" w:line="240" w:lineRule="auto"/>
        <w:ind w:left="1621" w:right="0" w:hanging="601"/>
        <w:jc w:val="left"/>
        <w:rPr>
          <w:color w:val="0000FF"/>
          <w:sz w:val="24"/>
        </w:rPr>
      </w:pPr>
      <w:bookmarkStart w:id="503" w:name="_bookmark41"/>
      <w:bookmarkEnd w:id="503"/>
      <w:bookmarkStart w:id="504" w:name="_bookmark41"/>
      <w:bookmarkEnd w:id="504"/>
      <w:bookmarkStart w:id="505" w:name="9.2 产业政策及相关规划符合性"/>
      <w:bookmarkEnd w:id="505"/>
      <w:r>
        <w:rPr>
          <w:color w:val="0000FF"/>
          <w:sz w:val="24"/>
        </w:rPr>
        <w:t>项目名称：</w:t>
      </w:r>
      <w:r>
        <w:rPr>
          <w:rFonts w:ascii="宋?" w:hAnsi="宋?" w:cs="宋?"/>
          <w:color w:val="0000FF"/>
          <w:kern w:val="0"/>
          <w:sz w:val="24"/>
          <w:szCs w:val="24"/>
        </w:rPr>
        <w:t>莎车县孜热甫夏提良种繁育中心建设项目</w:t>
      </w:r>
      <w:r>
        <w:rPr>
          <w:color w:val="0000FF"/>
          <w:sz w:val="24"/>
        </w:rPr>
        <w:t>；</w:t>
      </w:r>
    </w:p>
    <w:p>
      <w:pPr>
        <w:pStyle w:val="18"/>
        <w:numPr>
          <w:ilvl w:val="3"/>
          <w:numId w:val="19"/>
        </w:numPr>
        <w:tabs>
          <w:tab w:val="left" w:pos="1621"/>
        </w:tabs>
        <w:spacing w:before="160" w:after="0" w:line="240" w:lineRule="auto"/>
        <w:ind w:left="1621" w:right="0" w:hanging="601"/>
        <w:jc w:val="left"/>
        <w:rPr>
          <w:color w:val="0000FF"/>
          <w:sz w:val="24"/>
        </w:rPr>
      </w:pPr>
      <w:r>
        <w:rPr>
          <w:color w:val="0000FF"/>
          <w:sz w:val="24"/>
        </w:rPr>
        <w:t>建设单位：</w:t>
      </w:r>
      <w:r>
        <w:rPr>
          <w:rFonts w:ascii="宋?" w:hAnsi="宋?" w:cs="宋?"/>
          <w:color w:val="0000FF"/>
          <w:kern w:val="0"/>
          <w:sz w:val="24"/>
          <w:szCs w:val="24"/>
        </w:rPr>
        <w:t>莎车县畜牧兽医局</w:t>
      </w:r>
      <w:r>
        <w:rPr>
          <w:color w:val="0000FF"/>
          <w:sz w:val="24"/>
        </w:rPr>
        <w:t>；</w:t>
      </w:r>
    </w:p>
    <w:p>
      <w:pPr>
        <w:pStyle w:val="18"/>
        <w:numPr>
          <w:ilvl w:val="3"/>
          <w:numId w:val="19"/>
        </w:numPr>
        <w:tabs>
          <w:tab w:val="left" w:pos="1621"/>
        </w:tabs>
        <w:spacing w:before="161" w:after="0" w:line="240" w:lineRule="auto"/>
        <w:ind w:left="1621" w:right="0" w:hanging="601"/>
        <w:jc w:val="left"/>
        <w:rPr>
          <w:color w:val="0000FF"/>
          <w:sz w:val="24"/>
        </w:rPr>
      </w:pPr>
      <w:r>
        <w:rPr>
          <w:color w:val="0000FF"/>
          <w:sz w:val="24"/>
        </w:rPr>
        <w:t>建设性质：新建；</w:t>
      </w:r>
    </w:p>
    <w:p>
      <w:pPr>
        <w:pStyle w:val="18"/>
        <w:numPr>
          <w:ilvl w:val="3"/>
          <w:numId w:val="19"/>
        </w:numPr>
        <w:tabs>
          <w:tab w:val="left" w:pos="1623"/>
        </w:tabs>
        <w:spacing w:before="160" w:after="0" w:line="364" w:lineRule="auto"/>
        <w:ind w:left="540" w:right="524" w:firstLine="480"/>
        <w:jc w:val="both"/>
        <w:rPr>
          <w:color w:val="0000FF"/>
          <w:sz w:val="24"/>
        </w:rPr>
      </w:pPr>
      <w:r>
        <w:rPr>
          <w:color w:val="0000FF"/>
          <w:sz w:val="24"/>
        </w:rPr>
        <w:t>建设地点：本项目位于新疆</w:t>
      </w:r>
      <w:r>
        <w:rPr>
          <w:rFonts w:hint="eastAsia"/>
          <w:color w:val="0000FF"/>
          <w:sz w:val="24"/>
          <w:lang w:val="en-US" w:eastAsia="zh-CN"/>
        </w:rPr>
        <w:t>喀什地区莎车县孜热普夏提村3村</w:t>
      </w:r>
      <w:r>
        <w:rPr>
          <w:color w:val="0000FF"/>
          <w:sz w:val="24"/>
        </w:rPr>
        <w:t>，中心点经纬度坐标：</w:t>
      </w:r>
      <w:r>
        <w:rPr>
          <w:rFonts w:ascii="Times New Roman" w:hAnsi="Times New Roman" w:eastAsia="Times New Roman"/>
          <w:color w:val="0000FF"/>
          <w:sz w:val="24"/>
        </w:rPr>
        <w:t>E</w:t>
      </w:r>
      <w:r>
        <w:rPr>
          <w:rFonts w:hint="eastAsia" w:ascii="Times New Roman" w:hAnsi="Times New Roman" w:eastAsia="宋体"/>
          <w:color w:val="0000FF"/>
          <w:sz w:val="24"/>
          <w:lang w:val="en-US" w:eastAsia="zh-CN"/>
        </w:rPr>
        <w:t>77</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2</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59</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32</w:t>
      </w:r>
      <w:r>
        <w:rPr>
          <w:rFonts w:ascii="Times New Roman" w:hAnsi="Times New Roman" w:eastAsia="Times New Roman"/>
          <w:color w:val="0000FF"/>
          <w:sz w:val="24"/>
        </w:rPr>
        <w:t>"</w:t>
      </w:r>
      <w:r>
        <w:rPr>
          <w:color w:val="0000FF"/>
          <w:sz w:val="24"/>
        </w:rPr>
        <w:t>，</w:t>
      </w:r>
      <w:r>
        <w:rPr>
          <w:rFonts w:ascii="Times New Roman" w:hAnsi="Times New Roman" w:eastAsia="Times New Roman"/>
          <w:color w:val="0000FF"/>
          <w:sz w:val="24"/>
        </w:rPr>
        <w:t>N3</w:t>
      </w:r>
      <w:r>
        <w:rPr>
          <w:rFonts w:hint="eastAsia" w:ascii="Times New Roman" w:hAnsi="Times New Roman" w:eastAsia="宋体"/>
          <w:color w:val="0000FF"/>
          <w:sz w:val="24"/>
          <w:lang w:val="en-US" w:eastAsia="zh-CN"/>
        </w:rPr>
        <w:t>8</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12</w:t>
      </w:r>
      <w:r>
        <w:rPr>
          <w:rFonts w:ascii="Times New Roman" w:hAnsi="Times New Roman" w:eastAsia="Times New Roman"/>
          <w:color w:val="0000FF"/>
          <w:sz w:val="24"/>
        </w:rPr>
        <w:t>'5</w:t>
      </w:r>
      <w:r>
        <w:rPr>
          <w:rFonts w:hint="eastAsia" w:ascii="Times New Roman" w:hAnsi="Times New Roman" w:eastAsia="宋体"/>
          <w:color w:val="0000FF"/>
          <w:sz w:val="24"/>
          <w:lang w:val="en-US" w:eastAsia="zh-CN"/>
        </w:rPr>
        <w:t>5</w:t>
      </w:r>
      <w:r>
        <w:rPr>
          <w:rFonts w:ascii="Times New Roman" w:hAnsi="Times New Roman" w:eastAsia="Times New Roman"/>
          <w:color w:val="0000FF"/>
          <w:sz w:val="24"/>
        </w:rPr>
        <w:t>.</w:t>
      </w:r>
      <w:r>
        <w:rPr>
          <w:rFonts w:hint="eastAsia" w:ascii="Times New Roman" w:hAnsi="Times New Roman" w:eastAsia="宋体"/>
          <w:color w:val="0000FF"/>
          <w:sz w:val="24"/>
          <w:lang w:val="en-US" w:eastAsia="zh-CN"/>
        </w:rPr>
        <w:t>5</w:t>
      </w:r>
      <w:r>
        <w:rPr>
          <w:rFonts w:ascii="Times New Roman" w:hAnsi="Times New Roman" w:eastAsia="Times New Roman"/>
          <w:color w:val="0000FF"/>
          <w:sz w:val="24"/>
        </w:rPr>
        <w:t>"</w:t>
      </w:r>
      <w:r>
        <w:rPr>
          <w:color w:val="0000FF"/>
          <w:spacing w:val="-1"/>
          <w:sz w:val="24"/>
        </w:rPr>
        <w:t>，四周均为</w:t>
      </w:r>
      <w:r>
        <w:rPr>
          <w:rFonts w:hint="eastAsia"/>
          <w:color w:val="0000FF"/>
          <w:spacing w:val="-1"/>
          <w:sz w:val="24"/>
          <w:lang w:val="en-US" w:eastAsia="zh-CN"/>
        </w:rPr>
        <w:t>荒地</w:t>
      </w:r>
      <w:r>
        <w:rPr>
          <w:color w:val="0000FF"/>
          <w:spacing w:val="-1"/>
          <w:sz w:val="24"/>
        </w:rPr>
        <w:t>，</w:t>
      </w:r>
      <w:r>
        <w:rPr>
          <w:rFonts w:hint="eastAsia"/>
          <w:color w:val="0000FF"/>
          <w:spacing w:val="-1"/>
          <w:sz w:val="24"/>
          <w:lang w:val="en-US" w:eastAsia="zh-CN"/>
        </w:rPr>
        <w:t>北</w:t>
      </w:r>
      <w:r>
        <w:rPr>
          <w:color w:val="0000FF"/>
          <w:spacing w:val="-1"/>
          <w:sz w:val="24"/>
        </w:rPr>
        <w:t>侧为道路，隔路为农田，</w:t>
      </w:r>
      <w:r>
        <w:rPr>
          <w:color w:val="0000FF"/>
          <w:spacing w:val="-15"/>
          <w:sz w:val="24"/>
        </w:rPr>
        <w:t>西侧约</w:t>
      </w:r>
      <w:r>
        <w:rPr>
          <w:rFonts w:hint="eastAsia" w:ascii="Times New Roman" w:hAnsi="Times New Roman" w:eastAsia="宋体"/>
          <w:color w:val="0000FF"/>
          <w:sz w:val="24"/>
          <w:lang w:val="en-US" w:eastAsia="zh-CN"/>
        </w:rPr>
        <w:t>1.6</w:t>
      </w:r>
      <w:r>
        <w:rPr>
          <w:rFonts w:ascii="Times New Roman" w:hAnsi="Times New Roman" w:eastAsia="Times New Roman"/>
          <w:color w:val="0000FF"/>
          <w:sz w:val="24"/>
        </w:rPr>
        <w:t>km</w:t>
      </w:r>
      <w:r>
        <w:rPr>
          <w:color w:val="0000FF"/>
          <w:spacing w:val="-7"/>
          <w:sz w:val="24"/>
        </w:rPr>
        <w:t>处为</w:t>
      </w:r>
      <w:r>
        <w:rPr>
          <w:rFonts w:hint="eastAsia"/>
          <w:color w:val="0000FF"/>
          <w:spacing w:val="-4"/>
          <w:sz w:val="24"/>
          <w:szCs w:val="24"/>
          <w:lang w:val="en-US" w:eastAsia="zh-CN"/>
        </w:rPr>
        <w:t>萨依吾斯塘村</w:t>
      </w:r>
      <w:r>
        <w:rPr>
          <w:color w:val="0000FF"/>
          <w:spacing w:val="-7"/>
          <w:sz w:val="24"/>
          <w:szCs w:val="24"/>
        </w:rPr>
        <w:t>；</w:t>
      </w:r>
      <w:r>
        <w:rPr>
          <w:color w:val="0000FF"/>
          <w:spacing w:val="-7"/>
          <w:sz w:val="24"/>
        </w:rPr>
        <w:t>养殖区</w:t>
      </w:r>
      <w:r>
        <w:rPr>
          <w:rFonts w:hint="eastAsia"/>
          <w:color w:val="0000FF"/>
          <w:spacing w:val="-7"/>
          <w:sz w:val="24"/>
          <w:lang w:val="en-US" w:eastAsia="zh-CN"/>
        </w:rPr>
        <w:t>北</w:t>
      </w:r>
      <w:r>
        <w:rPr>
          <w:color w:val="0000FF"/>
          <w:spacing w:val="-7"/>
          <w:sz w:val="24"/>
        </w:rPr>
        <w:t>侧距约</w:t>
      </w:r>
      <w:r>
        <w:rPr>
          <w:rFonts w:ascii="Times New Roman" w:hAnsi="Times New Roman" w:eastAsia="Times New Roman"/>
          <w:color w:val="0000FF"/>
          <w:sz w:val="24"/>
        </w:rPr>
        <w:t>5</w:t>
      </w:r>
      <w:r>
        <w:rPr>
          <w:rFonts w:hint="eastAsia" w:ascii="Times New Roman" w:hAnsi="Times New Roman" w:eastAsia="宋体"/>
          <w:color w:val="0000FF"/>
          <w:sz w:val="24"/>
          <w:lang w:val="en-US" w:eastAsia="zh-CN"/>
        </w:rPr>
        <w:t>50</w:t>
      </w:r>
      <w:r>
        <w:rPr>
          <w:rFonts w:ascii="Times New Roman" w:hAnsi="Times New Roman" w:eastAsia="Times New Roman"/>
          <w:color w:val="0000FF"/>
          <w:sz w:val="24"/>
        </w:rPr>
        <w:t>m</w:t>
      </w:r>
      <w:r>
        <w:rPr>
          <w:color w:val="0000FF"/>
          <w:spacing w:val="-20"/>
          <w:sz w:val="24"/>
        </w:rPr>
        <w:t>处为</w:t>
      </w:r>
      <w:r>
        <w:rPr>
          <w:rFonts w:hint="eastAsia" w:ascii="Times New Roman" w:hAnsi="Times New Roman" w:eastAsia="宋体"/>
          <w:color w:val="0000FF"/>
          <w:sz w:val="24"/>
          <w:lang w:val="en-US" w:eastAsia="zh-CN"/>
        </w:rPr>
        <w:t>508县</w:t>
      </w:r>
      <w:r>
        <w:rPr>
          <w:color w:val="0000FF"/>
          <w:spacing w:val="-6"/>
          <w:sz w:val="24"/>
        </w:rPr>
        <w:t>道。</w:t>
      </w:r>
    </w:p>
    <w:p>
      <w:pPr>
        <w:pStyle w:val="18"/>
        <w:numPr>
          <w:ilvl w:val="3"/>
          <w:numId w:val="19"/>
        </w:numPr>
        <w:tabs>
          <w:tab w:val="left" w:pos="1621"/>
        </w:tabs>
        <w:spacing w:before="3" w:after="0" w:line="240" w:lineRule="auto"/>
        <w:ind w:left="1621" w:right="0" w:hanging="601"/>
        <w:jc w:val="both"/>
        <w:rPr>
          <w:color w:val="0000FF"/>
          <w:sz w:val="24"/>
        </w:rPr>
      </w:pPr>
      <w:r>
        <w:rPr>
          <w:color w:val="0000FF"/>
          <w:spacing w:val="-4"/>
          <w:sz w:val="24"/>
        </w:rPr>
        <w:t>占地面积：本项目总占地面积约</w:t>
      </w:r>
      <w:r>
        <w:rPr>
          <w:rFonts w:hint="eastAsia" w:ascii="Times New Roman" w:hAnsi="Times New Roman" w:cs="Times New Roman"/>
          <w:color w:val="0000FF"/>
          <w:sz w:val="24"/>
          <w:lang w:val="en-US" w:eastAsia="zh-CN"/>
        </w:rPr>
        <w:t>2.073</w:t>
      </w:r>
      <w:r>
        <w:rPr>
          <w:rFonts w:hint="eastAsia" w:ascii="Times New Roman" w:hAnsi="Times New Roman" w:eastAsia="宋体" w:cs="Times New Roman"/>
          <w:color w:val="0000FF"/>
          <w:sz w:val="24"/>
          <w:lang w:val="en-US" w:eastAsia="zh-CN"/>
        </w:rPr>
        <w:t>hm</w:t>
      </w:r>
      <w:r>
        <w:rPr>
          <w:rFonts w:hint="eastAsia" w:ascii="Times New Roman" w:hAnsi="Times New Roman" w:eastAsia="宋体" w:cs="Times New Roman"/>
          <w:color w:val="0000FF"/>
          <w:sz w:val="24"/>
          <w:vertAlign w:val="superscript"/>
          <w:lang w:val="en-US" w:eastAsia="zh-CN"/>
        </w:rPr>
        <w:t>2</w:t>
      </w:r>
      <w:r>
        <w:rPr>
          <w:rFonts w:hint="eastAsia" w:ascii="Times New Roman" w:hAnsi="Times New Roman" w:eastAsia="宋体" w:cs="Times New Roman"/>
          <w:color w:val="0000FF"/>
          <w:sz w:val="24"/>
          <w:vertAlign w:val="baseline"/>
          <w:lang w:val="en-US" w:eastAsia="zh-CN"/>
        </w:rPr>
        <w:t>（</w:t>
      </w:r>
      <w:r>
        <w:rPr>
          <w:rFonts w:hint="eastAsia" w:ascii="Times New Roman" w:hAnsi="Times New Roman" w:cs="Times New Roman"/>
          <w:color w:val="0000FF"/>
          <w:sz w:val="24"/>
          <w:vertAlign w:val="baseline"/>
          <w:lang w:val="en-US" w:eastAsia="zh-CN"/>
        </w:rPr>
        <w:t>31.095</w:t>
      </w:r>
      <w:r>
        <w:rPr>
          <w:rFonts w:hint="eastAsia" w:ascii="Times New Roman" w:hAnsi="Times New Roman" w:eastAsia="宋体" w:cs="Times New Roman"/>
          <w:color w:val="0000FF"/>
          <w:sz w:val="24"/>
          <w:vertAlign w:val="baseline"/>
          <w:lang w:val="en-US" w:eastAsia="zh-CN"/>
        </w:rPr>
        <w:t>亩）</w:t>
      </w:r>
      <w:r>
        <w:rPr>
          <w:color w:val="0000FF"/>
          <w:sz w:val="24"/>
        </w:rPr>
        <w:t>。</w:t>
      </w:r>
    </w:p>
    <w:p>
      <w:pPr>
        <w:pStyle w:val="18"/>
        <w:numPr>
          <w:ilvl w:val="3"/>
          <w:numId w:val="19"/>
        </w:numPr>
        <w:tabs>
          <w:tab w:val="left" w:pos="1635"/>
        </w:tabs>
        <w:spacing w:before="160" w:after="0" w:line="240" w:lineRule="auto"/>
        <w:ind w:left="1634" w:right="0" w:hanging="615"/>
        <w:jc w:val="both"/>
        <w:rPr>
          <w:rFonts w:hint="default"/>
          <w:color w:val="0000FF"/>
          <w:lang w:val="en-US"/>
        </w:rPr>
      </w:pPr>
      <w:r>
        <w:rPr>
          <w:color w:val="0000FF"/>
          <w:spacing w:val="-1"/>
          <w:sz w:val="24"/>
        </w:rPr>
        <w:t>生产规模：本项目建成后实</w:t>
      </w:r>
      <w:r>
        <w:rPr>
          <w:rFonts w:hint="eastAsia"/>
          <w:color w:val="0000FF"/>
          <w:spacing w:val="-1"/>
          <w:sz w:val="24"/>
          <w:lang w:val="en-US" w:eastAsia="zh-CN"/>
        </w:rPr>
        <w:t>现种羊场存栏规模达到10万只以上，年出栏种公羊4万余只。</w:t>
      </w:r>
    </w:p>
    <w:p>
      <w:pPr>
        <w:pStyle w:val="18"/>
        <w:numPr>
          <w:ilvl w:val="3"/>
          <w:numId w:val="19"/>
        </w:numPr>
        <w:tabs>
          <w:tab w:val="left" w:pos="1621"/>
        </w:tabs>
        <w:spacing w:before="160" w:after="0" w:line="364" w:lineRule="auto"/>
        <w:ind w:left="540" w:right="457" w:firstLine="480"/>
        <w:jc w:val="both"/>
        <w:rPr>
          <w:color w:val="0000FF"/>
          <w:sz w:val="24"/>
        </w:rPr>
      </w:pPr>
      <w:r>
        <w:rPr>
          <w:color w:val="0000FF"/>
          <w:spacing w:val="-7"/>
          <w:sz w:val="24"/>
        </w:rPr>
        <w:t>项目总投资：本工程总投资</w:t>
      </w:r>
      <w:r>
        <w:rPr>
          <w:rFonts w:hint="eastAsia" w:ascii="Times New Roman" w:eastAsia="宋体"/>
          <w:color w:val="0000FF"/>
          <w:sz w:val="24"/>
          <w:lang w:val="en-US" w:eastAsia="zh-CN"/>
        </w:rPr>
        <w:t>3120.00</w:t>
      </w:r>
      <w:r>
        <w:rPr>
          <w:color w:val="0000FF"/>
          <w:spacing w:val="-9"/>
          <w:sz w:val="24"/>
        </w:rPr>
        <w:t>万元，其中</w:t>
      </w:r>
      <w:r>
        <w:rPr>
          <w:rFonts w:ascii="宋?" w:hAnsi="宋?" w:cs="宋?"/>
          <w:color w:val="0000FF"/>
          <w:kern w:val="0"/>
          <w:sz w:val="24"/>
          <w:szCs w:val="24"/>
        </w:rPr>
        <w:t>工程费用</w:t>
      </w:r>
      <w:r>
        <w:rPr>
          <w:rFonts w:ascii="Times New Roman" w:hAnsi="Times New Roman" w:cs="Times New Roman"/>
          <w:color w:val="0000FF"/>
          <w:kern w:val="0"/>
          <w:sz w:val="24"/>
          <w:szCs w:val="24"/>
        </w:rPr>
        <w:t xml:space="preserve"> 2000.00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64.10%</w:t>
      </w:r>
      <w:r>
        <w:rPr>
          <w:color w:val="0000FF"/>
          <w:spacing w:val="-8"/>
          <w:sz w:val="24"/>
        </w:rPr>
        <w:t>；</w:t>
      </w:r>
      <w:r>
        <w:rPr>
          <w:rFonts w:ascii="宋?" w:hAnsi="宋?" w:cs="宋?"/>
          <w:color w:val="0000FF"/>
          <w:kern w:val="0"/>
          <w:sz w:val="24"/>
          <w:szCs w:val="24"/>
        </w:rPr>
        <w:t>多胎羊购置费用</w:t>
      </w:r>
      <w:r>
        <w:rPr>
          <w:rFonts w:ascii="Times New Roman" w:hAnsi="Times New Roman" w:cs="Times New Roman"/>
          <w:color w:val="0000FF"/>
          <w:kern w:val="0"/>
          <w:sz w:val="24"/>
          <w:szCs w:val="24"/>
        </w:rPr>
        <w:t xml:space="preserve"> 1120.00</w:t>
      </w:r>
      <w:r>
        <w:rPr>
          <w:rFonts w:ascii="宋?" w:hAnsi="宋?" w:cs="宋?"/>
          <w:color w:val="0000FF"/>
          <w:kern w:val="0"/>
          <w:sz w:val="24"/>
          <w:szCs w:val="24"/>
        </w:rPr>
        <w:t xml:space="preserve"> 万元，占项目总投资的</w:t>
      </w:r>
      <w:r>
        <w:rPr>
          <w:rFonts w:ascii="Times New Roman" w:hAnsi="Times New Roman" w:cs="Times New Roman"/>
          <w:color w:val="0000FF"/>
          <w:kern w:val="0"/>
          <w:sz w:val="24"/>
          <w:szCs w:val="24"/>
        </w:rPr>
        <w:t xml:space="preserve"> 35.90%</w:t>
      </w:r>
      <w:r>
        <w:rPr>
          <w:color w:val="0000FF"/>
          <w:sz w:val="24"/>
          <w:szCs w:val="24"/>
        </w:rPr>
        <w:t>；</w:t>
      </w:r>
      <w:r>
        <w:rPr>
          <w:color w:val="0000FF"/>
          <w:spacing w:val="-10"/>
          <w:sz w:val="24"/>
        </w:rPr>
        <w:t>资金筹措：项目总投资 3120.00 万元，资金来源为申请涉农整合资金 2000.00万元；财政专项扶贫资金 1120.00 万元。</w:t>
      </w:r>
    </w:p>
    <w:p>
      <w:pPr>
        <w:pStyle w:val="18"/>
        <w:numPr>
          <w:ilvl w:val="3"/>
          <w:numId w:val="19"/>
        </w:numPr>
        <w:tabs>
          <w:tab w:val="left" w:pos="1621"/>
        </w:tabs>
        <w:spacing w:before="2" w:after="0" w:line="364" w:lineRule="auto"/>
        <w:ind w:left="540" w:right="575" w:firstLine="480"/>
        <w:jc w:val="both"/>
        <w:rPr>
          <w:color w:val="0000FF"/>
          <w:sz w:val="24"/>
        </w:rPr>
      </w:pPr>
      <w:r>
        <w:rPr>
          <w:color w:val="0000FF"/>
          <w:spacing w:val="-8"/>
          <w:sz w:val="24"/>
        </w:rPr>
        <w:t>劳动定员及工作制度：本项目建成投产后，劳动定员为</w:t>
      </w:r>
      <w:r>
        <w:rPr>
          <w:rFonts w:ascii="Times New Roman" w:eastAsia="Times New Roman"/>
          <w:color w:val="0000FF"/>
          <w:sz w:val="24"/>
        </w:rPr>
        <w:t>30</w:t>
      </w:r>
      <w:r>
        <w:rPr>
          <w:color w:val="0000FF"/>
          <w:spacing w:val="-7"/>
          <w:sz w:val="24"/>
        </w:rPr>
        <w:t>人。工人</w:t>
      </w:r>
      <w:r>
        <w:rPr>
          <w:color w:val="0000FF"/>
          <w:spacing w:val="-8"/>
          <w:sz w:val="24"/>
        </w:rPr>
        <w:t>均为本村或本乡居民，养殖区全年</w:t>
      </w:r>
      <w:r>
        <w:rPr>
          <w:rFonts w:ascii="Times New Roman" w:eastAsia="Times New Roman"/>
          <w:color w:val="0000FF"/>
          <w:sz w:val="24"/>
        </w:rPr>
        <w:t>365d</w:t>
      </w:r>
      <w:r>
        <w:rPr>
          <w:color w:val="0000FF"/>
          <w:sz w:val="24"/>
        </w:rPr>
        <w:t>运行，厂区单班制生产运行。</w:t>
      </w:r>
    </w:p>
    <w:p>
      <w:pPr>
        <w:pStyle w:val="4"/>
        <w:numPr>
          <w:ilvl w:val="1"/>
          <w:numId w:val="82"/>
        </w:numPr>
        <w:tabs>
          <w:tab w:val="left" w:pos="780"/>
        </w:tabs>
        <w:spacing w:before="154" w:after="0" w:line="240" w:lineRule="auto"/>
        <w:ind w:left="779" w:right="0" w:hanging="560"/>
        <w:jc w:val="left"/>
        <w:outlineLvl w:val="1"/>
      </w:pPr>
      <w:bookmarkStart w:id="506" w:name="_Toc18227"/>
      <w:r>
        <w:t>产业政策及相关规划符合性</w:t>
      </w:r>
      <w:bookmarkEnd w:id="506"/>
    </w:p>
    <w:p>
      <w:pPr>
        <w:pStyle w:val="7"/>
        <w:spacing w:before="234" w:line="364" w:lineRule="auto"/>
        <w:ind w:left="220" w:right="317" w:firstLine="480"/>
        <w:jc w:val="both"/>
        <w:rPr>
          <w:color w:val="0000FF"/>
        </w:rPr>
      </w:pPr>
      <w:r>
        <w:rPr>
          <w:color w:val="0000FF"/>
          <w:spacing w:val="-2"/>
        </w:rPr>
        <w:t>本项目为标准化规模养殖项目，根据国家发展和改革委员会第</w:t>
      </w:r>
      <w:r>
        <w:rPr>
          <w:rFonts w:ascii="Times New Roman" w:hAnsi="Times New Roman" w:eastAsia="Times New Roman"/>
          <w:color w:val="0000FF"/>
        </w:rPr>
        <w:t>29</w:t>
      </w:r>
      <w:r>
        <w:rPr>
          <w:color w:val="0000FF"/>
          <w:spacing w:val="-4"/>
        </w:rPr>
        <w:t>号令《产</w:t>
      </w:r>
      <w:r>
        <w:rPr>
          <w:color w:val="0000FF"/>
        </w:rPr>
        <w:t>业结构调整指导目录》（</w:t>
      </w:r>
      <w:r>
        <w:rPr>
          <w:rFonts w:ascii="Times New Roman" w:hAnsi="Times New Roman" w:eastAsia="Times New Roman"/>
          <w:color w:val="0000FF"/>
        </w:rPr>
        <w:t>2019</w:t>
      </w:r>
      <w:r>
        <w:rPr>
          <w:color w:val="0000FF"/>
        </w:rPr>
        <w:t>年本</w:t>
      </w:r>
      <w:r>
        <w:rPr>
          <w:color w:val="0000FF"/>
          <w:spacing w:val="3"/>
        </w:rPr>
        <w:t>）</w:t>
      </w:r>
      <w:r>
        <w:rPr>
          <w:color w:val="0000FF"/>
        </w:rPr>
        <w:t>，本项目属于“第一类、鼓励类；一、农</w:t>
      </w:r>
      <w:r>
        <w:rPr>
          <w:color w:val="0000FF"/>
          <w:spacing w:val="-17"/>
        </w:rPr>
        <w:t>林业、第</w:t>
      </w:r>
      <w:r>
        <w:rPr>
          <w:rFonts w:ascii="Times New Roman" w:hAnsi="Times New Roman" w:eastAsia="Times New Roman"/>
          <w:color w:val="0000FF"/>
        </w:rPr>
        <w:t>4</w:t>
      </w:r>
      <w:r>
        <w:rPr>
          <w:color w:val="0000FF"/>
          <w:spacing w:val="-6"/>
        </w:rPr>
        <w:t>条畜禽标准化规模养殖技术开发与应用”，因此，本项目符合国家现</w:t>
      </w:r>
      <w:r>
        <w:rPr>
          <w:color w:val="0000FF"/>
        </w:rPr>
        <w:t>行产业政策。</w:t>
      </w:r>
    </w:p>
    <w:p>
      <w:pPr>
        <w:spacing w:after="0" w:line="364" w:lineRule="auto"/>
        <w:jc w:val="both"/>
        <w:rPr>
          <w:color w:val="0000FF"/>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7"/>
        <w:spacing w:before="90" w:line="364" w:lineRule="auto"/>
        <w:ind w:left="220" w:right="315" w:firstLine="480"/>
        <w:jc w:val="both"/>
        <w:rPr>
          <w:color w:val="0000FF"/>
        </w:rPr>
      </w:pPr>
      <w:r>
        <w:rPr>
          <w:color w:val="0000FF"/>
          <w:spacing w:val="-10"/>
        </w:rPr>
        <w:t>另外，经分析，本项目属于规模标准化、集约化养殖。项目配套建设畜禽粪</w:t>
      </w:r>
      <w:r>
        <w:rPr>
          <w:color w:val="0000FF"/>
          <w:spacing w:val="-6"/>
        </w:rPr>
        <w:t>便和畜禽尸体处理等综合利用和无害化处理设施。畜禽粪便收集后运至堆肥厂生产有机肥外售；本项目养殖场每栋羊舍地面为混凝土地面，上端覆盖</w:t>
      </w:r>
      <w:r>
        <w:rPr>
          <w:rFonts w:ascii="Times New Roman" w:eastAsia="Times New Roman"/>
          <w:color w:val="0000FF"/>
        </w:rPr>
        <w:t>35cm</w:t>
      </w:r>
      <w:r>
        <w:rPr>
          <w:color w:val="0000FF"/>
          <w:spacing w:val="-7"/>
        </w:rPr>
        <w:t>厚垫</w:t>
      </w:r>
      <w:r>
        <w:rPr>
          <w:color w:val="0000FF"/>
          <w:spacing w:val="-10"/>
        </w:rPr>
        <w:t>料，铺设垫床一般采用废气杂草、农作物秸秆粉、锯末等农业材料，羊排泄的尿</w:t>
      </w:r>
      <w:r>
        <w:rPr>
          <w:color w:val="0000FF"/>
          <w:spacing w:val="-7"/>
        </w:rPr>
        <w:t>液和粪便进入垫料，经羊踩结形成粪床。一般羊舍的垫料约</w:t>
      </w:r>
      <w:r>
        <w:rPr>
          <w:rFonts w:ascii="Times New Roman" w:eastAsia="Times New Roman"/>
          <w:color w:val="0000FF"/>
          <w:spacing w:val="-3"/>
        </w:rPr>
        <w:t>2.5kg/m</w:t>
      </w:r>
      <w:r>
        <w:rPr>
          <w:rFonts w:ascii="Times New Roman" w:eastAsia="Times New Roman"/>
          <w:color w:val="0000FF"/>
          <w:spacing w:val="-3"/>
          <w:position w:val="8"/>
          <w:sz w:val="15"/>
        </w:rPr>
        <w:t>2</w:t>
      </w:r>
      <w:r>
        <w:rPr>
          <w:color w:val="0000FF"/>
          <w:spacing w:val="-5"/>
        </w:rPr>
        <w:t>，羊舍总建</w:t>
      </w:r>
      <w:r>
        <w:rPr>
          <w:color w:val="0000FF"/>
          <w:spacing w:val="-15"/>
        </w:rPr>
        <w:t>筑面积</w:t>
      </w:r>
      <w:r>
        <w:rPr>
          <w:rFonts w:hint="eastAsia"/>
          <w:color w:val="0000FF"/>
          <w:spacing w:val="-15"/>
          <w:lang w:val="en-US" w:eastAsia="zh-CN"/>
        </w:rPr>
        <w:t>9600</w:t>
      </w:r>
      <w:r>
        <w:rPr>
          <w:rFonts w:ascii="Times New Roman" w:eastAsia="Times New Roman"/>
          <w:color w:val="0000FF"/>
          <w:spacing w:val="-4"/>
        </w:rPr>
        <w:t>m</w:t>
      </w:r>
      <w:r>
        <w:rPr>
          <w:rFonts w:ascii="Times New Roman" w:eastAsia="Times New Roman"/>
          <w:color w:val="0000FF"/>
          <w:spacing w:val="-4"/>
          <w:position w:val="8"/>
          <w:sz w:val="15"/>
        </w:rPr>
        <w:t>2</w:t>
      </w:r>
      <w:r>
        <w:rPr>
          <w:color w:val="0000FF"/>
          <w:spacing w:val="-6"/>
        </w:rPr>
        <w:t>，因此本项目最终废弃垫料的产生量为</w:t>
      </w:r>
      <w:r>
        <w:rPr>
          <w:rFonts w:hint="eastAsia" w:ascii="Times New Roman" w:eastAsia="宋体"/>
          <w:color w:val="0000FF"/>
          <w:lang w:val="en-US" w:eastAsia="zh-CN"/>
        </w:rPr>
        <w:t>24</w:t>
      </w:r>
      <w:r>
        <w:rPr>
          <w:rFonts w:ascii="Times New Roman" w:eastAsia="Times New Roman"/>
          <w:color w:val="0000FF"/>
        </w:rPr>
        <w:t>t/a</w:t>
      </w:r>
      <w:r>
        <w:rPr>
          <w:color w:val="0000FF"/>
          <w:spacing w:val="-8"/>
        </w:rPr>
        <w:t>。根据业主提供</w:t>
      </w:r>
      <w:r>
        <w:rPr>
          <w:color w:val="0000FF"/>
          <w:spacing w:val="-13"/>
        </w:rPr>
        <w:t>的资料，粪床每</w:t>
      </w:r>
      <w:r>
        <w:rPr>
          <w:rFonts w:ascii="Times New Roman" w:eastAsia="Times New Roman"/>
          <w:color w:val="0000FF"/>
        </w:rPr>
        <w:t>1</w:t>
      </w:r>
      <w:r>
        <w:rPr>
          <w:color w:val="0000FF"/>
          <w:spacing w:val="-9"/>
        </w:rPr>
        <w:t>年清理一次，垫料层与羊粪、粪渣一起进入堆肥厂高温发酵无</w:t>
      </w:r>
      <w:r>
        <w:rPr>
          <w:color w:val="0000FF"/>
          <w:spacing w:val="-12"/>
        </w:rPr>
        <w:t>害化处理，不外排，实现综合利用。本项目病死羊采用干化法畜禽无害化处理方</w:t>
      </w:r>
      <w:r>
        <w:rPr>
          <w:color w:val="0000FF"/>
          <w:spacing w:val="-1"/>
        </w:rPr>
        <w:t>式处理。计划项目区拟建畜禽无害化处理车间，并购进畜禽无害化处理</w:t>
      </w:r>
      <w:r>
        <w:rPr>
          <w:rFonts w:ascii="Times New Roman" w:eastAsia="Times New Roman"/>
          <w:color w:val="0000FF"/>
        </w:rPr>
        <w:t>1</w:t>
      </w:r>
      <w:r>
        <w:rPr>
          <w:color w:val="0000FF"/>
        </w:rPr>
        <w:t>吨</w:t>
      </w:r>
      <w:r>
        <w:rPr>
          <w:rFonts w:ascii="Times New Roman" w:eastAsia="Times New Roman"/>
          <w:color w:val="0000FF"/>
        </w:rPr>
        <w:t>/</w:t>
      </w:r>
      <w:r>
        <w:rPr>
          <w:color w:val="0000FF"/>
        </w:rPr>
        <w:t>次</w:t>
      </w:r>
      <w:r>
        <w:rPr>
          <w:color w:val="0000FF"/>
          <w:spacing w:val="-10"/>
        </w:rPr>
        <w:t>成套设备，采用高温高压灭菌技术，大型动物无需肢解，可直接进行处理，处理</w:t>
      </w:r>
      <w:r>
        <w:rPr>
          <w:color w:val="0000FF"/>
          <w:spacing w:val="-5"/>
        </w:rPr>
        <w:t>后的产物可出售给肉骨粉干品生产厂和工业用油脂厂，综合利用，符合国家防疫</w:t>
      </w:r>
      <w:r>
        <w:rPr>
          <w:color w:val="0000FF"/>
        </w:rPr>
        <w:t>法规要求。</w:t>
      </w:r>
    </w:p>
    <w:p>
      <w:pPr>
        <w:pStyle w:val="7"/>
        <w:spacing w:before="7" w:line="364" w:lineRule="auto"/>
        <w:ind w:left="220" w:right="195" w:firstLine="480"/>
        <w:jc w:val="both"/>
        <w:rPr>
          <w:color w:val="0000FF"/>
        </w:rPr>
      </w:pPr>
      <w:r>
        <w:rPr>
          <w:color w:val="0000FF"/>
          <w:spacing w:val="-10"/>
        </w:rPr>
        <w:t>项目的建设符合《新疆维吾尔自治区国民经济和社会发展第十三个五年规划</w:t>
      </w:r>
      <w:r>
        <w:rPr>
          <w:color w:val="0000FF"/>
          <w:spacing w:val="-12"/>
        </w:rPr>
        <w:t>纲要》、《新疆维吾尔自治区畜牧业现代化“十三五”发展规划》、《新疆规模</w:t>
      </w:r>
      <w:r>
        <w:rPr>
          <w:color w:val="0000FF"/>
          <w:spacing w:val="-14"/>
        </w:rPr>
        <w:t>化畜禽养殖污染防治“十三五”规划》、《自治区畜牧行业“十三五”脱贫攻坚实施计划（</w:t>
      </w:r>
      <w:r>
        <w:rPr>
          <w:rFonts w:ascii="Times New Roman" w:hAnsi="Times New Roman" w:eastAsia="Times New Roman"/>
          <w:color w:val="0000FF"/>
          <w:spacing w:val="-14"/>
        </w:rPr>
        <w:t>2016-2020</w:t>
      </w:r>
      <w:r>
        <w:rPr>
          <w:color w:val="0000FF"/>
        </w:rPr>
        <w:t>年）》等相关要求，项目选址符合《中华人民共和国畜牧</w:t>
      </w:r>
      <w:r>
        <w:rPr>
          <w:color w:val="0000FF"/>
          <w:spacing w:val="-24"/>
        </w:rPr>
        <w:t>法》、《畜禽养殖业污染治理工程技术规范》、《畜禽养殖业污染防治技术规范》、</w:t>
      </w:r>
    </w:p>
    <w:p>
      <w:pPr>
        <w:pStyle w:val="7"/>
        <w:spacing w:before="3" w:line="364" w:lineRule="auto"/>
        <w:ind w:left="220" w:right="195"/>
        <w:jc w:val="both"/>
        <w:rPr>
          <w:color w:val="0000FF"/>
        </w:rPr>
      </w:pPr>
      <w:r>
        <w:rPr>
          <w:color w:val="0000FF"/>
          <w:spacing w:val="-14"/>
        </w:rPr>
        <w:t>《畜禽规模养殖污染防治条例》、《畜禽粪便无害化处理技术规范》等相关要求。</w:t>
      </w:r>
      <w:r>
        <w:rPr>
          <w:color w:val="0000FF"/>
          <w:spacing w:val="-6"/>
        </w:rPr>
        <w:t>项目的建设地点不涉及国家法规、标准规范限定的禁建区，不在</w:t>
      </w:r>
      <w:r>
        <w:rPr>
          <w:rFonts w:hint="eastAsia"/>
          <w:color w:val="0000FF"/>
          <w:spacing w:val="-6"/>
          <w:lang w:val="en-US" w:eastAsia="zh-CN"/>
        </w:rPr>
        <w:t>喀什</w:t>
      </w:r>
      <w:r>
        <w:rPr>
          <w:color w:val="0000FF"/>
          <w:spacing w:val="-6"/>
        </w:rPr>
        <w:t>市划定的禁养区内。因此，本项目建设可行。</w:t>
      </w:r>
    </w:p>
    <w:p>
      <w:pPr>
        <w:pStyle w:val="4"/>
        <w:numPr>
          <w:ilvl w:val="1"/>
          <w:numId w:val="82"/>
        </w:numPr>
        <w:tabs>
          <w:tab w:val="left" w:pos="780"/>
        </w:tabs>
        <w:spacing w:before="155" w:after="0" w:line="240" w:lineRule="auto"/>
        <w:ind w:left="779" w:right="0" w:hanging="560"/>
        <w:jc w:val="left"/>
        <w:outlineLvl w:val="1"/>
      </w:pPr>
      <w:bookmarkStart w:id="507" w:name="_bookmark42"/>
      <w:bookmarkEnd w:id="507"/>
      <w:bookmarkStart w:id="508" w:name="9.3 环境质量现状"/>
      <w:bookmarkEnd w:id="508"/>
      <w:bookmarkStart w:id="509" w:name="_bookmark42"/>
      <w:bookmarkEnd w:id="509"/>
      <w:bookmarkStart w:id="510" w:name="_Toc16916"/>
      <w:r>
        <w:t>环境质量现状</w:t>
      </w:r>
      <w:bookmarkEnd w:id="510"/>
    </w:p>
    <w:p>
      <w:pPr>
        <w:pStyle w:val="7"/>
        <w:spacing w:before="5"/>
        <w:ind w:left="0"/>
        <w:rPr>
          <w:b/>
          <w:sz w:val="28"/>
        </w:rPr>
      </w:pPr>
    </w:p>
    <w:p>
      <w:pPr>
        <w:pStyle w:val="5"/>
        <w:numPr>
          <w:ilvl w:val="2"/>
          <w:numId w:val="83"/>
        </w:numPr>
        <w:tabs>
          <w:tab w:val="left" w:pos="921"/>
        </w:tabs>
        <w:spacing w:before="0" w:after="0" w:line="240" w:lineRule="auto"/>
        <w:ind w:left="920" w:right="0" w:hanging="701"/>
        <w:jc w:val="left"/>
        <w:outlineLvl w:val="2"/>
      </w:pPr>
      <w:bookmarkStart w:id="511" w:name="9.3.1 环境空气质量现状"/>
      <w:bookmarkEnd w:id="511"/>
      <w:bookmarkStart w:id="512" w:name="9.3.1 环境空气质量现状"/>
      <w:bookmarkEnd w:id="512"/>
      <w:bookmarkStart w:id="513" w:name="_Toc16743"/>
      <w:r>
        <w:t>环境空气质量现状</w:t>
      </w:r>
      <w:bookmarkEnd w:id="513"/>
    </w:p>
    <w:p>
      <w:pPr>
        <w:pStyle w:val="7"/>
        <w:spacing w:before="5"/>
        <w:ind w:left="0"/>
        <w:rPr>
          <w:b/>
          <w:color w:val="0000FF"/>
          <w:sz w:val="21"/>
        </w:rPr>
      </w:pPr>
    </w:p>
    <w:p>
      <w:pPr>
        <w:pStyle w:val="18"/>
        <w:numPr>
          <w:ilvl w:val="3"/>
          <w:numId w:val="83"/>
        </w:numPr>
        <w:tabs>
          <w:tab w:val="left" w:pos="1301"/>
        </w:tabs>
        <w:spacing w:before="0" w:after="0" w:line="240" w:lineRule="auto"/>
        <w:ind w:left="1301" w:right="0" w:hanging="601"/>
        <w:jc w:val="left"/>
        <w:rPr>
          <w:color w:val="0000FF"/>
          <w:sz w:val="24"/>
        </w:rPr>
      </w:pPr>
      <w:r>
        <w:rPr>
          <w:color w:val="0000FF"/>
          <w:sz w:val="24"/>
        </w:rPr>
        <w:t>基本污染物环境质量现状</w:t>
      </w:r>
    </w:p>
    <w:p>
      <w:pPr>
        <w:widowControl/>
        <w:spacing w:line="360" w:lineRule="auto"/>
        <w:ind w:firstLine="488" w:firstLineChars="200"/>
        <w:rPr>
          <w:color w:val="0000FF"/>
          <w:sz w:val="24"/>
          <w:szCs w:val="24"/>
        </w:rPr>
      </w:pPr>
      <w:r>
        <w:rPr>
          <w:color w:val="0000FF"/>
          <w:spacing w:val="2"/>
          <w:sz w:val="24"/>
          <w:szCs w:val="24"/>
        </w:rPr>
        <w:t>本次基本污染物环境质量现状数据来源于</w:t>
      </w:r>
      <w:r>
        <w:rPr>
          <w:rFonts w:hint="eastAsia"/>
          <w:color w:val="0000FF"/>
          <w:spacing w:val="2"/>
          <w:sz w:val="24"/>
          <w:szCs w:val="24"/>
          <w:lang w:val="en-US" w:eastAsia="zh-CN"/>
        </w:rPr>
        <w:t>喀什</w:t>
      </w:r>
      <w:r>
        <w:rPr>
          <w:color w:val="0000FF"/>
          <w:spacing w:val="2"/>
          <w:sz w:val="24"/>
          <w:szCs w:val="24"/>
        </w:rPr>
        <w:t>地区环境空气质量国控点</w:t>
      </w:r>
      <w:r>
        <w:rPr>
          <w:rFonts w:hint="eastAsia"/>
          <w:color w:val="0000FF"/>
          <w:spacing w:val="2"/>
          <w:sz w:val="24"/>
          <w:szCs w:val="24"/>
          <w:lang w:val="en-US" w:eastAsia="zh-CN"/>
        </w:rPr>
        <w:t>喀什</w:t>
      </w:r>
      <w:r>
        <w:rPr>
          <w:color w:val="0000FF"/>
          <w:spacing w:val="-6"/>
          <w:sz w:val="24"/>
          <w:szCs w:val="24"/>
        </w:rPr>
        <w:t>地区监测点</w:t>
      </w:r>
      <w:r>
        <w:rPr>
          <w:rFonts w:ascii="Times New Roman" w:hAnsi="Times New Roman" w:eastAsia="Times New Roman"/>
          <w:color w:val="0000FF"/>
          <w:sz w:val="24"/>
          <w:szCs w:val="24"/>
        </w:rPr>
        <w:t>2018</w:t>
      </w:r>
      <w:r>
        <w:rPr>
          <w:color w:val="0000FF"/>
          <w:sz w:val="24"/>
          <w:szCs w:val="24"/>
        </w:rPr>
        <w:t>年监测数据进行项目区环境空气质量达标分析。根据环境空</w:t>
      </w:r>
      <w:r>
        <w:rPr>
          <w:color w:val="0000FF"/>
          <w:spacing w:val="-2"/>
          <w:position w:val="2"/>
          <w:sz w:val="24"/>
          <w:szCs w:val="24"/>
        </w:rPr>
        <w:t>气质量模型技术支持服子系统筛选结果，</w:t>
      </w:r>
      <w:r>
        <w:rPr>
          <w:rFonts w:hint="default" w:ascii="Times New Roman" w:hAnsi="Times New Roman" w:cs="Times New Roman"/>
          <w:color w:val="0000FF"/>
          <w:sz w:val="24"/>
          <w:szCs w:val="24"/>
          <w:highlight w:val="none"/>
          <w:lang w:eastAsia="zh-CN"/>
        </w:rPr>
        <w:t>喀什</w:t>
      </w:r>
      <w:r>
        <w:rPr>
          <w:rFonts w:hint="default" w:ascii="Times New Roman" w:hAnsi="Times New Roman" w:cs="Times New Roman"/>
          <w:color w:val="0000FF"/>
          <w:sz w:val="24"/>
          <w:szCs w:val="24"/>
          <w:highlight w:val="none"/>
        </w:rPr>
        <w:t>地区2018年平均质量浓度PM</w:t>
      </w:r>
      <w:r>
        <w:rPr>
          <w:rFonts w:hint="default" w:ascii="Times New Roman" w:hAnsi="Times New Roman" w:cs="Times New Roman"/>
          <w:color w:val="0000FF"/>
          <w:sz w:val="24"/>
          <w:szCs w:val="24"/>
          <w:highlight w:val="none"/>
          <w:vertAlign w:val="subscript"/>
        </w:rPr>
        <w:t>10</w:t>
      </w:r>
      <w:r>
        <w:rPr>
          <w:rFonts w:hint="default" w:ascii="Times New Roman" w:hAnsi="Times New Roman" w:cs="Times New Roman"/>
          <w:color w:val="0000FF"/>
          <w:sz w:val="24"/>
          <w:szCs w:val="24"/>
          <w:highlight w:val="none"/>
        </w:rPr>
        <w:t>、PM</w:t>
      </w:r>
      <w:r>
        <w:rPr>
          <w:rFonts w:hint="default" w:ascii="Times New Roman" w:hAnsi="Times New Roman" w:cs="Times New Roman"/>
          <w:color w:val="0000FF"/>
          <w:sz w:val="24"/>
          <w:szCs w:val="24"/>
          <w:highlight w:val="none"/>
          <w:vertAlign w:val="subscript"/>
        </w:rPr>
        <w:t>2.5</w:t>
      </w:r>
      <w:r>
        <w:rPr>
          <w:rFonts w:hint="default" w:ascii="Times New Roman" w:hAnsi="Times New Roman" w:cs="Times New Roman"/>
          <w:color w:val="0000FF"/>
          <w:sz w:val="24"/>
          <w:szCs w:val="24"/>
          <w:highlight w:val="none"/>
          <w:lang w:eastAsia="zh-CN"/>
        </w:rPr>
        <w:t>超过二级标准限值，占标率分别为</w:t>
      </w:r>
      <w:r>
        <w:rPr>
          <w:rFonts w:hint="default" w:ascii="Times New Roman" w:hAnsi="Times New Roman" w:cs="Times New Roman"/>
          <w:color w:val="0000FF"/>
          <w:sz w:val="24"/>
          <w:szCs w:val="24"/>
          <w:highlight w:val="none"/>
          <w:lang w:val="en-US" w:eastAsia="zh-CN"/>
        </w:rPr>
        <w:t>147.4%、208.3%，</w:t>
      </w:r>
      <w:r>
        <w:rPr>
          <w:rFonts w:hint="default" w:ascii="Times New Roman" w:hAnsi="Times New Roman" w:cs="Times New Roman"/>
          <w:color w:val="0000FF"/>
          <w:sz w:val="24"/>
          <w:szCs w:val="24"/>
          <w:highlight w:val="none"/>
        </w:rPr>
        <w:t>SO</w:t>
      </w:r>
      <w:r>
        <w:rPr>
          <w:rFonts w:hint="default" w:ascii="Times New Roman" w:hAnsi="Times New Roman" w:cs="Times New Roman"/>
          <w:color w:val="0000FF"/>
          <w:sz w:val="24"/>
          <w:szCs w:val="24"/>
          <w:highlight w:val="none"/>
          <w:vertAlign w:val="subscript"/>
        </w:rPr>
        <w:t>2</w:t>
      </w:r>
      <w:r>
        <w:rPr>
          <w:rFonts w:hint="default" w:ascii="Times New Roman" w:hAnsi="Times New Roman" w:cs="Times New Roman"/>
          <w:color w:val="0000FF"/>
          <w:sz w:val="24"/>
          <w:szCs w:val="24"/>
          <w:highlight w:val="none"/>
        </w:rPr>
        <w:t>、NO</w:t>
      </w:r>
      <w:r>
        <w:rPr>
          <w:rFonts w:hint="default" w:ascii="Times New Roman" w:hAnsi="Times New Roman" w:cs="Times New Roman"/>
          <w:color w:val="0000FF"/>
          <w:sz w:val="24"/>
          <w:szCs w:val="24"/>
          <w:highlight w:val="none"/>
          <w:vertAlign w:val="subscript"/>
        </w:rPr>
        <w:t>2</w:t>
      </w:r>
      <w:r>
        <w:rPr>
          <w:rFonts w:hint="default" w:ascii="Times New Roman" w:hAnsi="Times New Roman" w:cs="Times New Roman"/>
          <w:color w:val="0000FF"/>
          <w:sz w:val="24"/>
          <w:szCs w:val="24"/>
          <w:highlight w:val="none"/>
        </w:rPr>
        <w:t>、O</w:t>
      </w:r>
      <w:r>
        <w:rPr>
          <w:rFonts w:hint="default" w:ascii="Times New Roman" w:hAnsi="Times New Roman" w:cs="Times New Roman"/>
          <w:color w:val="0000FF"/>
          <w:sz w:val="24"/>
          <w:szCs w:val="24"/>
          <w:highlight w:val="none"/>
          <w:vertAlign w:val="subscript"/>
        </w:rPr>
        <w:t>3</w:t>
      </w:r>
      <w:r>
        <w:rPr>
          <w:rFonts w:hint="default" w:ascii="Times New Roman" w:hAnsi="Times New Roman" w:cs="Times New Roman"/>
          <w:color w:val="0000FF"/>
          <w:sz w:val="24"/>
          <w:szCs w:val="24"/>
          <w:highlight w:val="none"/>
        </w:rPr>
        <w:t>、CO均未超出二级标准限值，说明该地区环境质量</w:t>
      </w:r>
      <w:r>
        <w:rPr>
          <w:rFonts w:hint="default" w:ascii="Times New Roman" w:hAnsi="Times New Roman" w:cs="Times New Roman"/>
          <w:color w:val="0000FF"/>
          <w:sz w:val="24"/>
          <w:szCs w:val="24"/>
          <w:highlight w:val="none"/>
          <w:lang w:eastAsia="zh-CN"/>
        </w:rPr>
        <w:t>一般</w:t>
      </w:r>
      <w:r>
        <w:rPr>
          <w:rFonts w:hint="default" w:ascii="Times New Roman" w:hAnsi="Times New Roman" w:cs="Times New Roman"/>
          <w:color w:val="0000FF"/>
          <w:sz w:val="24"/>
          <w:szCs w:val="24"/>
          <w:highlight w:val="none"/>
        </w:rPr>
        <w:t>。</w:t>
      </w:r>
      <w:r>
        <w:rPr>
          <w:rFonts w:hint="eastAsia"/>
          <w:color w:val="0000FF"/>
          <w:sz w:val="24"/>
          <w:szCs w:val="24"/>
          <w:highlight w:val="none"/>
          <w:lang w:bidi="ar"/>
        </w:rPr>
        <w:t>参照《环境影响评价技术导则·大气环境》(HJ2.2-2018)中6.4.1项目所在区域达标判断规定：“城市环境空气质量达标情况评价指标为SO</w:t>
      </w:r>
      <w:r>
        <w:rPr>
          <w:rFonts w:hint="eastAsia"/>
          <w:color w:val="0000FF"/>
          <w:sz w:val="24"/>
          <w:szCs w:val="24"/>
          <w:highlight w:val="none"/>
          <w:vertAlign w:val="subscript"/>
          <w:lang w:bidi="ar"/>
        </w:rPr>
        <w:t>2</w:t>
      </w:r>
      <w:r>
        <w:rPr>
          <w:rFonts w:hint="eastAsia"/>
          <w:color w:val="0000FF"/>
          <w:sz w:val="24"/>
          <w:szCs w:val="24"/>
          <w:highlight w:val="none"/>
          <w:lang w:bidi="ar"/>
        </w:rPr>
        <w:t>、NO</w:t>
      </w:r>
      <w:r>
        <w:rPr>
          <w:rFonts w:hint="eastAsia"/>
          <w:color w:val="0000FF"/>
          <w:sz w:val="24"/>
          <w:szCs w:val="24"/>
          <w:highlight w:val="none"/>
          <w:vertAlign w:val="subscript"/>
          <w:lang w:bidi="ar"/>
        </w:rPr>
        <w:t>2</w:t>
      </w:r>
      <w:r>
        <w:rPr>
          <w:rFonts w:hint="eastAsia"/>
          <w:color w:val="0000FF"/>
          <w:sz w:val="24"/>
          <w:szCs w:val="24"/>
          <w:highlight w:val="none"/>
          <w:lang w:bidi="ar"/>
        </w:rPr>
        <w:t>、PM</w:t>
      </w:r>
      <w:r>
        <w:rPr>
          <w:rFonts w:hint="eastAsia"/>
          <w:color w:val="0000FF"/>
          <w:sz w:val="24"/>
          <w:szCs w:val="24"/>
          <w:highlight w:val="none"/>
          <w:vertAlign w:val="subscript"/>
          <w:lang w:bidi="ar"/>
        </w:rPr>
        <w:t>10</w:t>
      </w:r>
      <w:r>
        <w:rPr>
          <w:rFonts w:hint="eastAsia"/>
          <w:color w:val="0000FF"/>
          <w:sz w:val="24"/>
          <w:szCs w:val="24"/>
          <w:highlight w:val="none"/>
          <w:lang w:bidi="ar"/>
        </w:rPr>
        <w:t>、PM</w:t>
      </w:r>
      <w:r>
        <w:rPr>
          <w:rFonts w:hint="eastAsia"/>
          <w:color w:val="0000FF"/>
          <w:sz w:val="24"/>
          <w:szCs w:val="24"/>
          <w:highlight w:val="none"/>
          <w:vertAlign w:val="subscript"/>
          <w:lang w:bidi="ar"/>
        </w:rPr>
        <w:t>2.5</w:t>
      </w:r>
      <w:r>
        <w:rPr>
          <w:rFonts w:hint="eastAsia"/>
          <w:color w:val="0000FF"/>
          <w:sz w:val="24"/>
          <w:szCs w:val="24"/>
          <w:highlight w:val="none"/>
          <w:lang w:bidi="ar"/>
        </w:rPr>
        <w:t>、CO、O</w:t>
      </w:r>
      <w:r>
        <w:rPr>
          <w:rFonts w:hint="eastAsia"/>
          <w:color w:val="0000FF"/>
          <w:sz w:val="24"/>
          <w:szCs w:val="24"/>
          <w:highlight w:val="none"/>
          <w:vertAlign w:val="subscript"/>
          <w:lang w:bidi="ar"/>
        </w:rPr>
        <w:t>3</w:t>
      </w:r>
      <w:r>
        <w:rPr>
          <w:rFonts w:hint="eastAsia"/>
          <w:color w:val="0000FF"/>
          <w:sz w:val="24"/>
          <w:szCs w:val="24"/>
          <w:highlight w:val="none"/>
          <w:lang w:bidi="ar"/>
        </w:rPr>
        <w:t>，六项污染物全部达标即为城市环境空气质量达标”可知，本项目所在区域属于不达标区。</w:t>
      </w:r>
      <w:r>
        <w:rPr>
          <w:color w:val="0000FF"/>
          <w:spacing w:val="-9"/>
          <w:sz w:val="24"/>
          <w:szCs w:val="24"/>
          <w:vertAlign w:val="baseline"/>
        </w:rPr>
        <w:t>超标原因是</w:t>
      </w:r>
      <w:r>
        <w:rPr>
          <w:rFonts w:hint="eastAsia"/>
          <w:color w:val="0000FF"/>
          <w:spacing w:val="-9"/>
          <w:sz w:val="24"/>
          <w:szCs w:val="24"/>
          <w:vertAlign w:val="baseline"/>
          <w:lang w:val="en-US" w:eastAsia="zh-CN"/>
        </w:rPr>
        <w:t>喀什地区</w:t>
      </w:r>
      <w:r>
        <w:rPr>
          <w:color w:val="0000FF"/>
          <w:spacing w:val="-10"/>
          <w:position w:val="2"/>
          <w:sz w:val="24"/>
          <w:szCs w:val="24"/>
          <w:vertAlign w:val="baseline"/>
        </w:rPr>
        <w:t>，四季多风沙，干燥少雨，造成空气中</w:t>
      </w:r>
      <w:r>
        <w:rPr>
          <w:rFonts w:ascii="Times New Roman" w:hAnsi="Times New Roman" w:eastAsia="Times New Roman"/>
          <w:color w:val="0000FF"/>
          <w:position w:val="2"/>
          <w:sz w:val="24"/>
          <w:szCs w:val="24"/>
          <w:vertAlign w:val="baseline"/>
        </w:rPr>
        <w:t>PM</w:t>
      </w:r>
      <w:r>
        <w:rPr>
          <w:rFonts w:ascii="Times New Roman" w:hAnsi="Times New Roman" w:eastAsia="Times New Roman"/>
          <w:color w:val="0000FF"/>
          <w:position w:val="2"/>
          <w:sz w:val="24"/>
          <w:szCs w:val="24"/>
          <w:vertAlign w:val="subscript"/>
        </w:rPr>
        <w:t>10</w:t>
      </w:r>
      <w:r>
        <w:rPr>
          <w:color w:val="0000FF"/>
          <w:spacing w:val="-29"/>
          <w:position w:val="2"/>
          <w:sz w:val="24"/>
          <w:szCs w:val="24"/>
          <w:vertAlign w:val="baseline"/>
        </w:rPr>
        <w:t>和</w:t>
      </w:r>
      <w:r>
        <w:rPr>
          <w:rFonts w:ascii="Times New Roman" w:hAnsi="Times New Roman" w:eastAsia="Times New Roman"/>
          <w:color w:val="0000FF"/>
          <w:position w:val="2"/>
          <w:sz w:val="24"/>
          <w:szCs w:val="24"/>
          <w:vertAlign w:val="baseline"/>
        </w:rPr>
        <w:t>PM</w:t>
      </w:r>
      <w:r>
        <w:rPr>
          <w:rFonts w:ascii="Times New Roman" w:hAnsi="Times New Roman" w:eastAsia="Times New Roman"/>
          <w:color w:val="0000FF"/>
          <w:position w:val="2"/>
          <w:sz w:val="24"/>
          <w:szCs w:val="24"/>
          <w:vertAlign w:val="subscript"/>
        </w:rPr>
        <w:t>2.5</w:t>
      </w:r>
      <w:r>
        <w:rPr>
          <w:color w:val="0000FF"/>
          <w:spacing w:val="-6"/>
          <w:position w:val="2"/>
          <w:sz w:val="24"/>
          <w:szCs w:val="24"/>
          <w:vertAlign w:val="baseline"/>
        </w:rPr>
        <w:t>浓度较大。</w:t>
      </w:r>
    </w:p>
    <w:p>
      <w:pPr>
        <w:pStyle w:val="18"/>
        <w:numPr>
          <w:ilvl w:val="3"/>
          <w:numId w:val="83"/>
        </w:numPr>
        <w:tabs>
          <w:tab w:val="left" w:pos="1304"/>
        </w:tabs>
        <w:spacing w:before="1" w:after="0" w:line="240" w:lineRule="auto"/>
        <w:ind w:left="1303" w:right="0" w:hanging="602"/>
        <w:jc w:val="left"/>
        <w:rPr>
          <w:color w:val="0000FF"/>
          <w:sz w:val="24"/>
        </w:rPr>
      </w:pPr>
      <w:r>
        <w:rPr>
          <w:color w:val="0000FF"/>
          <w:sz w:val="24"/>
        </w:rPr>
        <w:t>其他污染物环境质量现状</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567" w:right="220" w:rightChars="100" w:firstLine="464" w:firstLineChars="200"/>
        <w:jc w:val="both"/>
        <w:textAlignment w:val="auto"/>
        <w:rPr>
          <w:color w:val="0000FF"/>
        </w:rPr>
      </w:pPr>
      <w:r>
        <w:rPr>
          <w:color w:val="0000FF"/>
          <w:spacing w:val="-4"/>
        </w:rPr>
        <w:t>本次委托</w:t>
      </w:r>
      <w:r>
        <w:rPr>
          <w:rFonts w:hint="eastAsia" w:ascii="Times New Roman" w:hAnsi="Times New Roman" w:eastAsia="宋体" w:cs="Times New Roman"/>
          <w:color w:val="0000FF"/>
          <w:sz w:val="24"/>
          <w:lang w:val="en-US" w:eastAsia="zh-CN"/>
        </w:rPr>
        <w:t>新疆环疆绿源环保科技</w:t>
      </w:r>
      <w:r>
        <w:rPr>
          <w:rFonts w:hint="eastAsia" w:ascii="Times New Roman" w:hAnsi="Times New Roman" w:eastAsia="宋体" w:cs="Times New Roman"/>
          <w:color w:val="0000FF"/>
          <w:sz w:val="24"/>
        </w:rPr>
        <w:t>科技有限公司</w:t>
      </w:r>
      <w:r>
        <w:rPr>
          <w:color w:val="0000FF"/>
          <w:spacing w:val="-4"/>
        </w:rPr>
        <w:t>于</w:t>
      </w:r>
      <w:r>
        <w:rPr>
          <w:rFonts w:hint="eastAsia" w:ascii="Times New Roman" w:hAnsi="Times New Roman" w:eastAsia="宋体" w:cs="Times New Roman"/>
          <w:color w:val="0000FF"/>
          <w:sz w:val="24"/>
        </w:rPr>
        <w:t>20</w:t>
      </w:r>
      <w:r>
        <w:rPr>
          <w:rFonts w:hint="eastAsia" w:ascii="Times New Roman" w:hAnsi="Times New Roman" w:eastAsia="宋体" w:cs="Times New Roman"/>
          <w:color w:val="0000FF"/>
          <w:sz w:val="24"/>
          <w:lang w:val="en-US" w:eastAsia="zh-CN"/>
        </w:rPr>
        <w:t>20</w:t>
      </w:r>
      <w:r>
        <w:rPr>
          <w:rFonts w:hint="eastAsia" w:ascii="Times New Roman" w:hAnsi="Times New Roman" w:eastAsia="宋体" w:cs="Times New Roman"/>
          <w:color w:val="0000FF"/>
          <w:sz w:val="24"/>
        </w:rPr>
        <w:t>年</w:t>
      </w:r>
      <w:r>
        <w:rPr>
          <w:rFonts w:hint="eastAsia" w:ascii="Times New Roman" w:hAnsi="Times New Roman" w:eastAsia="宋体" w:cs="Times New Roman"/>
          <w:color w:val="0000FF"/>
          <w:sz w:val="24"/>
          <w:lang w:val="en-US" w:eastAsia="zh-CN"/>
        </w:rPr>
        <w:t>1</w:t>
      </w:r>
      <w:r>
        <w:rPr>
          <w:rFonts w:hint="eastAsia" w:ascii="Times New Roman" w:hAnsi="Times New Roman" w:eastAsia="宋体" w:cs="Times New Roman"/>
          <w:color w:val="0000FF"/>
          <w:sz w:val="24"/>
        </w:rPr>
        <w:t>月</w:t>
      </w:r>
      <w:r>
        <w:rPr>
          <w:rFonts w:hint="eastAsia" w:ascii="Times New Roman" w:hAnsi="Times New Roman" w:eastAsia="宋体" w:cs="Times New Roman"/>
          <w:color w:val="0000FF"/>
          <w:sz w:val="24"/>
          <w:lang w:val="en-US" w:eastAsia="zh-CN"/>
        </w:rPr>
        <w:t>2</w:t>
      </w:r>
      <w:r>
        <w:rPr>
          <w:rFonts w:hint="eastAsia" w:ascii="Times New Roman" w:hAnsi="Times New Roman" w:eastAsia="宋体" w:cs="Times New Roman"/>
          <w:color w:val="0000FF"/>
          <w:sz w:val="24"/>
        </w:rPr>
        <w:t>日至</w:t>
      </w:r>
      <w:r>
        <w:rPr>
          <w:rFonts w:hint="eastAsia" w:ascii="Times New Roman" w:hAnsi="Times New Roman" w:eastAsia="宋体" w:cs="Times New Roman"/>
          <w:color w:val="0000FF"/>
          <w:sz w:val="24"/>
          <w:lang w:val="en-US" w:eastAsia="zh-CN"/>
        </w:rPr>
        <w:t>1</w:t>
      </w:r>
      <w:r>
        <w:rPr>
          <w:rFonts w:hint="eastAsia" w:ascii="Times New Roman" w:hAnsi="Times New Roman" w:eastAsia="宋体" w:cs="Times New Roman"/>
          <w:color w:val="0000FF"/>
          <w:sz w:val="24"/>
        </w:rPr>
        <w:t>月</w:t>
      </w:r>
      <w:r>
        <w:rPr>
          <w:rFonts w:hint="eastAsia" w:ascii="Times New Roman" w:hAnsi="Times New Roman" w:eastAsia="宋体" w:cs="Times New Roman"/>
          <w:color w:val="0000FF"/>
          <w:sz w:val="24"/>
          <w:lang w:val="en-US" w:eastAsia="zh-CN"/>
        </w:rPr>
        <w:t>8</w:t>
      </w:r>
      <w:r>
        <w:rPr>
          <w:rFonts w:hint="eastAsia" w:ascii="Times New Roman" w:hAnsi="Times New Roman" w:eastAsia="宋体" w:cs="Times New Roman"/>
          <w:color w:val="0000FF"/>
          <w:sz w:val="24"/>
        </w:rPr>
        <w:t>日</w:t>
      </w:r>
      <w:r>
        <w:rPr>
          <w:color w:val="0000FF"/>
          <w:spacing w:val="-32"/>
        </w:rPr>
        <w:t>，分</w:t>
      </w:r>
      <w:r>
        <w:rPr>
          <w:color w:val="0000FF"/>
          <w:spacing w:val="3"/>
        </w:rPr>
        <w:t>别对</w:t>
      </w:r>
      <w:r>
        <w:rPr>
          <w:rFonts w:hint="eastAsia"/>
          <w:color w:val="0000FF"/>
          <w:spacing w:val="3"/>
          <w:lang w:val="en-US" w:eastAsia="zh-CN"/>
        </w:rPr>
        <w:t>项目</w:t>
      </w:r>
      <w:r>
        <w:rPr>
          <w:color w:val="0000FF"/>
          <w:spacing w:val="3"/>
        </w:rPr>
        <w:t>区上风向村庄</w:t>
      </w:r>
      <w:r>
        <w:rPr>
          <w:color w:val="0000FF"/>
        </w:rPr>
        <w:t>（</w:t>
      </w:r>
      <w:r>
        <w:rPr>
          <w:rFonts w:hint="eastAsia"/>
          <w:color w:val="0000FF"/>
          <w:spacing w:val="3"/>
          <w:lang w:val="en-US" w:eastAsia="zh-CN"/>
        </w:rPr>
        <w:t>孜热普夏提</w:t>
      </w:r>
      <w:r>
        <w:rPr>
          <w:color w:val="0000FF"/>
          <w:spacing w:val="3"/>
        </w:rPr>
        <w:t>村</w:t>
      </w:r>
      <w:r>
        <w:rPr>
          <w:color w:val="0000FF"/>
          <w:spacing w:val="4"/>
        </w:rPr>
        <w:t>）</w:t>
      </w:r>
      <w:r>
        <w:rPr>
          <w:color w:val="0000FF"/>
          <w:spacing w:val="-7"/>
        </w:rPr>
        <w:t>和下风向处</w:t>
      </w:r>
      <w:r>
        <w:rPr>
          <w:rFonts w:ascii="Times New Roman" w:eastAsia="Times New Roman"/>
          <w:color w:val="0000FF"/>
        </w:rPr>
        <w:t>2</w:t>
      </w:r>
      <w:r>
        <w:rPr>
          <w:color w:val="0000FF"/>
          <w:spacing w:val="1"/>
        </w:rPr>
        <w:t>个监测点的特征污染物</w:t>
      </w:r>
      <w:r>
        <w:rPr>
          <w:rFonts w:ascii="Times New Roman" w:eastAsia="Times New Roman"/>
          <w:color w:val="0000FF"/>
          <w:position w:val="2"/>
        </w:rPr>
        <w:t>NH</w:t>
      </w:r>
      <w:r>
        <w:rPr>
          <w:rFonts w:ascii="Times New Roman" w:eastAsia="Times New Roman"/>
          <w:color w:val="0000FF"/>
          <w:position w:val="2"/>
          <w:vertAlign w:val="subscript"/>
        </w:rPr>
        <w:t>3</w:t>
      </w:r>
      <w:r>
        <w:rPr>
          <w:color w:val="0000FF"/>
          <w:spacing w:val="-30"/>
          <w:position w:val="2"/>
          <w:vertAlign w:val="baseline"/>
        </w:rPr>
        <w:t>和</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spacing w:val="-10"/>
          <w:position w:val="2"/>
          <w:vertAlign w:val="baseline"/>
        </w:rPr>
        <w:t>进行监测，监测结果显示，</w:t>
      </w:r>
      <w:r>
        <w:rPr>
          <w:rFonts w:ascii="Times New Roman" w:eastAsia="Times New Roman"/>
          <w:color w:val="0000FF"/>
          <w:spacing w:val="-27"/>
          <w:position w:val="2"/>
          <w:vertAlign w:val="baseline"/>
        </w:rPr>
        <w:t>2</w:t>
      </w:r>
      <w:r>
        <w:rPr>
          <w:color w:val="0000FF"/>
          <w:spacing w:val="-12"/>
          <w:position w:val="2"/>
          <w:vertAlign w:val="baseline"/>
        </w:rPr>
        <w:t>个监测点</w:t>
      </w:r>
      <w:r>
        <w:rPr>
          <w:rFonts w:ascii="Times New Roman" w:eastAsia="Times New Roman"/>
          <w:color w:val="0000FF"/>
          <w:position w:val="2"/>
          <w:vertAlign w:val="baseline"/>
        </w:rPr>
        <w:t>NH</w:t>
      </w:r>
      <w:r>
        <w:rPr>
          <w:rFonts w:ascii="Times New Roman" w:eastAsia="Times New Roman"/>
          <w:color w:val="0000FF"/>
          <w:position w:val="2"/>
          <w:vertAlign w:val="subscript"/>
        </w:rPr>
        <w:t>3</w:t>
      </w:r>
      <w:r>
        <w:rPr>
          <w:color w:val="0000FF"/>
          <w:spacing w:val="-30"/>
          <w:position w:val="2"/>
          <w:vertAlign w:val="baseline"/>
        </w:rPr>
        <w:t>和</w:t>
      </w:r>
      <w:r>
        <w:rPr>
          <w:rFonts w:ascii="Times New Roman" w:eastAsia="Times New Roman"/>
          <w:color w:val="0000FF"/>
          <w:position w:val="2"/>
          <w:vertAlign w:val="baseline"/>
        </w:rPr>
        <w:t>H</w:t>
      </w:r>
      <w:r>
        <w:rPr>
          <w:rFonts w:ascii="Times New Roman" w:eastAsia="Times New Roman"/>
          <w:color w:val="0000FF"/>
          <w:position w:val="2"/>
          <w:vertAlign w:val="subscript"/>
        </w:rPr>
        <w:t>2</w:t>
      </w:r>
      <w:r>
        <w:rPr>
          <w:rFonts w:ascii="Times New Roman" w:eastAsia="Times New Roman"/>
          <w:color w:val="0000FF"/>
          <w:position w:val="2"/>
          <w:vertAlign w:val="baseline"/>
        </w:rPr>
        <w:t>S</w:t>
      </w:r>
      <w:r>
        <w:rPr>
          <w:color w:val="0000FF"/>
          <w:position w:val="2"/>
          <w:vertAlign w:val="baseline"/>
        </w:rPr>
        <w:t>的监测浓度均低于</w:t>
      </w:r>
      <w:r>
        <w:rPr>
          <w:color w:val="0000FF"/>
          <w:spacing w:val="9"/>
        </w:rPr>
        <w:t>《环境影响评价技术导则</w:t>
      </w:r>
      <w:r>
        <w:rPr>
          <w:rFonts w:ascii="Times New Roman" w:hAnsi="Times New Roman" w:eastAsia="Times New Roman"/>
          <w:color w:val="0000FF"/>
          <w:spacing w:val="11"/>
        </w:rPr>
        <w:t>·</w:t>
      </w:r>
      <w:r>
        <w:rPr>
          <w:color w:val="0000FF"/>
          <w:spacing w:val="10"/>
        </w:rPr>
        <w:t>大气环境》</w:t>
      </w:r>
      <w:r>
        <w:rPr>
          <w:color w:val="0000FF"/>
          <w:spacing w:val="2"/>
        </w:rPr>
        <w:t>（</w:t>
      </w:r>
      <w:r>
        <w:rPr>
          <w:rFonts w:ascii="Times New Roman" w:hAnsi="Times New Roman" w:eastAsia="Times New Roman"/>
          <w:color w:val="0000FF"/>
          <w:spacing w:val="2"/>
        </w:rPr>
        <w:t>HJ2.2-2018</w:t>
      </w:r>
      <w:r>
        <w:rPr>
          <w:color w:val="0000FF"/>
          <w:spacing w:val="2"/>
        </w:rPr>
        <w:t>）</w:t>
      </w:r>
      <w:r>
        <w:rPr>
          <w:color w:val="0000FF"/>
          <w:spacing w:val="-12"/>
        </w:rPr>
        <w:t>附录</w:t>
      </w:r>
      <w:r>
        <w:rPr>
          <w:rFonts w:ascii="Times New Roman" w:hAnsi="Times New Roman" w:eastAsia="Times New Roman"/>
          <w:color w:val="0000FF"/>
        </w:rPr>
        <w:t>D</w:t>
      </w:r>
      <w:r>
        <w:rPr>
          <w:color w:val="0000FF"/>
          <w:spacing w:val="8"/>
        </w:rPr>
        <w:t>中最高容许浓度</w:t>
      </w:r>
      <w:r>
        <w:rPr>
          <w:rFonts w:ascii="Times New Roman" w:hAnsi="Times New Roman" w:eastAsia="Times New Roman"/>
          <w:color w:val="0000FF"/>
          <w:spacing w:val="8"/>
          <w:position w:val="2"/>
        </w:rPr>
        <w:t>200μg/m</w:t>
      </w:r>
      <w:r>
        <w:rPr>
          <w:rFonts w:ascii="Times New Roman" w:hAnsi="Times New Roman" w:eastAsia="Times New Roman"/>
          <w:color w:val="0000FF"/>
          <w:spacing w:val="8"/>
          <w:position w:val="2"/>
          <w:vertAlign w:val="superscript"/>
        </w:rPr>
        <w:t>3</w:t>
      </w:r>
      <w:r>
        <w:rPr>
          <w:color w:val="0000FF"/>
          <w:spacing w:val="-28"/>
          <w:position w:val="2"/>
          <w:vertAlign w:val="baseline"/>
        </w:rPr>
        <w:t>和</w:t>
      </w:r>
      <w:r>
        <w:rPr>
          <w:rFonts w:ascii="Times New Roman" w:hAnsi="Times New Roman" w:eastAsia="Times New Roman"/>
          <w:color w:val="0000FF"/>
          <w:position w:val="2"/>
          <w:vertAlign w:val="baseline"/>
        </w:rPr>
        <w:t>10μg/m</w:t>
      </w:r>
      <w:r>
        <w:rPr>
          <w:rFonts w:ascii="Times New Roman" w:hAnsi="Times New Roman" w:eastAsia="Times New Roman"/>
          <w:color w:val="0000FF"/>
          <w:position w:val="2"/>
          <w:vertAlign w:val="superscript"/>
        </w:rPr>
        <w:t>3</w:t>
      </w:r>
      <w:r>
        <w:rPr>
          <w:color w:val="0000FF"/>
          <w:spacing w:val="-3"/>
          <w:position w:val="2"/>
          <w:vertAlign w:val="baseline"/>
        </w:rPr>
        <w:t>限值要求，说明项目所在区域环境空气中的</w:t>
      </w:r>
      <w:r>
        <w:rPr>
          <w:rFonts w:ascii="Times New Roman" w:hAnsi="Times New Roman" w:eastAsia="Times New Roman"/>
          <w:color w:val="0000FF"/>
          <w:position w:val="2"/>
          <w:vertAlign w:val="baseline"/>
        </w:rPr>
        <w:t>NH</w:t>
      </w:r>
      <w:r>
        <w:rPr>
          <w:rFonts w:ascii="Times New Roman" w:hAnsi="Times New Roman" w:eastAsia="Times New Roman"/>
          <w:color w:val="0000FF"/>
          <w:position w:val="2"/>
          <w:vertAlign w:val="subscript"/>
        </w:rPr>
        <w:t>3</w:t>
      </w:r>
      <w:r>
        <w:rPr>
          <w:color w:val="0000FF"/>
          <w:spacing w:val="-28"/>
          <w:position w:val="2"/>
          <w:vertAlign w:val="baseline"/>
        </w:rPr>
        <w:t>和</w:t>
      </w:r>
      <w:r>
        <w:rPr>
          <w:rFonts w:ascii="Times New Roman" w:hAnsi="Times New Roman" w:eastAsia="Times New Roman"/>
          <w:color w:val="0000FF"/>
          <w:position w:val="2"/>
          <w:vertAlign w:val="baseline"/>
        </w:rPr>
        <w:t>H</w:t>
      </w:r>
      <w:r>
        <w:rPr>
          <w:rFonts w:ascii="Times New Roman" w:hAnsi="Times New Roman" w:eastAsia="Times New Roman"/>
          <w:color w:val="0000FF"/>
          <w:position w:val="2"/>
          <w:vertAlign w:val="subscript"/>
        </w:rPr>
        <w:t>2</w:t>
      </w:r>
      <w:r>
        <w:rPr>
          <w:rFonts w:ascii="Times New Roman" w:hAnsi="Times New Roman" w:eastAsia="Times New Roman"/>
          <w:color w:val="0000FF"/>
          <w:position w:val="2"/>
          <w:vertAlign w:val="baseline"/>
        </w:rPr>
        <w:t>S</w:t>
      </w:r>
      <w:r>
        <w:rPr>
          <w:color w:val="0000FF"/>
          <w:position w:val="2"/>
          <w:vertAlign w:val="baseline"/>
        </w:rPr>
        <w:t>本</w:t>
      </w:r>
      <w:r>
        <w:rPr>
          <w:color w:val="0000FF"/>
          <w:vertAlign w:val="baseline"/>
        </w:rPr>
        <w:t>底值达标，环境空气质量良好。</w:t>
      </w:r>
    </w:p>
    <w:p>
      <w:pPr>
        <w:pStyle w:val="5"/>
        <w:numPr>
          <w:ilvl w:val="2"/>
          <w:numId w:val="83"/>
        </w:numPr>
        <w:tabs>
          <w:tab w:val="left" w:pos="921"/>
        </w:tabs>
        <w:spacing w:before="120" w:after="0" w:line="240" w:lineRule="auto"/>
        <w:ind w:left="920" w:right="0" w:hanging="701"/>
        <w:jc w:val="left"/>
        <w:outlineLvl w:val="2"/>
      </w:pPr>
      <w:bookmarkStart w:id="514" w:name="9.3.2 地下水环境环境质量现状"/>
      <w:bookmarkEnd w:id="514"/>
      <w:bookmarkStart w:id="515" w:name="9.3.2 地下水环境环境质量现状"/>
      <w:bookmarkEnd w:id="515"/>
      <w:bookmarkStart w:id="516" w:name="_Toc7992"/>
      <w:r>
        <w:t>地下水环境环境质量现状</w:t>
      </w:r>
      <w:bookmarkEnd w:id="516"/>
    </w:p>
    <w:p>
      <w:pPr>
        <w:spacing w:line="360" w:lineRule="auto"/>
        <w:ind w:firstLine="464" w:firstLineChars="200"/>
        <w:jc w:val="both"/>
        <w:rPr>
          <w:color w:val="0000FF"/>
          <w:sz w:val="24"/>
          <w:szCs w:val="24"/>
        </w:rPr>
      </w:pPr>
      <w:r>
        <w:rPr>
          <w:color w:val="0000FF"/>
          <w:spacing w:val="-4"/>
          <w:sz w:val="24"/>
          <w:szCs w:val="24"/>
        </w:rPr>
        <w:t>本次委托新</w:t>
      </w:r>
      <w:r>
        <w:rPr>
          <w:rFonts w:hint="eastAsia" w:ascii="Times New Roman" w:hAnsi="Times New Roman" w:eastAsia="宋体" w:cs="Times New Roman"/>
          <w:color w:val="0000FF"/>
          <w:sz w:val="24"/>
          <w:szCs w:val="24"/>
          <w:lang w:val="en-US" w:eastAsia="zh-CN"/>
        </w:rPr>
        <w:t>新疆环疆绿源环保科技有限公司</w:t>
      </w:r>
      <w:r>
        <w:rPr>
          <w:color w:val="0000FF"/>
          <w:spacing w:val="-4"/>
          <w:sz w:val="24"/>
          <w:szCs w:val="24"/>
        </w:rPr>
        <w:t>于</w:t>
      </w:r>
      <w:r>
        <w:rPr>
          <w:rFonts w:hint="eastAsia" w:ascii="Times New Roman" w:hAnsi="Times New Roman" w:eastAsia="宋体" w:cs="Times New Roman"/>
          <w:color w:val="0000FF"/>
          <w:sz w:val="24"/>
          <w:szCs w:val="24"/>
          <w:lang w:val="en-US" w:eastAsia="zh-CN"/>
        </w:rPr>
        <w:t>2020年1月8日-15日</w:t>
      </w:r>
      <w:r>
        <w:rPr>
          <w:color w:val="0000FF"/>
          <w:spacing w:val="-2"/>
          <w:sz w:val="24"/>
          <w:szCs w:val="24"/>
        </w:rPr>
        <w:t>对项目区项目区</w:t>
      </w:r>
      <w:r>
        <w:rPr>
          <w:rFonts w:hint="eastAsia"/>
          <w:color w:val="0000FF"/>
          <w:spacing w:val="-7"/>
          <w:sz w:val="24"/>
          <w:szCs w:val="24"/>
          <w:lang w:val="en-US" w:eastAsia="zh-CN"/>
        </w:rPr>
        <w:t>地下水排水口</w:t>
      </w:r>
      <w:r>
        <w:rPr>
          <w:color w:val="0000FF"/>
          <w:spacing w:val="-7"/>
          <w:sz w:val="24"/>
          <w:szCs w:val="24"/>
        </w:rPr>
        <w:t>进行监测，监测结果可以看出，地下水监测因子中</w:t>
      </w:r>
      <w:r>
        <w:rPr>
          <w:rFonts w:hint="eastAsia" w:ascii="Times New Roman" w:hAnsi="Times New Roman" w:eastAsia="宋体" w:cs="Times New Roman"/>
          <w:color w:val="0000FF"/>
          <w:sz w:val="24"/>
          <w:szCs w:val="24"/>
          <w:lang w:val="en-US" w:eastAsia="zh-CN"/>
        </w:rPr>
        <w:t>硫酸盐</w:t>
      </w:r>
      <w:r>
        <w:rPr>
          <w:color w:val="0000FF"/>
          <w:spacing w:val="-12"/>
          <w:sz w:val="24"/>
          <w:szCs w:val="24"/>
        </w:rPr>
        <w:t>存在超标，其他监测因子均满足《地</w:t>
      </w:r>
      <w:r>
        <w:rPr>
          <w:color w:val="0000FF"/>
          <w:spacing w:val="3"/>
          <w:sz w:val="24"/>
          <w:szCs w:val="24"/>
        </w:rPr>
        <w:t>下水质量标准》</w:t>
      </w:r>
      <w:r>
        <w:rPr>
          <w:color w:val="0000FF"/>
          <w:sz w:val="24"/>
          <w:szCs w:val="24"/>
        </w:rPr>
        <w:t>（</w:t>
      </w:r>
      <w:r>
        <w:rPr>
          <w:rFonts w:ascii="Times New Roman" w:hAnsi="Times New Roman" w:eastAsia="Times New Roman"/>
          <w:color w:val="0000FF"/>
          <w:sz w:val="24"/>
          <w:szCs w:val="24"/>
        </w:rPr>
        <w:t>GB/T14848-2017</w:t>
      </w:r>
      <w:r>
        <w:rPr>
          <w:color w:val="0000FF"/>
          <w:sz w:val="24"/>
          <w:szCs w:val="24"/>
        </w:rPr>
        <w:t>）中的Ⅲ类标准要求。</w:t>
      </w:r>
      <w:r>
        <w:rPr>
          <w:rFonts w:hint="eastAsia" w:ascii="Times New Roman" w:hAnsi="Times New Roman" w:eastAsia="宋体" w:cs="Times New Roman"/>
          <w:color w:val="0000FF"/>
          <w:sz w:val="24"/>
          <w:szCs w:val="24"/>
          <w:lang w:val="en-US" w:eastAsia="zh-CN"/>
        </w:rPr>
        <w:t>硫酸盐出现超标</w:t>
      </w:r>
      <w:r>
        <w:rPr>
          <w:rFonts w:hint="eastAsia" w:ascii="Times New Roman" w:hAnsi="Times New Roman" w:cs="Times New Roman"/>
          <w:color w:val="0000FF"/>
          <w:sz w:val="24"/>
          <w:szCs w:val="24"/>
          <w:lang w:val="en-US" w:eastAsia="zh-CN"/>
        </w:rPr>
        <w:t>，超标原因是南疆地区土壤盐碱化程度高，故导致地下水硫酸盐出现超标。</w:t>
      </w:r>
      <w:r>
        <w:rPr>
          <w:color w:val="0000FF"/>
          <w:spacing w:val="-10"/>
          <w:sz w:val="24"/>
          <w:szCs w:val="24"/>
        </w:rPr>
        <w:t>不是污染所致。项目区地下</w:t>
      </w:r>
      <w:r>
        <w:rPr>
          <w:color w:val="0000FF"/>
          <w:sz w:val="24"/>
          <w:szCs w:val="24"/>
        </w:rPr>
        <w:t>水环境质量一般。</w:t>
      </w:r>
    </w:p>
    <w:p>
      <w:pPr>
        <w:pStyle w:val="5"/>
        <w:numPr>
          <w:ilvl w:val="2"/>
          <w:numId w:val="83"/>
        </w:numPr>
        <w:tabs>
          <w:tab w:val="left" w:pos="921"/>
        </w:tabs>
        <w:spacing w:before="190" w:after="0" w:line="240" w:lineRule="auto"/>
        <w:ind w:left="920" w:right="0" w:hanging="701"/>
        <w:jc w:val="left"/>
        <w:outlineLvl w:val="2"/>
      </w:pPr>
      <w:bookmarkStart w:id="517" w:name="9.3.3 声环境"/>
      <w:bookmarkEnd w:id="517"/>
      <w:bookmarkStart w:id="518" w:name="9.3.3 声环境"/>
      <w:bookmarkEnd w:id="518"/>
      <w:bookmarkStart w:id="519" w:name="_Toc12117"/>
      <w:r>
        <w:t>声环境</w:t>
      </w:r>
      <w:bookmarkEnd w:id="519"/>
    </w:p>
    <w:p>
      <w:pPr>
        <w:pStyle w:val="7"/>
        <w:spacing w:before="7"/>
        <w:ind w:left="0"/>
        <w:rPr>
          <w:b/>
          <w:sz w:val="21"/>
        </w:rPr>
      </w:pPr>
    </w:p>
    <w:p>
      <w:pPr>
        <w:pStyle w:val="7"/>
        <w:spacing w:line="364" w:lineRule="auto"/>
        <w:ind w:left="220" w:right="225" w:firstLine="480"/>
        <w:rPr>
          <w:color w:val="0000FF"/>
        </w:rPr>
      </w:pPr>
      <w:r>
        <w:rPr>
          <w:color w:val="0000FF"/>
          <w:spacing w:val="-1"/>
        </w:rPr>
        <w:t>本次委托</w:t>
      </w:r>
      <w:r>
        <w:rPr>
          <w:rFonts w:hint="eastAsia" w:ascii="Times New Roman" w:hAnsi="Times New Roman" w:eastAsia="宋体" w:cs="Times New Roman"/>
          <w:color w:val="0000FF"/>
          <w:sz w:val="24"/>
          <w:lang w:val="en-US" w:eastAsia="zh-CN"/>
        </w:rPr>
        <w:t>新疆环疆绿源环保科技有限公司</w:t>
      </w:r>
      <w:r>
        <w:rPr>
          <w:color w:val="0000FF"/>
          <w:spacing w:val="-1"/>
        </w:rPr>
        <w:t>进行了声环境质量现状的实地监测。</w:t>
      </w:r>
      <w:r>
        <w:rPr>
          <w:color w:val="0000FF"/>
          <w:spacing w:val="-10"/>
        </w:rPr>
        <w:t>监测时间为</w:t>
      </w:r>
      <w:r>
        <w:rPr>
          <w:rFonts w:ascii="Times New Roman" w:eastAsia="Times New Roman"/>
          <w:color w:val="0000FF"/>
        </w:rPr>
        <w:t>20</w:t>
      </w:r>
      <w:r>
        <w:rPr>
          <w:rFonts w:hint="eastAsia" w:ascii="Times New Roman" w:eastAsia="宋体"/>
          <w:color w:val="0000FF"/>
          <w:lang w:val="en-US" w:eastAsia="zh-CN"/>
        </w:rPr>
        <w:t>20</w:t>
      </w:r>
      <w:r>
        <w:rPr>
          <w:color w:val="0000FF"/>
          <w:spacing w:val="-30"/>
        </w:rPr>
        <w:t>年</w:t>
      </w:r>
      <w:r>
        <w:rPr>
          <w:rFonts w:hint="eastAsia"/>
          <w:color w:val="0000FF"/>
          <w:spacing w:val="-30"/>
          <w:lang w:val="en-US" w:eastAsia="zh-CN"/>
        </w:rPr>
        <w:t>1</w:t>
      </w:r>
      <w:r>
        <w:rPr>
          <w:color w:val="0000FF"/>
          <w:spacing w:val="-29"/>
        </w:rPr>
        <w:t>月</w:t>
      </w:r>
      <w:r>
        <w:rPr>
          <w:rFonts w:hint="eastAsia"/>
          <w:color w:val="0000FF"/>
          <w:spacing w:val="-29"/>
          <w:lang w:val="en-US" w:eastAsia="zh-CN"/>
        </w:rPr>
        <w:t>4</w:t>
      </w:r>
      <w:r>
        <w:rPr>
          <w:color w:val="0000FF"/>
          <w:spacing w:val="-19"/>
        </w:rPr>
        <w:t>日至</w:t>
      </w:r>
      <w:r>
        <w:rPr>
          <w:rFonts w:hint="eastAsia"/>
          <w:color w:val="0000FF"/>
          <w:spacing w:val="-19"/>
          <w:lang w:val="en-US" w:eastAsia="zh-CN"/>
        </w:rPr>
        <w:t>1</w:t>
      </w:r>
      <w:r>
        <w:rPr>
          <w:color w:val="0000FF"/>
          <w:spacing w:val="-29"/>
        </w:rPr>
        <w:t>月</w:t>
      </w:r>
      <w:r>
        <w:rPr>
          <w:rFonts w:hint="eastAsia"/>
          <w:color w:val="0000FF"/>
          <w:spacing w:val="-29"/>
          <w:lang w:val="en-US" w:eastAsia="zh-CN"/>
        </w:rPr>
        <w:t>5</w:t>
      </w:r>
      <w:r>
        <w:rPr>
          <w:color w:val="0000FF"/>
        </w:rPr>
        <w:t>日，分昼间和夜间两时段监测。检测结果</w:t>
      </w:r>
      <w:r>
        <w:rPr>
          <w:color w:val="0000FF"/>
          <w:spacing w:val="-4"/>
        </w:rPr>
        <w:t>表明，本项目</w:t>
      </w:r>
      <w:r>
        <w:rPr>
          <w:rFonts w:ascii="Times New Roman" w:eastAsia="Times New Roman"/>
          <w:color w:val="0000FF"/>
        </w:rPr>
        <w:t>4</w:t>
      </w:r>
      <w:r>
        <w:rPr>
          <w:color w:val="0000FF"/>
          <w:spacing w:val="26"/>
        </w:rPr>
        <w:t>个厂界各监测点噪声监测值均小于《声环境质量标准》</w:t>
      </w:r>
      <w:r>
        <w:rPr>
          <w:color w:val="0000FF"/>
        </w:rPr>
        <w:t>（</w:t>
      </w:r>
      <w:r>
        <w:rPr>
          <w:rFonts w:ascii="Times New Roman" w:eastAsia="Times New Roman"/>
          <w:color w:val="0000FF"/>
        </w:rPr>
        <w:t>GB3096-2008</w:t>
      </w:r>
      <w:r>
        <w:rPr>
          <w:color w:val="0000FF"/>
        </w:rPr>
        <w:t>）</w:t>
      </w:r>
      <w:r>
        <w:rPr>
          <w:color w:val="0000FF"/>
          <w:spacing w:val="-21"/>
        </w:rPr>
        <w:t>中的</w:t>
      </w:r>
      <w:r>
        <w:rPr>
          <w:rFonts w:ascii="Times New Roman" w:eastAsia="Times New Roman"/>
          <w:color w:val="0000FF"/>
        </w:rPr>
        <w:t>2</w:t>
      </w:r>
      <w:r>
        <w:rPr>
          <w:color w:val="0000FF"/>
          <w:spacing w:val="-7"/>
        </w:rPr>
        <w:t>类标准限值，声环境质量现状满足</w:t>
      </w:r>
      <w:r>
        <w:rPr>
          <w:rFonts w:ascii="Times New Roman" w:eastAsia="Times New Roman"/>
          <w:color w:val="0000FF"/>
        </w:rPr>
        <w:t>2</w:t>
      </w:r>
      <w:r>
        <w:rPr>
          <w:color w:val="0000FF"/>
          <w:spacing w:val="-2"/>
        </w:rPr>
        <w:t>类声环境功能区要</w:t>
      </w:r>
      <w:r>
        <w:rPr>
          <w:color w:val="0000FF"/>
        </w:rPr>
        <w:t>求，声环境质量现状较好。</w:t>
      </w:r>
    </w:p>
    <w:p>
      <w:pPr>
        <w:pStyle w:val="5"/>
        <w:numPr>
          <w:ilvl w:val="2"/>
          <w:numId w:val="83"/>
        </w:numPr>
        <w:tabs>
          <w:tab w:val="left" w:pos="921"/>
        </w:tabs>
        <w:spacing w:before="52" w:after="0" w:line="240" w:lineRule="auto"/>
        <w:ind w:left="920" w:right="0" w:hanging="701"/>
        <w:jc w:val="left"/>
        <w:outlineLvl w:val="2"/>
      </w:pPr>
      <w:bookmarkStart w:id="520" w:name="_Toc2941"/>
      <w:r>
        <w:t>土壤环境</w:t>
      </w:r>
      <w:bookmarkEnd w:id="520"/>
    </w:p>
    <w:p>
      <w:pPr>
        <w:pStyle w:val="7"/>
        <w:spacing w:before="90" w:line="364" w:lineRule="auto"/>
        <w:ind w:left="220" w:right="243" w:firstLine="480"/>
        <w:jc w:val="both"/>
        <w:rPr>
          <w:color w:val="0000FF"/>
        </w:rPr>
      </w:pPr>
      <w:r>
        <w:rPr>
          <w:color w:val="0000FF"/>
          <w:spacing w:val="-4"/>
        </w:rPr>
        <w:t>本次委托新疆</w:t>
      </w:r>
      <w:r>
        <w:rPr>
          <w:rFonts w:hint="eastAsia"/>
          <w:color w:val="0000FF"/>
          <w:spacing w:val="-4"/>
          <w:lang w:val="en-US" w:eastAsia="zh-CN"/>
        </w:rPr>
        <w:t>环疆绿源环保科技</w:t>
      </w:r>
      <w:r>
        <w:rPr>
          <w:color w:val="0000FF"/>
          <w:spacing w:val="-4"/>
        </w:rPr>
        <w:t>有限公司于</w:t>
      </w:r>
      <w:r>
        <w:rPr>
          <w:rFonts w:ascii="Times New Roman" w:eastAsia="Times New Roman"/>
          <w:color w:val="0000FF"/>
        </w:rPr>
        <w:t>20</w:t>
      </w:r>
      <w:r>
        <w:rPr>
          <w:rFonts w:hint="eastAsia" w:ascii="Times New Roman" w:eastAsia="宋体"/>
          <w:color w:val="0000FF"/>
          <w:lang w:val="en-US" w:eastAsia="zh-CN"/>
        </w:rPr>
        <w:t>20</w:t>
      </w:r>
      <w:r>
        <w:rPr>
          <w:color w:val="0000FF"/>
          <w:spacing w:val="-38"/>
        </w:rPr>
        <w:t>年</w:t>
      </w:r>
      <w:r>
        <w:rPr>
          <w:rFonts w:hint="eastAsia"/>
          <w:color w:val="0000FF"/>
          <w:spacing w:val="-38"/>
          <w:lang w:val="en-US" w:eastAsia="zh-CN"/>
        </w:rPr>
        <w:t>1</w:t>
      </w:r>
      <w:r>
        <w:rPr>
          <w:color w:val="0000FF"/>
          <w:spacing w:val="-38"/>
        </w:rPr>
        <w:t>月</w:t>
      </w:r>
      <w:r>
        <w:rPr>
          <w:rFonts w:hint="eastAsia" w:ascii="Times New Roman" w:eastAsia="宋体"/>
          <w:color w:val="0000FF"/>
          <w:lang w:val="en-US" w:eastAsia="zh-CN"/>
        </w:rPr>
        <w:t>8</w:t>
      </w:r>
      <w:r>
        <w:rPr>
          <w:color w:val="0000FF"/>
          <w:spacing w:val="-2"/>
        </w:rPr>
        <w:t>日在项目占地范围</w:t>
      </w:r>
      <w:r>
        <w:rPr>
          <w:color w:val="0000FF"/>
        </w:rPr>
        <w:t>内的土壤进行现场采样和检测分析，进行项目区域土壤环境质量现状评价。</w:t>
      </w:r>
    </w:p>
    <w:p>
      <w:pPr>
        <w:pStyle w:val="7"/>
        <w:spacing w:before="90" w:line="364" w:lineRule="auto"/>
        <w:ind w:left="220" w:right="243" w:firstLine="480"/>
        <w:jc w:val="both"/>
        <w:rPr>
          <w:color w:val="0000FF"/>
        </w:rPr>
      </w:pPr>
      <w:r>
        <w:rPr>
          <w:color w:val="0000FF"/>
          <w:spacing w:val="-5"/>
        </w:rPr>
        <w:t>在项目占地范围内设</w:t>
      </w:r>
      <w:r>
        <w:rPr>
          <w:rFonts w:ascii="Times New Roman" w:eastAsia="Times New Roman"/>
          <w:color w:val="0000FF"/>
        </w:rPr>
        <w:t>3</w:t>
      </w:r>
      <w:r>
        <w:rPr>
          <w:color w:val="0000FF"/>
          <w:spacing w:val="-4"/>
        </w:rPr>
        <w:t>个表层样监测点。其中监测点</w:t>
      </w:r>
      <w:r>
        <w:rPr>
          <w:rFonts w:ascii="Times New Roman" w:eastAsia="Times New Roman"/>
          <w:color w:val="0000FF"/>
        </w:rPr>
        <w:t>1#</w:t>
      </w:r>
      <w:r>
        <w:rPr>
          <w:rFonts w:hint="eastAsia" w:ascii="Times New Roman" w:eastAsia="宋体"/>
          <w:color w:val="0000FF"/>
          <w:lang w:val="en-US" w:eastAsia="zh-CN"/>
        </w:rPr>
        <w:t>2#3#</w:t>
      </w:r>
      <w:r>
        <w:rPr>
          <w:color w:val="0000FF"/>
        </w:rPr>
        <w:t>检测《畜禽养殖产地评价规范》（</w:t>
      </w:r>
      <w:r>
        <w:rPr>
          <w:rFonts w:ascii="Times New Roman" w:eastAsia="Times New Roman"/>
          <w:color w:val="0000FF"/>
        </w:rPr>
        <w:t>HJ568-2010</w:t>
      </w:r>
      <w:r>
        <w:rPr>
          <w:color w:val="0000FF"/>
        </w:rPr>
        <w:t>）</w:t>
      </w:r>
      <w:r>
        <w:rPr>
          <w:color w:val="0000FF"/>
          <w:spacing w:val="-31"/>
        </w:rPr>
        <w:t>表</w:t>
      </w:r>
      <w:r>
        <w:rPr>
          <w:rFonts w:ascii="Times New Roman" w:eastAsia="Times New Roman"/>
          <w:color w:val="0000FF"/>
        </w:rPr>
        <w:t>4</w:t>
      </w:r>
      <w:r>
        <w:rPr>
          <w:color w:val="0000FF"/>
          <w:spacing w:val="-20"/>
        </w:rPr>
        <w:t>所列</w:t>
      </w:r>
      <w:r>
        <w:rPr>
          <w:rFonts w:ascii="Times New Roman" w:eastAsia="Times New Roman"/>
          <w:color w:val="0000FF"/>
        </w:rPr>
        <w:t>8</w:t>
      </w:r>
      <w:r>
        <w:rPr>
          <w:color w:val="0000FF"/>
          <w:spacing w:val="-10"/>
        </w:rPr>
        <w:t>项基本项及</w:t>
      </w:r>
      <w:r>
        <w:rPr>
          <w:rFonts w:ascii="Times New Roman" w:eastAsia="Times New Roman"/>
          <w:color w:val="0000FF"/>
        </w:rPr>
        <w:t>pH</w:t>
      </w:r>
      <w:r>
        <w:rPr>
          <w:color w:val="0000FF"/>
          <w:spacing w:val="-8"/>
        </w:rPr>
        <w:t>、共计</w:t>
      </w:r>
      <w:r>
        <w:rPr>
          <w:rFonts w:hint="eastAsia"/>
          <w:color w:val="0000FF"/>
          <w:spacing w:val="-8"/>
          <w:lang w:val="en-US" w:eastAsia="zh-CN"/>
        </w:rPr>
        <w:t>9</w:t>
      </w:r>
      <w:r>
        <w:rPr>
          <w:color w:val="0000FF"/>
          <w:spacing w:val="-8"/>
        </w:rPr>
        <w:t>项；</w:t>
      </w:r>
    </w:p>
    <w:p>
      <w:pPr>
        <w:pStyle w:val="7"/>
        <w:keepNext w:val="0"/>
        <w:keepLines w:val="0"/>
        <w:pageBreakBefore w:val="0"/>
        <w:widowControl w:val="0"/>
        <w:kinsoku/>
        <w:wordWrap/>
        <w:overflowPunct/>
        <w:topLinePunct w:val="0"/>
        <w:autoSpaceDE w:val="0"/>
        <w:autoSpaceDN w:val="0"/>
        <w:bidi w:val="0"/>
        <w:adjustRightInd/>
        <w:snapToGrid/>
        <w:spacing w:before="2" w:line="360" w:lineRule="auto"/>
        <w:ind w:left="567" w:right="220" w:rightChars="100" w:firstLine="480" w:firstLineChars="200"/>
        <w:jc w:val="both"/>
        <w:textAlignment w:val="auto"/>
        <w:rPr>
          <w:color w:val="0000FF"/>
        </w:rPr>
      </w:pPr>
      <w:r>
        <w:rPr>
          <w:color w:val="0000FF"/>
        </w:rPr>
        <w:t>由表</w:t>
      </w:r>
      <w:r>
        <w:rPr>
          <w:rFonts w:ascii="Times New Roman" w:eastAsia="Times New Roman"/>
          <w:color w:val="0000FF"/>
        </w:rPr>
        <w:t>4.2</w:t>
      </w:r>
      <w:r>
        <w:rPr>
          <w:rFonts w:hint="eastAsia" w:ascii="Times New Roman" w:eastAsia="宋体"/>
          <w:color w:val="0000FF"/>
          <w:lang w:val="en-US" w:eastAsia="zh-CN"/>
        </w:rPr>
        <w:t>.9</w:t>
      </w:r>
      <w:r>
        <w:rPr>
          <w:color w:val="0000FF"/>
        </w:rPr>
        <w:t>监测结果可以看出，</w:t>
      </w:r>
      <w:r>
        <w:rPr>
          <w:rFonts w:ascii="Times New Roman" w:eastAsia="Times New Roman"/>
          <w:color w:val="0000FF"/>
        </w:rPr>
        <w:t>2#</w:t>
      </w:r>
      <w:r>
        <w:rPr>
          <w:color w:val="0000FF"/>
        </w:rPr>
        <w:t>监测的</w:t>
      </w:r>
      <w:r>
        <w:rPr>
          <w:rFonts w:ascii="Times New Roman" w:eastAsia="Times New Roman"/>
          <w:color w:val="0000FF"/>
        </w:rPr>
        <w:t>8</w:t>
      </w:r>
      <w:r>
        <w:rPr>
          <w:color w:val="0000FF"/>
        </w:rPr>
        <w:t>项土壤指标的监测浓度和</w:t>
      </w:r>
      <w:r>
        <w:rPr>
          <w:rFonts w:ascii="Times New Roman" w:eastAsia="Times New Roman"/>
          <w:color w:val="0000FF"/>
        </w:rPr>
        <w:t>1#</w:t>
      </w:r>
      <w:r>
        <w:rPr>
          <w:color w:val="0000FF"/>
        </w:rPr>
        <w:t>、</w:t>
      </w:r>
      <w:r>
        <w:rPr>
          <w:rFonts w:ascii="Times New Roman" w:eastAsia="Times New Roman"/>
          <w:color w:val="0000FF"/>
        </w:rPr>
        <w:t>3#</w:t>
      </w:r>
      <w:r>
        <w:rPr>
          <w:color w:val="0000FF"/>
          <w:spacing w:val="-5"/>
        </w:rPr>
        <w:t>监测的锌浓度均满足《畜禽养殖产地环境评价规范》</w:t>
      </w:r>
      <w:r>
        <w:rPr>
          <w:color w:val="0000FF"/>
        </w:rPr>
        <w:t>（</w:t>
      </w:r>
      <w:r>
        <w:rPr>
          <w:rFonts w:ascii="Times New Roman" w:eastAsia="Times New Roman"/>
          <w:color w:val="0000FF"/>
        </w:rPr>
        <w:t>HJ568-2010</w:t>
      </w:r>
      <w:r>
        <w:rPr>
          <w:color w:val="0000FF"/>
        </w:rPr>
        <w:t>）</w:t>
      </w:r>
      <w:r>
        <w:rPr>
          <w:color w:val="0000FF"/>
          <w:spacing w:val="-23"/>
        </w:rPr>
        <w:t>中表</w:t>
      </w:r>
      <w:r>
        <w:rPr>
          <w:rFonts w:ascii="Times New Roman" w:eastAsia="Times New Roman"/>
          <w:color w:val="0000FF"/>
        </w:rPr>
        <w:t>4</w:t>
      </w:r>
      <w:r>
        <w:rPr>
          <w:color w:val="0000FF"/>
          <w:spacing w:val="-14"/>
        </w:rPr>
        <w:t>养</w:t>
      </w:r>
      <w:r>
        <w:rPr>
          <w:color w:val="0000FF"/>
        </w:rPr>
        <w:t>殖场土壤环境质量评价指标限值。</w:t>
      </w:r>
    </w:p>
    <w:p>
      <w:pPr>
        <w:pStyle w:val="7"/>
        <w:spacing w:before="1"/>
        <w:ind w:left="700"/>
        <w:rPr>
          <w:color w:val="0000FF"/>
        </w:rPr>
      </w:pPr>
      <w:r>
        <w:rPr>
          <w:color w:val="0000FF"/>
        </w:rPr>
        <w:t>可见，项目占地范围内土壤环境质量较好。</w:t>
      </w:r>
    </w:p>
    <w:p>
      <w:pPr>
        <w:pStyle w:val="7"/>
        <w:spacing w:before="6"/>
        <w:ind w:left="0"/>
        <w:rPr>
          <w:color w:val="0000FF"/>
        </w:rPr>
      </w:pPr>
    </w:p>
    <w:p>
      <w:pPr>
        <w:pStyle w:val="4"/>
        <w:numPr>
          <w:ilvl w:val="1"/>
          <w:numId w:val="82"/>
        </w:numPr>
        <w:tabs>
          <w:tab w:val="left" w:pos="780"/>
        </w:tabs>
        <w:spacing w:before="0" w:after="0" w:line="240" w:lineRule="auto"/>
        <w:ind w:left="779" w:right="0" w:hanging="560"/>
        <w:jc w:val="left"/>
        <w:outlineLvl w:val="1"/>
      </w:pPr>
      <w:bookmarkStart w:id="521" w:name="_bookmark43"/>
      <w:bookmarkEnd w:id="521"/>
      <w:bookmarkStart w:id="522" w:name="9.4 工程分析结论"/>
      <w:bookmarkEnd w:id="522"/>
      <w:bookmarkStart w:id="523" w:name="_bookmark43"/>
      <w:bookmarkEnd w:id="523"/>
      <w:bookmarkStart w:id="524" w:name="_Toc30203"/>
      <w:r>
        <w:t>工程分析结论</w:t>
      </w:r>
      <w:bookmarkEnd w:id="524"/>
    </w:p>
    <w:p>
      <w:pPr>
        <w:pStyle w:val="7"/>
        <w:spacing w:before="6"/>
        <w:ind w:left="0"/>
        <w:rPr>
          <w:b/>
          <w:sz w:val="28"/>
        </w:rPr>
      </w:pPr>
    </w:p>
    <w:p>
      <w:pPr>
        <w:pStyle w:val="5"/>
        <w:numPr>
          <w:ilvl w:val="2"/>
          <w:numId w:val="84"/>
        </w:numPr>
        <w:tabs>
          <w:tab w:val="left" w:pos="921"/>
        </w:tabs>
        <w:spacing w:before="0" w:after="0" w:line="240" w:lineRule="auto"/>
        <w:ind w:left="920" w:right="0" w:hanging="701"/>
        <w:jc w:val="left"/>
        <w:outlineLvl w:val="2"/>
      </w:pPr>
      <w:bookmarkStart w:id="525" w:name="9.4.1 废气污染源"/>
      <w:bookmarkEnd w:id="525"/>
      <w:bookmarkStart w:id="526" w:name="9.4.1 废气污染源"/>
      <w:bookmarkEnd w:id="526"/>
      <w:bookmarkStart w:id="527" w:name="_Toc3153"/>
      <w:r>
        <w:t>废气污染源</w:t>
      </w:r>
      <w:bookmarkEnd w:id="527"/>
    </w:p>
    <w:p>
      <w:pPr>
        <w:pStyle w:val="7"/>
        <w:spacing w:before="5"/>
        <w:ind w:left="0"/>
        <w:rPr>
          <w:b/>
          <w:sz w:val="21"/>
        </w:rPr>
      </w:pPr>
    </w:p>
    <w:p>
      <w:pPr>
        <w:pStyle w:val="7"/>
        <w:spacing w:line="364" w:lineRule="auto"/>
        <w:ind w:left="220" w:right="317" w:firstLine="480"/>
      </w:pPr>
      <w:r>
        <w:rPr>
          <w:spacing w:val="-5"/>
        </w:rPr>
        <w:t>项目运营期废气污染源主要为主要为养殖区圈舍和堆肥厂的恶臭，还有病死</w:t>
      </w:r>
      <w:r>
        <w:t>羊无害化处理化制废气。</w:t>
      </w:r>
    </w:p>
    <w:p>
      <w:pPr>
        <w:pStyle w:val="7"/>
        <w:spacing w:line="362" w:lineRule="auto"/>
        <w:ind w:left="220" w:right="310" w:firstLine="480"/>
        <w:jc w:val="both"/>
      </w:pPr>
      <w:r>
        <w:rPr>
          <w:position w:val="2"/>
        </w:rPr>
        <w:t>羊舍无组织恶臭气体</w:t>
      </w:r>
      <w:r>
        <w:rPr>
          <w:rFonts w:ascii="Times New Roman" w:eastAsia="Times New Roman"/>
          <w:position w:val="2"/>
        </w:rPr>
        <w:t>NH</w:t>
      </w:r>
      <w:r>
        <w:rPr>
          <w:rFonts w:ascii="Times New Roman" w:eastAsia="Times New Roman"/>
          <w:position w:val="2"/>
          <w:vertAlign w:val="subscript"/>
        </w:rPr>
        <w:t>3</w:t>
      </w:r>
      <w:r>
        <w:rPr>
          <w:position w:val="2"/>
          <w:vertAlign w:val="baseline"/>
        </w:rPr>
        <w:t>排放量为</w:t>
      </w:r>
      <w:r>
        <w:rPr>
          <w:rFonts w:ascii="Times New Roman" w:eastAsia="Times New Roman"/>
          <w:spacing w:val="-3"/>
          <w:position w:val="2"/>
          <w:vertAlign w:val="baseline"/>
        </w:rPr>
        <w:t>0.268t/a</w:t>
      </w:r>
      <w:r>
        <w:rPr>
          <w:spacing w:val="-3"/>
          <w:position w:val="2"/>
          <w:vertAlign w:val="baseline"/>
        </w:rPr>
        <w:t>，</w:t>
      </w:r>
      <w:r>
        <w:rPr>
          <w:rFonts w:ascii="Times New Roman" w:eastAsia="Times New Roman"/>
          <w:spacing w:val="-3"/>
          <w:position w:val="2"/>
          <w:vertAlign w:val="baseline"/>
        </w:rPr>
        <w:t>H</w:t>
      </w:r>
      <w:r>
        <w:rPr>
          <w:rFonts w:ascii="Times New Roman" w:eastAsia="Times New Roman"/>
          <w:spacing w:val="-3"/>
          <w:position w:val="2"/>
          <w:vertAlign w:val="subscript"/>
        </w:rPr>
        <w:t>2</w:t>
      </w:r>
      <w:r>
        <w:rPr>
          <w:rFonts w:ascii="Times New Roman" w:eastAsia="Times New Roman"/>
          <w:spacing w:val="-3"/>
          <w:position w:val="2"/>
          <w:vertAlign w:val="baseline"/>
        </w:rPr>
        <w:t>S</w:t>
      </w:r>
      <w:r>
        <w:rPr>
          <w:position w:val="2"/>
          <w:vertAlign w:val="baseline"/>
        </w:rPr>
        <w:t>排放量为</w:t>
      </w:r>
      <w:r>
        <w:rPr>
          <w:rFonts w:ascii="Times New Roman" w:eastAsia="Times New Roman"/>
          <w:spacing w:val="-3"/>
          <w:position w:val="2"/>
          <w:vertAlign w:val="baseline"/>
        </w:rPr>
        <w:t>0.00268t/a</w:t>
      </w:r>
      <w:r>
        <w:rPr>
          <w:spacing w:val="-6"/>
          <w:position w:val="2"/>
          <w:vertAlign w:val="baseline"/>
        </w:rPr>
        <w:t>；堆肥厂</w:t>
      </w:r>
      <w:r>
        <w:rPr>
          <w:position w:val="2"/>
          <w:vertAlign w:val="baseline"/>
        </w:rPr>
        <w:t>无组织恶臭气体</w:t>
      </w:r>
      <w:r>
        <w:rPr>
          <w:rFonts w:ascii="Times New Roman" w:eastAsia="Times New Roman"/>
          <w:position w:val="2"/>
          <w:vertAlign w:val="baseline"/>
        </w:rPr>
        <w:t>NH</w:t>
      </w:r>
      <w:r>
        <w:rPr>
          <w:rFonts w:ascii="Times New Roman" w:eastAsia="Times New Roman"/>
          <w:position w:val="2"/>
          <w:vertAlign w:val="subscript"/>
        </w:rPr>
        <w:t>3</w:t>
      </w:r>
      <w:r>
        <w:rPr>
          <w:position w:val="2"/>
          <w:vertAlign w:val="baseline"/>
        </w:rPr>
        <w:t>排放量为</w:t>
      </w:r>
      <w:r>
        <w:rPr>
          <w:rFonts w:ascii="Times New Roman" w:eastAsia="Times New Roman"/>
          <w:position w:val="2"/>
          <w:vertAlign w:val="baseline"/>
        </w:rPr>
        <w:t>0.0023t/a</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排放量为</w:t>
      </w:r>
      <w:r>
        <w:rPr>
          <w:rFonts w:ascii="Times New Roman" w:eastAsia="Times New Roman"/>
          <w:position w:val="2"/>
          <w:vertAlign w:val="baseline"/>
        </w:rPr>
        <w:t>0.00019t/a</w:t>
      </w:r>
      <w:r>
        <w:rPr>
          <w:position w:val="2"/>
          <w:vertAlign w:val="baseline"/>
        </w:rPr>
        <w:t>；无害化处理化</w:t>
      </w:r>
      <w:r>
        <w:rPr>
          <w:spacing w:val="33"/>
          <w:position w:val="2"/>
          <w:vertAlign w:val="baseline"/>
        </w:rPr>
        <w:t>制废气经光解除臭装置处理后通过</w:t>
      </w:r>
      <w:r>
        <w:rPr>
          <w:rFonts w:ascii="Times New Roman" w:eastAsia="Times New Roman"/>
          <w:position w:val="2"/>
          <w:vertAlign w:val="baseline"/>
        </w:rPr>
        <w:t>15m</w:t>
      </w:r>
      <w:r>
        <w:rPr>
          <w:spacing w:val="15"/>
          <w:position w:val="2"/>
          <w:vertAlign w:val="baseline"/>
        </w:rPr>
        <w:t>高的排气筒排放，</w:t>
      </w:r>
      <w:r>
        <w:rPr>
          <w:rFonts w:ascii="Times New Roman" w:eastAsia="Times New Roman"/>
          <w:position w:val="2"/>
          <w:vertAlign w:val="baseline"/>
        </w:rPr>
        <w:t>NH</w:t>
      </w:r>
      <w:r>
        <w:rPr>
          <w:rFonts w:ascii="Times New Roman" w:eastAsia="Times New Roman"/>
          <w:position w:val="2"/>
          <w:vertAlign w:val="subscript"/>
        </w:rPr>
        <w:t>3</w:t>
      </w:r>
      <w:r>
        <w:rPr>
          <w:spacing w:val="25"/>
          <w:position w:val="2"/>
          <w:vertAlign w:val="baseline"/>
        </w:rPr>
        <w:t>排放量为</w:t>
      </w:r>
      <w:r>
        <w:rPr>
          <w:rFonts w:ascii="Times New Roman" w:eastAsia="Times New Roman"/>
          <w:spacing w:val="-1"/>
          <w:position w:val="2"/>
          <w:vertAlign w:val="baseline"/>
        </w:rPr>
        <w:t>0.01095t/a</w:t>
      </w:r>
      <w:r>
        <w:rPr>
          <w:spacing w:val="-1"/>
          <w:position w:val="2"/>
          <w:vertAlign w:val="baseline"/>
        </w:rPr>
        <w:t>，</w:t>
      </w:r>
      <w:r>
        <w:rPr>
          <w:rFonts w:ascii="Times New Roman" w:eastAsia="Times New Roman"/>
          <w:spacing w:val="-1"/>
          <w:position w:val="2"/>
          <w:vertAlign w:val="baseline"/>
        </w:rPr>
        <w:t>H</w:t>
      </w:r>
      <w:r>
        <w:rPr>
          <w:rFonts w:ascii="Times New Roman" w:eastAsia="Times New Roman"/>
          <w:spacing w:val="-1"/>
          <w:position w:val="2"/>
          <w:vertAlign w:val="subscript"/>
        </w:rPr>
        <w:t>2</w:t>
      </w:r>
      <w:r>
        <w:rPr>
          <w:rFonts w:ascii="Times New Roman" w:eastAsia="Times New Roman"/>
          <w:spacing w:val="-1"/>
          <w:position w:val="2"/>
          <w:vertAlign w:val="baseline"/>
        </w:rPr>
        <w:t>S</w:t>
      </w:r>
      <w:r>
        <w:rPr>
          <w:spacing w:val="-1"/>
          <w:position w:val="2"/>
          <w:vertAlign w:val="baseline"/>
        </w:rPr>
        <w:t>排放量为</w:t>
      </w:r>
      <w:r>
        <w:rPr>
          <w:rFonts w:ascii="Times New Roman" w:eastAsia="Times New Roman"/>
          <w:position w:val="2"/>
          <w:vertAlign w:val="baseline"/>
        </w:rPr>
        <w:t>0.001095t/a</w:t>
      </w:r>
      <w:r>
        <w:rPr>
          <w:spacing w:val="-8"/>
          <w:position w:val="2"/>
          <w:vertAlign w:val="baseline"/>
        </w:rPr>
        <w:t>。项目</w:t>
      </w:r>
      <w:r>
        <w:rPr>
          <w:rFonts w:ascii="Times New Roman" w:eastAsia="Times New Roman"/>
          <w:position w:val="2"/>
          <w:vertAlign w:val="baseline"/>
        </w:rPr>
        <w:t>NH</w:t>
      </w:r>
      <w:r>
        <w:rPr>
          <w:rFonts w:ascii="Times New Roman" w:eastAsia="Times New Roman"/>
          <w:position w:val="2"/>
          <w:vertAlign w:val="subscript"/>
        </w:rPr>
        <w:t>3</w:t>
      </w:r>
      <w:r>
        <w:rPr>
          <w:spacing w:val="-20"/>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spacing w:val="-5"/>
          <w:position w:val="2"/>
          <w:vertAlign w:val="baseline"/>
        </w:rPr>
        <w:t>厂界的浓度均满足《恶臭污</w:t>
      </w:r>
      <w:r>
        <w:rPr>
          <w:spacing w:val="-2"/>
          <w:vertAlign w:val="baseline"/>
        </w:rPr>
        <w:t>染物排放标准》</w:t>
      </w:r>
      <w:r>
        <w:rPr>
          <w:vertAlign w:val="baseline"/>
        </w:rPr>
        <w:t>（</w:t>
      </w:r>
      <w:r>
        <w:rPr>
          <w:rFonts w:ascii="Times New Roman" w:eastAsia="Times New Roman"/>
          <w:vertAlign w:val="baseline"/>
        </w:rPr>
        <w:t>GB14554-93</w:t>
      </w:r>
      <w:r>
        <w:rPr>
          <w:vertAlign w:val="baseline"/>
        </w:rPr>
        <w:t>）表</w:t>
      </w:r>
      <w:r>
        <w:rPr>
          <w:rFonts w:ascii="Times New Roman" w:eastAsia="Times New Roman"/>
          <w:vertAlign w:val="baseline"/>
        </w:rPr>
        <w:t>1</w:t>
      </w:r>
      <w:r>
        <w:rPr>
          <w:spacing w:val="-1"/>
          <w:vertAlign w:val="baseline"/>
        </w:rPr>
        <w:t>恶臭污染物厂界标准值限值要求，排气筒满足《恶臭污染物排放标准》表</w:t>
      </w:r>
      <w:r>
        <w:rPr>
          <w:rFonts w:ascii="Times New Roman" w:eastAsia="Times New Roman"/>
          <w:spacing w:val="-1"/>
          <w:vertAlign w:val="baseline"/>
        </w:rPr>
        <w:t>2</w:t>
      </w:r>
      <w:r>
        <w:rPr>
          <w:spacing w:val="-1"/>
          <w:vertAlign w:val="baseline"/>
        </w:rPr>
        <w:t>中限值要求。</w:t>
      </w:r>
    </w:p>
    <w:p>
      <w:pPr>
        <w:pStyle w:val="5"/>
        <w:numPr>
          <w:ilvl w:val="2"/>
          <w:numId w:val="84"/>
        </w:numPr>
        <w:tabs>
          <w:tab w:val="left" w:pos="921"/>
        </w:tabs>
        <w:spacing w:before="119" w:after="0" w:line="240" w:lineRule="auto"/>
        <w:ind w:left="920" w:right="0" w:hanging="701"/>
        <w:jc w:val="left"/>
        <w:outlineLvl w:val="2"/>
      </w:pPr>
      <w:bookmarkStart w:id="528" w:name="9.4.2 废水污染源"/>
      <w:bookmarkEnd w:id="528"/>
      <w:bookmarkStart w:id="529" w:name="9.4.2 废水污染源"/>
      <w:bookmarkEnd w:id="529"/>
      <w:bookmarkStart w:id="530" w:name="_Toc4044"/>
      <w:r>
        <w:t>废水污染源</w:t>
      </w:r>
      <w:bookmarkEnd w:id="530"/>
    </w:p>
    <w:p>
      <w:pPr>
        <w:pStyle w:val="7"/>
        <w:spacing w:before="7"/>
        <w:ind w:left="0"/>
        <w:rPr>
          <w:b/>
          <w:sz w:val="21"/>
        </w:rPr>
      </w:pPr>
    </w:p>
    <w:p>
      <w:pPr>
        <w:pStyle w:val="7"/>
        <w:spacing w:line="364" w:lineRule="auto"/>
        <w:ind w:left="220" w:right="195" w:firstLine="480"/>
      </w:pPr>
      <w:r>
        <w:rPr>
          <w:spacing w:val="-7"/>
        </w:rPr>
        <w:t>本项目采用干清粪工艺，不产生圈舍冲洗废水；羊饮水一部分参与羊的新陈</w:t>
      </w:r>
      <w:r>
        <w:rPr>
          <w:spacing w:val="-10"/>
        </w:rPr>
        <w:t>代谢，另一部分饮水以尿液的方式排放，养殖场每栋羊舍地面为混凝土地面，上</w:t>
      </w:r>
      <w:r>
        <w:rPr>
          <w:spacing w:val="-23"/>
        </w:rPr>
        <w:t>端覆盖</w:t>
      </w:r>
      <w:r>
        <w:rPr>
          <w:rFonts w:ascii="Times New Roman" w:eastAsia="Times New Roman"/>
        </w:rPr>
        <w:t>35cm</w:t>
      </w:r>
      <w:r>
        <w:rPr>
          <w:spacing w:val="-4"/>
        </w:rPr>
        <w:t>厚垫料，铺设垫床一般采用废气杂草、农作物秸秆粉、锯末等农业</w:t>
      </w:r>
      <w:r>
        <w:rPr>
          <w:spacing w:val="-18"/>
        </w:rPr>
        <w:t>材料，羊排泄的尿液被垫料吸收、蒸发，项目定期对垫料层和粪便进行清理更换，</w:t>
      </w:r>
      <w:r>
        <w:rPr>
          <w:spacing w:val="-8"/>
        </w:rPr>
        <w:t>不需要对畜舍进行冲洗，无冲栏废水产生。垫料层与羊粪一起进入堆肥厂堆肥发</w:t>
      </w:r>
      <w:r>
        <w:rPr>
          <w:spacing w:val="-10"/>
        </w:rPr>
        <w:t>酵，废水实现综合利用，不外排。项目区夏季蒸发量很大，羊尿主要和粪便混合</w:t>
      </w:r>
      <w:r>
        <w:rPr>
          <w:spacing w:val="-12"/>
        </w:rPr>
        <w:t>在一起，每日及时清除，不进入排水系统。本项目职工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p>
    <w:p>
      <w:pPr>
        <w:spacing w:after="0" w:line="364" w:lineRule="auto"/>
        <w:sectPr>
          <w:footerReference r:id="rId32" w:type="default"/>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5"/>
        <w:numPr>
          <w:ilvl w:val="2"/>
          <w:numId w:val="84"/>
        </w:numPr>
        <w:tabs>
          <w:tab w:val="left" w:pos="921"/>
        </w:tabs>
        <w:spacing w:before="143" w:after="0" w:line="240" w:lineRule="auto"/>
        <w:ind w:left="920" w:right="0" w:hanging="701"/>
        <w:jc w:val="left"/>
        <w:outlineLvl w:val="2"/>
      </w:pPr>
      <w:bookmarkStart w:id="531" w:name="9.4.3 噪声污染源"/>
      <w:bookmarkEnd w:id="531"/>
      <w:bookmarkStart w:id="532" w:name="9.4.3 噪声污染源"/>
      <w:bookmarkEnd w:id="532"/>
      <w:bookmarkStart w:id="533" w:name="_Toc6680"/>
      <w:r>
        <w:t>噪声污染源</w:t>
      </w:r>
      <w:bookmarkEnd w:id="533"/>
    </w:p>
    <w:p>
      <w:pPr>
        <w:pStyle w:val="7"/>
        <w:spacing w:before="5"/>
        <w:ind w:left="0"/>
        <w:rPr>
          <w:b/>
          <w:sz w:val="21"/>
        </w:rPr>
      </w:pPr>
    </w:p>
    <w:p>
      <w:pPr>
        <w:pStyle w:val="7"/>
        <w:spacing w:line="364" w:lineRule="auto"/>
        <w:ind w:left="220" w:right="317" w:firstLine="480"/>
        <w:jc w:val="both"/>
      </w:pPr>
      <w:r>
        <w:rPr>
          <w:spacing w:val="-9"/>
        </w:rPr>
        <w:t>项目运营期间，场内噪声主要来源于羊舍畜禽叫声、养殖场风机、无害化处</w:t>
      </w:r>
      <w:r>
        <w:rPr>
          <w:spacing w:val="-6"/>
        </w:rPr>
        <w:t>理车间等设备运行噪声以及运输车辆噪声等。羊舍畜禽叫声、养殖场风机、无害</w:t>
      </w:r>
      <w:r>
        <w:rPr>
          <w:spacing w:val="-1"/>
        </w:rPr>
        <w:t>化处理车间等设备运行噪声以及运输车辆噪声，源强噪声值在</w:t>
      </w:r>
      <w:r>
        <w:rPr>
          <w:rFonts w:ascii="Times New Roman" w:eastAsia="Times New Roman"/>
        </w:rPr>
        <w:t>60</w:t>
      </w:r>
      <w:r>
        <w:t>～</w:t>
      </w:r>
      <w:r>
        <w:rPr>
          <w:rFonts w:ascii="Times New Roman" w:eastAsia="Times New Roman"/>
        </w:rPr>
        <w:t>85dB</w:t>
      </w:r>
      <w:r>
        <w:t>（</w:t>
      </w:r>
      <w:r>
        <w:rPr>
          <w:rFonts w:ascii="Times New Roman" w:eastAsia="Times New Roman"/>
        </w:rPr>
        <w:t>A</w:t>
      </w:r>
      <w:r>
        <w:t>）</w:t>
      </w:r>
      <w:r>
        <w:rPr>
          <w:spacing w:val="-2"/>
        </w:rPr>
        <w:t>之间，在采取墙体隔声、基础减震措施后，噪声排放强度在</w:t>
      </w:r>
      <w:r>
        <w:rPr>
          <w:rFonts w:ascii="Times New Roman" w:eastAsia="Times New Roman"/>
        </w:rPr>
        <w:t>40</w:t>
      </w:r>
      <w:r>
        <w:t>～</w:t>
      </w:r>
      <w:r>
        <w:rPr>
          <w:rFonts w:ascii="Times New Roman" w:eastAsia="Times New Roman"/>
        </w:rPr>
        <w:t>65dB</w:t>
      </w:r>
      <w:r>
        <w:t>（</w:t>
      </w:r>
      <w:r>
        <w:rPr>
          <w:rFonts w:ascii="Times New Roman" w:eastAsia="Times New Roman"/>
        </w:rPr>
        <w:t>A</w:t>
      </w:r>
      <w:r>
        <w:t>）之间。项目运行后满足《工业企业厂界环境噪声排放标准》（</w:t>
      </w:r>
      <w:r>
        <w:rPr>
          <w:rFonts w:ascii="Times New Roman" w:eastAsia="Times New Roman"/>
        </w:rPr>
        <w:t>GB12348-2008</w:t>
      </w:r>
      <w:r>
        <w:t>）中</w:t>
      </w:r>
      <w:r>
        <w:rPr>
          <w:spacing w:val="-12"/>
        </w:rPr>
        <w:t>的声环境</w:t>
      </w:r>
      <w:r>
        <w:rPr>
          <w:rFonts w:ascii="Times New Roman" w:eastAsia="Times New Roman"/>
        </w:rPr>
        <w:t>2</w:t>
      </w:r>
      <w:r>
        <w:t>类功能区标准要求。</w:t>
      </w:r>
    </w:p>
    <w:p>
      <w:pPr>
        <w:pStyle w:val="5"/>
        <w:numPr>
          <w:ilvl w:val="2"/>
          <w:numId w:val="84"/>
        </w:numPr>
        <w:tabs>
          <w:tab w:val="left" w:pos="921"/>
        </w:tabs>
        <w:spacing w:before="118" w:after="0" w:line="240" w:lineRule="auto"/>
        <w:ind w:left="920" w:right="0" w:hanging="701"/>
        <w:jc w:val="left"/>
        <w:outlineLvl w:val="2"/>
      </w:pPr>
      <w:bookmarkStart w:id="534" w:name="9.4.4 固体废弃物"/>
      <w:bookmarkEnd w:id="534"/>
      <w:bookmarkStart w:id="535" w:name="9.4.4 固体废弃物"/>
      <w:bookmarkEnd w:id="535"/>
      <w:bookmarkStart w:id="536" w:name="_Toc17522"/>
      <w:r>
        <w:t>固体废弃物</w:t>
      </w:r>
      <w:bookmarkEnd w:id="536"/>
    </w:p>
    <w:p>
      <w:pPr>
        <w:pStyle w:val="7"/>
        <w:spacing w:before="7"/>
        <w:ind w:left="0"/>
        <w:rPr>
          <w:b/>
          <w:sz w:val="21"/>
        </w:rPr>
      </w:pPr>
    </w:p>
    <w:p>
      <w:pPr>
        <w:pStyle w:val="7"/>
        <w:ind w:left="700"/>
      </w:pPr>
      <w:r>
        <w:t>项目固体废物产生及处置情况一览表见表</w:t>
      </w:r>
      <w:r>
        <w:rPr>
          <w:rFonts w:ascii="Times New Roman" w:eastAsia="Times New Roman"/>
        </w:rPr>
        <w:t>3.2-12</w:t>
      </w:r>
      <w:r>
        <w:t>。</w:t>
      </w:r>
    </w:p>
    <w:p>
      <w:pPr>
        <w:pStyle w:val="7"/>
        <w:spacing w:before="3" w:line="364" w:lineRule="auto"/>
        <w:ind w:left="220" w:right="317" w:firstLine="480"/>
        <w:jc w:val="both"/>
        <w:rPr>
          <w:color w:val="0000FF"/>
        </w:rPr>
      </w:pPr>
      <w:r>
        <w:rPr>
          <w:color w:val="0000FF"/>
          <w:spacing w:val="-5"/>
        </w:rPr>
        <w:t>本项目产生的固体废物主要为羊粪及粪渣、废弃垫料、病死羊及分娩物、医</w:t>
      </w:r>
      <w:r>
        <w:rPr>
          <w:color w:val="0000FF"/>
          <w:spacing w:val="-8"/>
        </w:rPr>
        <w:t>疗垃圾、生活垃圾。本项目羊粪产生量为</w:t>
      </w:r>
      <w:r>
        <w:rPr>
          <w:rFonts w:ascii="Times New Roman" w:eastAsia="Times New Roman"/>
          <w:color w:val="0000FF"/>
        </w:rPr>
        <w:t>11935.5t/a</w:t>
      </w:r>
      <w:r>
        <w:rPr>
          <w:color w:val="0000FF"/>
        </w:rPr>
        <w:t>，每天产生的粪便由人工清</w:t>
      </w:r>
      <w:r>
        <w:rPr>
          <w:color w:val="0000FF"/>
          <w:spacing w:val="-4"/>
        </w:rPr>
        <w:t>理至堆肥厂通过高温堆肥发酵处理方式对固体粪污进行无害化处理，符合《粪便</w:t>
      </w:r>
      <w:r>
        <w:rPr>
          <w:color w:val="0000FF"/>
          <w:spacing w:val="-5"/>
        </w:rPr>
        <w:t>无害化卫生要求》</w:t>
      </w:r>
      <w:r>
        <w:rPr>
          <w:color w:val="0000FF"/>
        </w:rPr>
        <w:t>（</w:t>
      </w:r>
      <w:r>
        <w:rPr>
          <w:rFonts w:ascii="Times New Roman" w:eastAsia="Times New Roman"/>
          <w:color w:val="0000FF"/>
        </w:rPr>
        <w:t>GB7959-2012</w:t>
      </w:r>
      <w:r>
        <w:rPr>
          <w:color w:val="0000FF"/>
        </w:rPr>
        <w:t>）</w:t>
      </w:r>
      <w:r>
        <w:rPr>
          <w:color w:val="0000FF"/>
          <w:spacing w:val="-3"/>
        </w:rPr>
        <w:t>后，外售给附近村民，直接还田进行土地利</w:t>
      </w:r>
      <w:r>
        <w:rPr>
          <w:color w:val="0000FF"/>
          <w:spacing w:val="-9"/>
        </w:rPr>
        <w:t>用，禁止未经处理的畜禽粪便直接施入农田。羊排泄的尿液和粪便进入垫料，经</w:t>
      </w:r>
      <w:r>
        <w:rPr>
          <w:color w:val="0000FF"/>
          <w:spacing w:val="-14"/>
        </w:rPr>
        <w:t>羊踩结形成粪床，本项目最终废弃垫料的产生量为</w:t>
      </w:r>
      <w:r>
        <w:rPr>
          <w:rFonts w:hint="eastAsia" w:ascii="Times New Roman" w:eastAsia="宋体"/>
          <w:color w:val="0000FF"/>
          <w:spacing w:val="-5"/>
          <w:lang w:val="en-US" w:eastAsia="zh-CN"/>
        </w:rPr>
        <w:t>24</w:t>
      </w:r>
      <w:r>
        <w:rPr>
          <w:rFonts w:ascii="Times New Roman" w:eastAsia="Times New Roman"/>
          <w:color w:val="0000FF"/>
          <w:spacing w:val="-5"/>
        </w:rPr>
        <w:t>t/a</w:t>
      </w:r>
      <w:r>
        <w:rPr>
          <w:color w:val="0000FF"/>
          <w:spacing w:val="-14"/>
        </w:rPr>
        <w:t>，粪床每</w:t>
      </w:r>
      <w:r>
        <w:rPr>
          <w:rFonts w:ascii="Times New Roman" w:eastAsia="Times New Roman"/>
          <w:color w:val="0000FF"/>
        </w:rPr>
        <w:t>1</w:t>
      </w:r>
      <w:r>
        <w:rPr>
          <w:color w:val="0000FF"/>
        </w:rPr>
        <w:t>年清理一</w:t>
      </w:r>
      <w:r>
        <w:rPr>
          <w:color w:val="0000FF"/>
          <w:spacing w:val="-10"/>
        </w:rPr>
        <w:t>次，垫料层与羊粪、粪渣一起进入堆肥厂高温发酵无害化处理，不外排，实现综</w:t>
      </w:r>
      <w:r>
        <w:rPr>
          <w:color w:val="0000FF"/>
          <w:spacing w:val="12"/>
        </w:rPr>
        <w:t>合利用。本项目运营期估算病死羊量约</w:t>
      </w:r>
      <w:r>
        <w:rPr>
          <w:rFonts w:hint="eastAsia" w:ascii="Times New Roman" w:eastAsia="宋体"/>
          <w:color w:val="0000FF"/>
          <w:spacing w:val="2"/>
          <w:lang w:val="en-US" w:eastAsia="zh-CN"/>
        </w:rPr>
        <w:t>8</w:t>
      </w:r>
      <w:r>
        <w:rPr>
          <w:rFonts w:ascii="Times New Roman" w:eastAsia="Times New Roman"/>
          <w:color w:val="0000FF"/>
          <w:spacing w:val="2"/>
        </w:rPr>
        <w:t>t/a</w:t>
      </w:r>
      <w:r>
        <w:rPr>
          <w:color w:val="0000FF"/>
          <w:spacing w:val="7"/>
        </w:rPr>
        <w:t>。得到肉骨粉</w:t>
      </w:r>
      <w:r>
        <w:rPr>
          <w:rFonts w:hint="eastAsia" w:ascii="Times New Roman" w:eastAsia="宋体"/>
          <w:color w:val="0000FF"/>
          <w:spacing w:val="3"/>
          <w:lang w:val="en-US" w:eastAsia="zh-CN"/>
        </w:rPr>
        <w:t>2.64</w:t>
      </w:r>
      <w:r>
        <w:rPr>
          <w:rFonts w:ascii="Times New Roman" w:eastAsia="Times New Roman"/>
          <w:color w:val="0000FF"/>
          <w:spacing w:val="3"/>
        </w:rPr>
        <w:t>t/a</w:t>
      </w:r>
      <w:r>
        <w:rPr>
          <w:color w:val="0000FF"/>
          <w:spacing w:val="7"/>
        </w:rPr>
        <w:t>，油脂</w:t>
      </w:r>
      <w:r>
        <w:rPr>
          <w:rFonts w:hint="eastAsia" w:ascii="Times New Roman" w:eastAsia="宋体"/>
          <w:color w:val="0000FF"/>
          <w:spacing w:val="7"/>
          <w:lang w:val="en-US" w:eastAsia="zh-CN"/>
        </w:rPr>
        <w:t>1.0</w:t>
      </w:r>
      <w:r>
        <w:rPr>
          <w:rFonts w:ascii="Times New Roman" w:eastAsia="Times New Roman"/>
          <w:color w:val="0000FF"/>
          <w:spacing w:val="7"/>
        </w:rPr>
        <w:t>4t/a</w:t>
      </w:r>
      <w:r>
        <w:rPr>
          <w:color w:val="0000FF"/>
        </w:rPr>
        <w:t>。病死羊采用干化法畜禽无害化处理方式处理。计划项目区拟建畜禽无</w:t>
      </w:r>
      <w:r>
        <w:rPr>
          <w:color w:val="0000FF"/>
          <w:spacing w:val="-3"/>
        </w:rPr>
        <w:t>害化处理车间，并购进畜禽无害化处理</w:t>
      </w:r>
      <w:r>
        <w:rPr>
          <w:rFonts w:ascii="Times New Roman" w:eastAsia="Times New Roman"/>
          <w:color w:val="0000FF"/>
        </w:rPr>
        <w:t>1</w:t>
      </w:r>
      <w:r>
        <w:rPr>
          <w:color w:val="0000FF"/>
        </w:rPr>
        <w:t>吨</w:t>
      </w:r>
      <w:r>
        <w:rPr>
          <w:rFonts w:ascii="Times New Roman" w:eastAsia="Times New Roman"/>
          <w:color w:val="0000FF"/>
        </w:rPr>
        <w:t>/</w:t>
      </w:r>
      <w:r>
        <w:rPr>
          <w:color w:val="0000FF"/>
        </w:rPr>
        <w:t>次成套设备，采用高温高压灭菌技</w:t>
      </w:r>
      <w:r>
        <w:rPr>
          <w:color w:val="0000FF"/>
          <w:spacing w:val="-11"/>
        </w:rPr>
        <w:t>术，大型动物无需肢解，可直接进行处理，处理后的产物可出售给肉骨粉干品生</w:t>
      </w:r>
      <w:r>
        <w:rPr>
          <w:color w:val="0000FF"/>
          <w:spacing w:val="-15"/>
        </w:rPr>
        <w:t>产厂和工业用油脂厂，综合利用，符合国家防疫法规要求。本项目羊只的兽用医</w:t>
      </w:r>
      <w:r>
        <w:rPr>
          <w:color w:val="0000FF"/>
          <w:spacing w:val="-21"/>
        </w:rPr>
        <w:t>疗废弃物产生量为</w:t>
      </w:r>
      <w:r>
        <w:rPr>
          <w:rFonts w:ascii="Times New Roman" w:eastAsia="Times New Roman"/>
          <w:color w:val="0000FF"/>
        </w:rPr>
        <w:t>6.75t/a</w:t>
      </w:r>
      <w:r>
        <w:rPr>
          <w:color w:val="0000FF"/>
          <w:spacing w:val="-11"/>
        </w:rPr>
        <w:t>。消毒、防疫废物和兽用医疗废物由项目所在乡镇</w:t>
      </w:r>
      <w:r>
        <w:rPr>
          <w:rFonts w:hint="eastAsia"/>
          <w:color w:val="0000FF"/>
          <w:spacing w:val="-11"/>
          <w:lang w:val="en-US" w:eastAsia="zh-CN"/>
        </w:rPr>
        <w:t>莎车</w:t>
      </w:r>
      <w:r>
        <w:rPr>
          <w:color w:val="0000FF"/>
          <w:spacing w:val="-17"/>
        </w:rPr>
        <w:t>乡兽医站以及村级防疫中心委托有资质的单位处理处置。本项目劳动定员</w:t>
      </w:r>
      <w:r>
        <w:rPr>
          <w:rFonts w:ascii="Times New Roman" w:eastAsia="Times New Roman"/>
          <w:color w:val="0000FF"/>
        </w:rPr>
        <w:t>30</w:t>
      </w:r>
      <w:r>
        <w:rPr>
          <w:color w:val="0000FF"/>
          <w:spacing w:val="-8"/>
        </w:rPr>
        <w:t>人，</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圾收集系统，不会对区域环境造成不良影响。</w:t>
      </w:r>
    </w:p>
    <w:p>
      <w:pPr>
        <w:pStyle w:val="7"/>
        <w:spacing w:before="161" w:line="364" w:lineRule="auto"/>
        <w:ind w:left="220" w:right="197" w:firstLine="480"/>
        <w:rPr>
          <w:color w:val="0000FF"/>
        </w:rPr>
      </w:pPr>
    </w:p>
    <w:p>
      <w:pPr>
        <w:spacing w:after="0" w:line="364" w:lineRule="auto"/>
        <w:rPr>
          <w:color w:val="0000FF"/>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4"/>
        <w:numPr>
          <w:ilvl w:val="1"/>
          <w:numId w:val="82"/>
        </w:numPr>
        <w:tabs>
          <w:tab w:val="left" w:pos="780"/>
        </w:tabs>
        <w:spacing w:before="118" w:after="0" w:line="240" w:lineRule="auto"/>
        <w:ind w:left="779" w:right="0" w:hanging="560"/>
        <w:jc w:val="left"/>
        <w:outlineLvl w:val="1"/>
      </w:pPr>
      <w:bookmarkStart w:id="537" w:name="9.5 环境影响分析结论"/>
      <w:bookmarkEnd w:id="537"/>
      <w:bookmarkStart w:id="538" w:name="_bookmark44"/>
      <w:bookmarkEnd w:id="538"/>
      <w:bookmarkStart w:id="539" w:name="_bookmark44"/>
      <w:bookmarkEnd w:id="539"/>
      <w:bookmarkStart w:id="540" w:name="_Toc4950"/>
      <w:r>
        <w:t>环境影响分析结论</w:t>
      </w:r>
      <w:bookmarkEnd w:id="540"/>
    </w:p>
    <w:p>
      <w:pPr>
        <w:pStyle w:val="7"/>
        <w:spacing w:before="5"/>
        <w:ind w:left="0"/>
        <w:rPr>
          <w:b/>
          <w:sz w:val="28"/>
        </w:rPr>
      </w:pPr>
    </w:p>
    <w:p>
      <w:pPr>
        <w:pStyle w:val="5"/>
        <w:numPr>
          <w:ilvl w:val="2"/>
          <w:numId w:val="85"/>
        </w:numPr>
        <w:tabs>
          <w:tab w:val="left" w:pos="921"/>
        </w:tabs>
        <w:spacing w:before="1" w:after="0" w:line="240" w:lineRule="auto"/>
        <w:ind w:left="920" w:right="0" w:hanging="701"/>
        <w:jc w:val="left"/>
        <w:outlineLvl w:val="2"/>
      </w:pPr>
      <w:bookmarkStart w:id="541" w:name="9.5.1 大气环境影响"/>
      <w:bookmarkEnd w:id="541"/>
      <w:bookmarkStart w:id="542" w:name="9.5.1 大气环境影响"/>
      <w:bookmarkEnd w:id="542"/>
      <w:bookmarkStart w:id="543" w:name="_Toc32702"/>
      <w:r>
        <w:t>大气环境影响</w:t>
      </w:r>
      <w:bookmarkEnd w:id="543"/>
    </w:p>
    <w:p>
      <w:pPr>
        <w:pStyle w:val="7"/>
        <w:spacing w:before="1"/>
        <w:ind w:left="0"/>
        <w:rPr>
          <w:b/>
          <w:sz w:val="21"/>
        </w:rPr>
      </w:pPr>
    </w:p>
    <w:p>
      <w:pPr>
        <w:pStyle w:val="7"/>
        <w:spacing w:line="364" w:lineRule="auto"/>
        <w:ind w:left="220" w:right="310" w:firstLine="480"/>
        <w:jc w:val="both"/>
      </w:pPr>
      <w:r>
        <w:rPr>
          <w:spacing w:val="-20"/>
          <w:position w:val="2"/>
        </w:rPr>
        <w:t>根据</w:t>
      </w:r>
      <w:r>
        <w:rPr>
          <w:rFonts w:ascii="Times New Roman" w:hAnsi="Times New Roman" w:eastAsia="Times New Roman"/>
          <w:position w:val="2"/>
        </w:rPr>
        <w:t>AERSCREEN</w:t>
      </w:r>
      <w:r>
        <w:rPr>
          <w:spacing w:val="-9"/>
          <w:position w:val="2"/>
        </w:rPr>
        <w:t>模式进行预测后，本项目排放的有组织污染物</w:t>
      </w:r>
      <w:r>
        <w:rPr>
          <w:rFonts w:ascii="Times New Roman" w:hAnsi="Times New Roman" w:eastAsia="Times New Roman"/>
          <w:position w:val="2"/>
        </w:rPr>
        <w:t>NH</w:t>
      </w:r>
      <w:r>
        <w:rPr>
          <w:rFonts w:ascii="Times New Roman" w:hAnsi="Times New Roman" w:eastAsia="Times New Roman"/>
          <w:position w:val="2"/>
          <w:vertAlign w:val="subscript"/>
        </w:rPr>
        <w:t>3</w:t>
      </w:r>
      <w:r>
        <w:rPr>
          <w:spacing w:val="-41"/>
          <w:position w:val="2"/>
          <w:vertAlign w:val="baseline"/>
        </w:rPr>
        <w:t>、</w:t>
      </w:r>
      <w:r>
        <w:rPr>
          <w:rFonts w:ascii="Times New Roman" w:hAnsi="Times New Roman" w:eastAsia="Times New Roman"/>
          <w:spacing w:val="-5"/>
          <w:position w:val="2"/>
          <w:vertAlign w:val="baseline"/>
        </w:rPr>
        <w:t>H</w:t>
      </w:r>
      <w:r>
        <w:rPr>
          <w:rFonts w:ascii="Times New Roman" w:hAnsi="Times New Roman" w:eastAsia="Times New Roman"/>
          <w:spacing w:val="-5"/>
          <w:position w:val="2"/>
          <w:vertAlign w:val="subscript"/>
        </w:rPr>
        <w:t>2</w:t>
      </w:r>
      <w:r>
        <w:rPr>
          <w:rFonts w:ascii="Times New Roman" w:hAnsi="Times New Roman" w:eastAsia="Times New Roman"/>
          <w:spacing w:val="-5"/>
          <w:position w:val="2"/>
          <w:vertAlign w:val="baseline"/>
        </w:rPr>
        <w:t>S</w:t>
      </w:r>
      <w:r>
        <w:rPr>
          <w:spacing w:val="-3"/>
          <w:vertAlign w:val="baseline"/>
        </w:rPr>
        <w:t>和颗粒物的最大落地浓度分别</w:t>
      </w:r>
      <w:r>
        <w:rPr>
          <w:rFonts w:ascii="Times New Roman" w:hAnsi="Times New Roman" w:eastAsia="Times New Roman"/>
          <w:vertAlign w:val="baseline"/>
        </w:rPr>
        <w:t>0.4208μg/m</w:t>
      </w:r>
      <w:r>
        <w:rPr>
          <w:rFonts w:ascii="Times New Roman" w:hAnsi="Times New Roman" w:eastAsia="Times New Roman"/>
          <w:position w:val="8"/>
          <w:sz w:val="15"/>
          <w:vertAlign w:val="baseline"/>
        </w:rPr>
        <w:t>3</w:t>
      </w:r>
      <w:r>
        <w:rPr>
          <w:spacing w:val="-28"/>
          <w:vertAlign w:val="baseline"/>
        </w:rPr>
        <w:t>和</w:t>
      </w:r>
      <w:r>
        <w:rPr>
          <w:rFonts w:ascii="Times New Roman" w:hAnsi="Times New Roman" w:eastAsia="Times New Roman"/>
          <w:vertAlign w:val="baseline"/>
        </w:rPr>
        <w:t>0.2854μg/m</w:t>
      </w:r>
      <w:r>
        <w:rPr>
          <w:rFonts w:ascii="Times New Roman" w:hAnsi="Times New Roman" w:eastAsia="Times New Roman"/>
          <w:position w:val="8"/>
          <w:sz w:val="15"/>
          <w:vertAlign w:val="baseline"/>
        </w:rPr>
        <w:t>3</w:t>
      </w:r>
      <w:r>
        <w:rPr>
          <w:spacing w:val="-5"/>
          <w:vertAlign w:val="baseline"/>
        </w:rPr>
        <w:t>出现在离源距离</w:t>
      </w:r>
      <w:r>
        <w:rPr>
          <w:rFonts w:ascii="Times New Roman" w:hAnsi="Times New Roman" w:eastAsia="Times New Roman"/>
          <w:vertAlign w:val="baseline"/>
        </w:rPr>
        <w:t>91m</w:t>
      </w:r>
      <w:r>
        <w:rPr>
          <w:spacing w:val="-6"/>
          <w:vertAlign w:val="baseline"/>
        </w:rPr>
        <w:t>处，分别占《环境影响评价技术导则</w:t>
      </w:r>
      <w:r>
        <w:rPr>
          <w:rFonts w:ascii="Times New Roman" w:hAnsi="Times New Roman" w:eastAsia="Times New Roman"/>
          <w:vertAlign w:val="baseline"/>
        </w:rPr>
        <w:t>·</w:t>
      </w:r>
      <w:r>
        <w:rPr>
          <w:spacing w:val="-7"/>
          <w:vertAlign w:val="baseline"/>
        </w:rPr>
        <w:t>大气环境》</w:t>
      </w:r>
      <w:r>
        <w:rPr>
          <w:vertAlign w:val="baseline"/>
        </w:rPr>
        <w:t>（</w:t>
      </w:r>
      <w:r>
        <w:rPr>
          <w:rFonts w:ascii="Times New Roman" w:hAnsi="Times New Roman" w:eastAsia="Times New Roman"/>
          <w:vertAlign w:val="baseline"/>
        </w:rPr>
        <w:t>HJ.2-2018</w:t>
      </w:r>
      <w:r>
        <w:rPr>
          <w:vertAlign w:val="baseline"/>
        </w:rPr>
        <w:t>）</w:t>
      </w:r>
      <w:r>
        <w:rPr>
          <w:spacing w:val="-17"/>
          <w:vertAlign w:val="baseline"/>
        </w:rPr>
        <w:t>中“附录</w:t>
      </w:r>
      <w:r>
        <w:rPr>
          <w:rFonts w:ascii="Times New Roman" w:hAnsi="Times New Roman" w:eastAsia="Times New Roman"/>
          <w:vertAlign w:val="baseline"/>
        </w:rPr>
        <w:t>D</w:t>
      </w:r>
      <w:r>
        <w:rPr>
          <w:vertAlign w:val="baseline"/>
        </w:rPr>
        <w:t>其他</w:t>
      </w:r>
      <w:r>
        <w:rPr>
          <w:spacing w:val="-5"/>
          <w:vertAlign w:val="baseline"/>
        </w:rPr>
        <w:t>污染物空气质量浓度参考限值”的</w:t>
      </w:r>
      <w:r>
        <w:rPr>
          <w:rFonts w:ascii="Times New Roman" w:hAnsi="Times New Roman" w:eastAsia="Times New Roman"/>
          <w:vertAlign w:val="baseline"/>
        </w:rPr>
        <w:t>0.410%</w:t>
      </w:r>
      <w:r>
        <w:rPr>
          <w:spacing w:val="-31"/>
          <w:vertAlign w:val="baseline"/>
        </w:rPr>
        <w:t>和</w:t>
      </w:r>
      <w:r>
        <w:rPr>
          <w:rFonts w:ascii="Times New Roman" w:hAnsi="Times New Roman" w:eastAsia="Times New Roman"/>
          <w:vertAlign w:val="baseline"/>
        </w:rPr>
        <w:t>2.855%</w:t>
      </w:r>
      <w:r>
        <w:rPr>
          <w:spacing w:val="-12"/>
          <w:vertAlign w:val="baseline"/>
        </w:rPr>
        <w:t>，均小于</w:t>
      </w:r>
      <w:r>
        <w:rPr>
          <w:rFonts w:ascii="Times New Roman" w:hAnsi="Times New Roman" w:eastAsia="Times New Roman"/>
          <w:spacing w:val="-4"/>
          <w:vertAlign w:val="baseline"/>
        </w:rPr>
        <w:t>10%</w:t>
      </w:r>
      <w:r>
        <w:rPr>
          <w:spacing w:val="-4"/>
          <w:vertAlign w:val="baseline"/>
        </w:rPr>
        <w:t>；有组织污染</w:t>
      </w:r>
      <w:r>
        <w:rPr>
          <w:spacing w:val="-5"/>
          <w:vertAlign w:val="baseline"/>
        </w:rPr>
        <w:t>物颗粒物的最大落地浓度为</w:t>
      </w:r>
      <w:r>
        <w:rPr>
          <w:rFonts w:ascii="Times New Roman" w:hAnsi="Times New Roman" w:eastAsia="Times New Roman"/>
          <w:vertAlign w:val="baseline"/>
        </w:rPr>
        <w:t>29.616μg/m</w:t>
      </w:r>
      <w:r>
        <w:rPr>
          <w:rFonts w:ascii="Times New Roman" w:hAnsi="Times New Roman" w:eastAsia="Times New Roman"/>
          <w:position w:val="8"/>
          <w:sz w:val="15"/>
          <w:vertAlign w:val="baseline"/>
        </w:rPr>
        <w:t>3</w:t>
      </w:r>
      <w:r>
        <w:rPr>
          <w:spacing w:val="-8"/>
          <w:vertAlign w:val="baseline"/>
        </w:rPr>
        <w:t>出现在离源距离</w:t>
      </w:r>
      <w:r>
        <w:rPr>
          <w:rFonts w:ascii="Times New Roman" w:hAnsi="Times New Roman" w:eastAsia="Times New Roman"/>
          <w:vertAlign w:val="baseline"/>
        </w:rPr>
        <w:t>91m</w:t>
      </w:r>
      <w:r>
        <w:rPr>
          <w:spacing w:val="-9"/>
          <w:vertAlign w:val="baseline"/>
        </w:rPr>
        <w:t>处，占《环境空气</w:t>
      </w:r>
      <w:r>
        <w:rPr>
          <w:spacing w:val="4"/>
          <w:vertAlign w:val="baseline"/>
        </w:rPr>
        <w:t>质量标准》</w:t>
      </w:r>
      <w:r>
        <w:rPr>
          <w:vertAlign w:val="baseline"/>
        </w:rPr>
        <w:t>（</w:t>
      </w:r>
      <w:r>
        <w:rPr>
          <w:rFonts w:ascii="Times New Roman" w:hAnsi="Times New Roman" w:eastAsia="Times New Roman"/>
          <w:vertAlign w:val="baseline"/>
        </w:rPr>
        <w:t>GB3095-2012</w:t>
      </w:r>
      <w:r>
        <w:rPr>
          <w:vertAlign w:val="baseline"/>
        </w:rPr>
        <w:t>）</w:t>
      </w:r>
      <w:r>
        <w:rPr>
          <w:spacing w:val="-6"/>
          <w:vertAlign w:val="baseline"/>
        </w:rPr>
        <w:t>二级标准的</w:t>
      </w:r>
      <w:r>
        <w:rPr>
          <w:rFonts w:ascii="Times New Roman" w:hAnsi="Times New Roman" w:eastAsia="Times New Roman"/>
          <w:vertAlign w:val="baseline"/>
        </w:rPr>
        <w:t>3.291%</w:t>
      </w:r>
      <w:r>
        <w:rPr>
          <w:spacing w:val="-11"/>
          <w:vertAlign w:val="baseline"/>
        </w:rPr>
        <w:t>，小于</w:t>
      </w:r>
      <w:r>
        <w:rPr>
          <w:rFonts w:ascii="Times New Roman" w:hAnsi="Times New Roman" w:eastAsia="Times New Roman"/>
          <w:vertAlign w:val="baseline"/>
        </w:rPr>
        <w:t>10%</w:t>
      </w:r>
      <w:r>
        <w:rPr>
          <w:spacing w:val="1"/>
          <w:vertAlign w:val="baseline"/>
        </w:rPr>
        <w:t>；无组织排放废气</w:t>
      </w:r>
      <w:r>
        <w:rPr>
          <w:spacing w:val="-14"/>
          <w:position w:val="2"/>
          <w:vertAlign w:val="baseline"/>
        </w:rPr>
        <w:t>中的</w:t>
      </w:r>
      <w:r>
        <w:rPr>
          <w:rFonts w:ascii="Times New Roman" w:hAnsi="Times New Roman" w:eastAsia="Times New Roman"/>
          <w:position w:val="2"/>
          <w:vertAlign w:val="baseline"/>
        </w:rPr>
        <w:t>NH</w:t>
      </w:r>
      <w:r>
        <w:rPr>
          <w:rFonts w:ascii="Times New Roman" w:hAnsi="Times New Roman" w:eastAsia="Times New Roman"/>
          <w:position w:val="2"/>
          <w:vertAlign w:val="subscript"/>
        </w:rPr>
        <w:t>3</w:t>
      </w:r>
      <w:r>
        <w:rPr>
          <w:spacing w:val="-24"/>
          <w:position w:val="2"/>
          <w:vertAlign w:val="baseline"/>
        </w:rPr>
        <w:t>和</w:t>
      </w:r>
      <w:r>
        <w:rPr>
          <w:rFonts w:ascii="Times New Roman" w:hAnsi="Times New Roman" w:eastAsia="Times New Roman"/>
          <w:position w:val="2"/>
          <w:vertAlign w:val="baseline"/>
        </w:rPr>
        <w:t>H</w:t>
      </w:r>
      <w:r>
        <w:rPr>
          <w:rFonts w:ascii="Times New Roman" w:hAnsi="Times New Roman" w:eastAsia="Times New Roman"/>
          <w:position w:val="2"/>
          <w:vertAlign w:val="subscript"/>
        </w:rPr>
        <w:t>2</w:t>
      </w:r>
      <w:r>
        <w:rPr>
          <w:rFonts w:ascii="Times New Roman" w:hAnsi="Times New Roman" w:eastAsia="Times New Roman"/>
          <w:position w:val="2"/>
          <w:vertAlign w:val="baseline"/>
        </w:rPr>
        <w:t>S</w:t>
      </w:r>
      <w:r>
        <w:rPr>
          <w:position w:val="2"/>
          <w:vertAlign w:val="baseline"/>
        </w:rPr>
        <w:t>的最大落地浓度为</w:t>
      </w:r>
      <w:r>
        <w:rPr>
          <w:rFonts w:ascii="Times New Roman" w:hAnsi="Times New Roman" w:eastAsia="Times New Roman"/>
          <w:position w:val="2"/>
          <w:vertAlign w:val="baseline"/>
        </w:rPr>
        <w:t>6.93μg/m</w:t>
      </w:r>
      <w:r>
        <w:rPr>
          <w:rFonts w:ascii="Times New Roman" w:hAnsi="Times New Roman" w:eastAsia="Times New Roman"/>
          <w:position w:val="2"/>
          <w:vertAlign w:val="superscript"/>
        </w:rPr>
        <w:t>3</w:t>
      </w:r>
      <w:r>
        <w:rPr>
          <w:spacing w:val="-24"/>
          <w:position w:val="2"/>
          <w:vertAlign w:val="baseline"/>
        </w:rPr>
        <w:t>和</w:t>
      </w:r>
      <w:r>
        <w:rPr>
          <w:rFonts w:ascii="Times New Roman" w:hAnsi="Times New Roman" w:eastAsia="Times New Roman"/>
          <w:position w:val="2"/>
          <w:vertAlign w:val="baseline"/>
        </w:rPr>
        <w:t>0.693μg/m</w:t>
      </w:r>
      <w:r>
        <w:rPr>
          <w:rFonts w:ascii="Times New Roman" w:hAnsi="Times New Roman" w:eastAsia="Times New Roman"/>
          <w:position w:val="2"/>
          <w:vertAlign w:val="superscript"/>
        </w:rPr>
        <w:t>3</w:t>
      </w:r>
      <w:r>
        <w:rPr>
          <w:spacing w:val="5"/>
          <w:position w:val="2"/>
          <w:vertAlign w:val="baseline"/>
        </w:rPr>
        <w:t>，出现在离源距离</w:t>
      </w:r>
      <w:r>
        <w:rPr>
          <w:rFonts w:ascii="Times New Roman" w:hAnsi="Times New Roman" w:eastAsia="Times New Roman"/>
          <w:spacing w:val="5"/>
          <w:vertAlign w:val="baseline"/>
        </w:rPr>
        <w:t>168m</w:t>
      </w:r>
      <w:r>
        <w:rPr>
          <w:vertAlign w:val="baseline"/>
        </w:rPr>
        <w:t>处，占《环境影响评价技术导则</w:t>
      </w:r>
      <w:r>
        <w:rPr>
          <w:rFonts w:ascii="Times New Roman" w:hAnsi="Times New Roman" w:eastAsia="Times New Roman"/>
          <w:vertAlign w:val="baseline"/>
        </w:rPr>
        <w:t>·</w:t>
      </w:r>
      <w:r>
        <w:rPr>
          <w:vertAlign w:val="baseline"/>
        </w:rPr>
        <w:t>大气环境》（</w:t>
      </w:r>
      <w:r>
        <w:rPr>
          <w:rFonts w:ascii="Times New Roman" w:hAnsi="Times New Roman" w:eastAsia="Times New Roman"/>
          <w:vertAlign w:val="baseline"/>
        </w:rPr>
        <w:t>HJ.2-2018</w:t>
      </w:r>
      <w:r>
        <w:rPr>
          <w:vertAlign w:val="baseline"/>
        </w:rPr>
        <w:t>）</w:t>
      </w:r>
      <w:r>
        <w:rPr>
          <w:spacing w:val="-11"/>
          <w:vertAlign w:val="baseline"/>
        </w:rPr>
        <w:t>中“附录</w:t>
      </w:r>
      <w:r>
        <w:rPr>
          <w:rFonts w:ascii="Times New Roman" w:hAnsi="Times New Roman" w:eastAsia="Times New Roman"/>
          <w:vertAlign w:val="baseline"/>
        </w:rPr>
        <w:t>D</w:t>
      </w:r>
      <w:r>
        <w:rPr>
          <w:vertAlign w:val="baseline"/>
        </w:rPr>
        <w:t>其</w:t>
      </w:r>
      <w:r>
        <w:rPr>
          <w:spacing w:val="-4"/>
          <w:vertAlign w:val="baseline"/>
        </w:rPr>
        <w:t>他污染物空气质量浓度参考限值”的</w:t>
      </w:r>
      <w:r>
        <w:rPr>
          <w:rFonts w:ascii="Times New Roman" w:hAnsi="Times New Roman" w:eastAsia="Times New Roman"/>
          <w:vertAlign w:val="baseline"/>
        </w:rPr>
        <w:t>3.465</w:t>
      </w:r>
      <w:r>
        <w:rPr>
          <w:rFonts w:ascii="Times New Roman" w:hAnsi="Times New Roman" w:eastAsia="Times New Roman"/>
          <w:spacing w:val="2"/>
          <w:vertAlign w:val="baseline"/>
        </w:rPr>
        <w:t>%</w:t>
      </w:r>
      <w:r>
        <w:rPr>
          <w:spacing w:val="-27"/>
          <w:vertAlign w:val="baseline"/>
        </w:rPr>
        <w:t>和</w:t>
      </w:r>
      <w:r>
        <w:rPr>
          <w:rFonts w:ascii="Times New Roman" w:hAnsi="Times New Roman" w:eastAsia="Times New Roman"/>
          <w:vertAlign w:val="baseline"/>
        </w:rPr>
        <w:t>6.93%</w:t>
      </w:r>
      <w:r>
        <w:rPr>
          <w:spacing w:val="-14"/>
          <w:vertAlign w:val="baseline"/>
        </w:rPr>
        <w:t>，小于</w:t>
      </w:r>
      <w:r>
        <w:rPr>
          <w:rFonts w:ascii="Times New Roman" w:hAnsi="Times New Roman" w:eastAsia="Times New Roman"/>
          <w:vertAlign w:val="baseline"/>
        </w:rPr>
        <w:t>10%</w:t>
      </w:r>
      <w:r>
        <w:rPr>
          <w:vertAlign w:val="baseline"/>
        </w:rPr>
        <w:t>；无组织排放</w:t>
      </w:r>
      <w:r>
        <w:rPr>
          <w:spacing w:val="-4"/>
          <w:vertAlign w:val="baseline"/>
        </w:rPr>
        <w:t>废气中的颗粒物的最大落地浓度为</w:t>
      </w:r>
      <w:r>
        <w:rPr>
          <w:rFonts w:ascii="Times New Roman" w:hAnsi="Times New Roman" w:eastAsia="Times New Roman"/>
          <w:vertAlign w:val="baseline"/>
        </w:rPr>
        <w:t>49.1μg/m</w:t>
      </w:r>
      <w:r>
        <w:rPr>
          <w:rFonts w:ascii="Times New Roman" w:hAnsi="Times New Roman" w:eastAsia="Times New Roman"/>
          <w:position w:val="8"/>
          <w:sz w:val="15"/>
          <w:vertAlign w:val="baseline"/>
        </w:rPr>
        <w:t>3</w:t>
      </w:r>
      <w:r>
        <w:rPr>
          <w:spacing w:val="-7"/>
          <w:vertAlign w:val="baseline"/>
        </w:rPr>
        <w:t>，出现在离源距离</w:t>
      </w:r>
      <w:r>
        <w:rPr>
          <w:rFonts w:ascii="Times New Roman" w:hAnsi="Times New Roman" w:eastAsia="Times New Roman"/>
          <w:vertAlign w:val="baseline"/>
        </w:rPr>
        <w:t>44m</w:t>
      </w:r>
      <w:r>
        <w:rPr>
          <w:spacing w:val="-4"/>
          <w:vertAlign w:val="baseline"/>
        </w:rPr>
        <w:t>处，占《环境空气质量标准》（</w:t>
      </w:r>
      <w:r>
        <w:rPr>
          <w:rFonts w:ascii="Times New Roman" w:hAnsi="Times New Roman" w:eastAsia="Times New Roman"/>
          <w:spacing w:val="-4"/>
          <w:vertAlign w:val="baseline"/>
        </w:rPr>
        <w:t>GB3095-2012</w:t>
      </w:r>
      <w:r>
        <w:rPr>
          <w:spacing w:val="-4"/>
          <w:vertAlign w:val="baseline"/>
        </w:rPr>
        <w:t>）</w:t>
      </w:r>
      <w:r>
        <w:rPr>
          <w:spacing w:val="-14"/>
          <w:vertAlign w:val="baseline"/>
        </w:rPr>
        <w:t>二级标准的</w:t>
      </w:r>
      <w:r>
        <w:rPr>
          <w:rFonts w:ascii="Times New Roman" w:hAnsi="Times New Roman" w:eastAsia="Times New Roman"/>
          <w:vertAlign w:val="baseline"/>
        </w:rPr>
        <w:t>5.4556%</w:t>
      </w:r>
      <w:r>
        <w:rPr>
          <w:spacing w:val="-15"/>
          <w:vertAlign w:val="baseline"/>
        </w:rPr>
        <w:t>，小于</w:t>
      </w:r>
      <w:r>
        <w:rPr>
          <w:rFonts w:ascii="Times New Roman" w:hAnsi="Times New Roman" w:eastAsia="Times New Roman"/>
          <w:vertAlign w:val="baseline"/>
        </w:rPr>
        <w:t>10%</w:t>
      </w:r>
      <w:r>
        <w:rPr>
          <w:vertAlign w:val="baseline"/>
        </w:rPr>
        <w:t>；</w:t>
      </w:r>
    </w:p>
    <w:p>
      <w:pPr>
        <w:pStyle w:val="7"/>
        <w:spacing w:before="1" w:line="364" w:lineRule="auto"/>
        <w:ind w:left="220" w:right="317" w:firstLine="480"/>
        <w:jc w:val="both"/>
      </w:pPr>
      <w:r>
        <w:rPr>
          <w:spacing w:val="-8"/>
        </w:rPr>
        <w:t>预测结果表明本项目正常工况下，各污染物落地浓度预测浓度满足相关质量</w:t>
      </w:r>
      <w:r>
        <w:rPr>
          <w:spacing w:val="-7"/>
        </w:rPr>
        <w:t>标准，占标率均低于</w:t>
      </w:r>
      <w:r>
        <w:rPr>
          <w:rFonts w:ascii="Times New Roman" w:eastAsia="Times New Roman"/>
        </w:rPr>
        <w:t>10%</w:t>
      </w:r>
      <w:r>
        <w:t>，不会对周围环境产生明显影响。</w:t>
      </w:r>
    </w:p>
    <w:p>
      <w:pPr>
        <w:pStyle w:val="5"/>
        <w:numPr>
          <w:ilvl w:val="2"/>
          <w:numId w:val="85"/>
        </w:numPr>
        <w:tabs>
          <w:tab w:val="left" w:pos="921"/>
        </w:tabs>
        <w:spacing w:before="115" w:after="0" w:line="240" w:lineRule="auto"/>
        <w:ind w:left="920" w:right="0" w:hanging="701"/>
        <w:jc w:val="left"/>
        <w:outlineLvl w:val="2"/>
      </w:pPr>
      <w:bookmarkStart w:id="544" w:name="9.5.2 水环境影响"/>
      <w:bookmarkEnd w:id="544"/>
      <w:bookmarkStart w:id="545" w:name="9.5.2 水环境影响"/>
      <w:bookmarkEnd w:id="545"/>
      <w:bookmarkStart w:id="546" w:name="_Toc9852"/>
      <w:r>
        <w:t>水环境影响</w:t>
      </w:r>
      <w:bookmarkEnd w:id="546"/>
    </w:p>
    <w:p>
      <w:pPr>
        <w:pStyle w:val="7"/>
        <w:ind w:left="0"/>
        <w:rPr>
          <w:b/>
        </w:rPr>
      </w:pPr>
    </w:p>
    <w:p>
      <w:pPr>
        <w:pStyle w:val="7"/>
        <w:spacing w:line="343" w:lineRule="auto"/>
        <w:ind w:left="220" w:right="195" w:firstLine="480"/>
        <w:jc w:val="both"/>
      </w:pPr>
      <w:r>
        <w:rPr>
          <w:spacing w:val="-5"/>
        </w:rPr>
        <w:t>本项目周围未划分集中式饮用水水源保护区。本项目采用干清粪工艺，不产</w:t>
      </w:r>
      <w:r>
        <w:rPr>
          <w:spacing w:val="-11"/>
        </w:rPr>
        <w:t>生圈舍冲洗废水；羊饮水一部分参与羊的新陈代谢，另一部分饮水以尿液的方式</w:t>
      </w:r>
      <w:r>
        <w:rPr>
          <w:spacing w:val="-10"/>
        </w:rPr>
        <w:t>排放，养殖场每栋羊舍地面为混凝土地面，上端覆盖</w:t>
      </w:r>
      <w:r>
        <w:rPr>
          <w:rFonts w:ascii="Times New Roman" w:eastAsia="Times New Roman"/>
        </w:rPr>
        <w:t>35cm</w:t>
      </w:r>
      <w:r>
        <w:rPr>
          <w:spacing w:val="-3"/>
        </w:rPr>
        <w:t>厚垫料，铺设垫床一般采用废气杂草、农作物秸秆粉、锯末等农业材料，羊排泄的尿液被垫料吸收、</w:t>
      </w:r>
      <w:r>
        <w:rPr>
          <w:spacing w:val="-9"/>
        </w:rPr>
        <w:t>蒸发，项目定期对垫料层和粪便进行清理更换，不需要对畜舍进行冲洗，无冲栏</w:t>
      </w:r>
      <w:r>
        <w:rPr>
          <w:spacing w:val="-17"/>
        </w:rPr>
        <w:t>废水产生。垫料层与羊粪一起进入堆肥厂堆肥发酵，废水实现综合利用，不外排。</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冬季储存，夏季用于场区洒水降尘。沉淀物由相关环卫部门抽运。</w:t>
      </w:r>
      <w:r>
        <w:rPr>
          <w:spacing w:val="-6"/>
        </w:rPr>
        <w:t>项目区</w:t>
      </w:r>
      <w:r>
        <w:rPr>
          <w:spacing w:val="-17"/>
        </w:rPr>
        <w:t>夏季蒸发量很大，羊尿主要和粪便混合在一起，每日及时清除，不进入排水系统。</w:t>
      </w:r>
      <w:r>
        <w:rPr>
          <w:spacing w:val="-6"/>
        </w:rPr>
        <w:t>项目进场需对车辆进行消毒处理，消毒用水量较小，不会在厂区形成径流，随之</w:t>
      </w:r>
      <w:r>
        <w:rPr>
          <w:spacing w:val="-10"/>
        </w:rPr>
        <w:t>蒸发。畜禽无害化处理车间化制废水进入废水槽，收集后拉运至</w:t>
      </w:r>
      <w:r>
        <w:rPr>
          <w:rFonts w:hint="eastAsia"/>
          <w:spacing w:val="-10"/>
          <w:lang w:val="en-US" w:eastAsia="zh-CN"/>
        </w:rPr>
        <w:t>莎车</w:t>
      </w:r>
      <w:r>
        <w:rPr>
          <w:spacing w:val="-10"/>
        </w:rPr>
        <w:t>县污水处理站处理，不外排。因此，项目对地下水环境的影响较小。</w:t>
      </w:r>
    </w:p>
    <w:p>
      <w:pPr>
        <w:spacing w:after="0" w:line="343" w:lineRule="auto"/>
        <w:jc w:val="both"/>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5"/>
        <w:numPr>
          <w:ilvl w:val="2"/>
          <w:numId w:val="85"/>
        </w:numPr>
        <w:tabs>
          <w:tab w:val="left" w:pos="921"/>
        </w:tabs>
        <w:spacing w:before="143" w:after="0" w:line="240" w:lineRule="auto"/>
        <w:ind w:left="920" w:right="0" w:hanging="701"/>
        <w:jc w:val="left"/>
        <w:outlineLvl w:val="2"/>
      </w:pPr>
      <w:bookmarkStart w:id="547" w:name="9.5.3 声环境影响"/>
      <w:bookmarkEnd w:id="547"/>
      <w:bookmarkStart w:id="548" w:name="9.5.3 声环境影响"/>
      <w:bookmarkEnd w:id="548"/>
      <w:bookmarkStart w:id="549" w:name="_Toc18646"/>
      <w:r>
        <w:t>声环境影响</w:t>
      </w:r>
      <w:bookmarkEnd w:id="549"/>
    </w:p>
    <w:p>
      <w:pPr>
        <w:pStyle w:val="7"/>
        <w:spacing w:before="5"/>
        <w:ind w:left="0"/>
        <w:rPr>
          <w:b/>
          <w:sz w:val="21"/>
        </w:rPr>
      </w:pPr>
    </w:p>
    <w:p>
      <w:pPr>
        <w:pStyle w:val="7"/>
        <w:spacing w:line="364" w:lineRule="auto"/>
        <w:ind w:left="220" w:right="173" w:firstLine="480"/>
      </w:pPr>
      <w:r>
        <w:t>项目建成后通过对各产噪设备采取室内安置、墙体隔声、基础减震降噪措施后，各厂界噪声预测值均符合《工业企业厂界噪声排放标准》（</w:t>
      </w:r>
      <w:r>
        <w:rPr>
          <w:rFonts w:ascii="Times New Roman" w:eastAsia="Times New Roman"/>
        </w:rPr>
        <w:t>GB12348-2008</w:t>
      </w:r>
      <w:r>
        <w:t>）的</w:t>
      </w:r>
      <w:r>
        <w:rPr>
          <w:rFonts w:ascii="Times New Roman" w:eastAsia="Times New Roman"/>
        </w:rPr>
        <w:t>2</w:t>
      </w:r>
      <w:r>
        <w:t>类标准要求，项目产生的噪声对项目区周边环境影响不大。</w:t>
      </w:r>
    </w:p>
    <w:p>
      <w:pPr>
        <w:pStyle w:val="5"/>
        <w:numPr>
          <w:ilvl w:val="2"/>
          <w:numId w:val="85"/>
        </w:numPr>
        <w:tabs>
          <w:tab w:val="left" w:pos="921"/>
        </w:tabs>
        <w:spacing w:before="116" w:after="0" w:line="240" w:lineRule="auto"/>
        <w:ind w:left="920" w:right="0" w:hanging="701"/>
        <w:jc w:val="left"/>
        <w:outlineLvl w:val="2"/>
      </w:pPr>
      <w:bookmarkStart w:id="550" w:name="9.5.4 固体废物影响"/>
      <w:bookmarkEnd w:id="550"/>
      <w:bookmarkStart w:id="551" w:name="9.5.4 固体废物影响"/>
      <w:bookmarkEnd w:id="551"/>
      <w:bookmarkStart w:id="552" w:name="_Toc20153"/>
      <w:r>
        <w:t>固体废物影响</w:t>
      </w:r>
      <w:bookmarkEnd w:id="552"/>
    </w:p>
    <w:p>
      <w:pPr>
        <w:pStyle w:val="7"/>
        <w:spacing w:before="7"/>
        <w:ind w:left="0"/>
        <w:rPr>
          <w:b/>
          <w:sz w:val="21"/>
        </w:rPr>
      </w:pPr>
    </w:p>
    <w:p>
      <w:pPr>
        <w:pStyle w:val="7"/>
        <w:spacing w:line="364" w:lineRule="auto"/>
        <w:ind w:left="220" w:right="315" w:firstLine="480"/>
        <w:jc w:val="both"/>
        <w:rPr>
          <w:color w:val="0000FF"/>
        </w:rPr>
      </w:pPr>
      <w:r>
        <w:rPr>
          <w:color w:val="0000FF"/>
          <w:spacing w:val="-6"/>
        </w:rPr>
        <w:t>本项目产生的固体废物主要为羊粪及粪渣、废弃垫料、病死羊及分娩物、医</w:t>
      </w:r>
      <w:r>
        <w:rPr>
          <w:color w:val="0000FF"/>
        </w:rPr>
        <w:t>疗垃圾、生活垃圾。</w:t>
      </w:r>
    </w:p>
    <w:p>
      <w:pPr>
        <w:pStyle w:val="7"/>
        <w:spacing w:before="1" w:line="364" w:lineRule="auto"/>
        <w:ind w:left="220" w:right="197" w:firstLine="480"/>
        <w:jc w:val="both"/>
        <w:rPr>
          <w:color w:val="0000FF"/>
        </w:rPr>
      </w:pPr>
      <w:r>
        <w:rPr>
          <w:color w:val="0000FF"/>
          <w:spacing w:val="-7"/>
        </w:rPr>
        <w:t>本项目羊粪产生量为</w:t>
      </w:r>
      <w:r>
        <w:rPr>
          <w:rFonts w:hint="eastAsia" w:ascii="Times New Roman" w:eastAsia="宋体"/>
          <w:color w:val="0000FF"/>
          <w:lang w:val="en-US" w:eastAsia="zh-CN"/>
        </w:rPr>
        <w:t>39785</w:t>
      </w:r>
      <w:r>
        <w:rPr>
          <w:rFonts w:ascii="Times New Roman" w:eastAsia="Times New Roman"/>
          <w:color w:val="0000FF"/>
        </w:rPr>
        <w:t>t/a</w:t>
      </w:r>
      <w:r>
        <w:rPr>
          <w:color w:val="0000FF"/>
        </w:rPr>
        <w:t>，每天产生的粪便由人工清理至堆肥厂通过</w:t>
      </w:r>
      <w:r>
        <w:rPr>
          <w:color w:val="0000FF"/>
          <w:spacing w:val="-11"/>
        </w:rPr>
        <w:t>高温堆肥发酵处理方式对固体粪污进行无害化处理，符合《粪便无害化卫生要求》</w:t>
      </w:r>
    </w:p>
    <w:p>
      <w:pPr>
        <w:pStyle w:val="7"/>
        <w:spacing w:before="2" w:line="364" w:lineRule="auto"/>
        <w:ind w:left="220" w:right="266"/>
        <w:jc w:val="both"/>
        <w:rPr>
          <w:color w:val="0000FF"/>
        </w:rPr>
      </w:pPr>
      <w:r>
        <w:rPr>
          <w:color w:val="0000FF"/>
        </w:rPr>
        <w:t>（</w:t>
      </w:r>
      <w:r>
        <w:rPr>
          <w:rFonts w:ascii="Times New Roman" w:eastAsia="Times New Roman"/>
          <w:color w:val="0000FF"/>
        </w:rPr>
        <w:t>GB7959-2012</w:t>
      </w:r>
      <w:r>
        <w:rPr>
          <w:color w:val="0000FF"/>
        </w:rPr>
        <w:t>）后，外售给附近村民，直接还田进行土地利用，禁止未经处理的畜禽粪便直接施入农田。</w:t>
      </w:r>
    </w:p>
    <w:p>
      <w:pPr>
        <w:pStyle w:val="7"/>
        <w:spacing w:before="1" w:line="364" w:lineRule="auto"/>
        <w:ind w:left="220" w:right="192" w:firstLine="480"/>
        <w:jc w:val="both"/>
        <w:rPr>
          <w:color w:val="0000FF"/>
        </w:rPr>
      </w:pPr>
      <w:r>
        <w:rPr>
          <w:color w:val="0000FF"/>
          <w:spacing w:val="-4"/>
        </w:rPr>
        <w:t>本项目养殖场每栋羊舍地面为混凝土地面，上端覆盖</w:t>
      </w:r>
      <w:r>
        <w:rPr>
          <w:rFonts w:ascii="Times New Roman" w:eastAsia="Times New Roman"/>
          <w:color w:val="0000FF"/>
        </w:rPr>
        <w:t>35cm</w:t>
      </w:r>
      <w:r>
        <w:rPr>
          <w:color w:val="0000FF"/>
          <w:spacing w:val="-4"/>
        </w:rPr>
        <w:t>厚垫料，铺设垫</w:t>
      </w:r>
      <w:r>
        <w:rPr>
          <w:color w:val="0000FF"/>
          <w:spacing w:val="-10"/>
        </w:rPr>
        <w:t>床一般采用废气杂草、农作物秸秆粉、锯末等农业材料，羊排泄的尿液和粪便进</w:t>
      </w:r>
      <w:r>
        <w:rPr>
          <w:color w:val="0000FF"/>
          <w:spacing w:val="9"/>
        </w:rPr>
        <w:t>入垫料，经羊踩结形成粪床。一般羊舍的垫料约</w:t>
      </w:r>
      <w:r>
        <w:rPr>
          <w:rFonts w:ascii="Times New Roman" w:eastAsia="Times New Roman"/>
          <w:color w:val="0000FF"/>
        </w:rPr>
        <w:t>2.5kg/m</w:t>
      </w:r>
      <w:r>
        <w:rPr>
          <w:rFonts w:ascii="Times New Roman" w:eastAsia="Times New Roman"/>
          <w:color w:val="0000FF"/>
          <w:position w:val="8"/>
          <w:sz w:val="15"/>
        </w:rPr>
        <w:t>2</w:t>
      </w:r>
      <w:r>
        <w:rPr>
          <w:color w:val="0000FF"/>
          <w:spacing w:val="11"/>
        </w:rPr>
        <w:t>，羊舍总建筑面</w:t>
      </w:r>
      <w:r>
        <w:rPr>
          <w:rFonts w:hint="eastAsia"/>
          <w:color w:val="0000FF"/>
          <w:spacing w:val="11"/>
          <w:lang w:val="en-US" w:eastAsia="zh-CN"/>
        </w:rPr>
        <w:t>积</w:t>
      </w:r>
      <w:r>
        <w:rPr>
          <w:rFonts w:hint="eastAsia" w:ascii="Times New Roman" w:eastAsia="宋体"/>
          <w:color w:val="0000FF"/>
          <w:spacing w:val="11"/>
          <w:lang w:val="en-US" w:eastAsia="zh-CN"/>
        </w:rPr>
        <w:t>9600</w:t>
      </w:r>
      <w:r>
        <w:rPr>
          <w:rFonts w:ascii="Times New Roman" w:eastAsia="Times New Roman"/>
          <w:color w:val="0000FF"/>
          <w:spacing w:val="-2"/>
        </w:rPr>
        <w:t>m</w:t>
      </w:r>
      <w:r>
        <w:rPr>
          <w:rFonts w:ascii="Times New Roman" w:eastAsia="Times New Roman"/>
          <w:color w:val="0000FF"/>
          <w:spacing w:val="1"/>
          <w:w w:val="104"/>
          <w:position w:val="8"/>
          <w:sz w:val="15"/>
        </w:rPr>
        <w:t>2</w:t>
      </w:r>
      <w:r>
        <w:rPr>
          <w:color w:val="0000FF"/>
          <w:spacing w:val="-11"/>
        </w:rPr>
        <w:t>，因此本项目最终废弃垫料的产生量为</w:t>
      </w:r>
      <w:r>
        <w:rPr>
          <w:rFonts w:hint="eastAsia" w:ascii="Times New Roman" w:eastAsia="宋体"/>
          <w:color w:val="0000FF"/>
          <w:lang w:val="en-US" w:eastAsia="zh-CN"/>
        </w:rPr>
        <w:t>24</w:t>
      </w:r>
      <w:r>
        <w:rPr>
          <w:rFonts w:ascii="Times New Roman" w:eastAsia="Times New Roman"/>
          <w:color w:val="0000FF"/>
        </w:rPr>
        <w:t>t/</w:t>
      </w:r>
      <w:r>
        <w:rPr>
          <w:rFonts w:ascii="Times New Roman" w:eastAsia="Times New Roman"/>
          <w:color w:val="0000FF"/>
          <w:spacing w:val="-1"/>
        </w:rPr>
        <w:t>a</w:t>
      </w:r>
      <w:r>
        <w:rPr>
          <w:color w:val="0000FF"/>
          <w:spacing w:val="-9"/>
        </w:rPr>
        <w:t>。根据业主提供的资料，</w:t>
      </w:r>
      <w:r>
        <w:rPr>
          <w:color w:val="0000FF"/>
          <w:spacing w:val="-16"/>
        </w:rPr>
        <w:t>粪床每</w:t>
      </w:r>
      <w:r>
        <w:rPr>
          <w:rFonts w:ascii="Times New Roman" w:eastAsia="Times New Roman"/>
          <w:color w:val="0000FF"/>
        </w:rPr>
        <w:t>1</w:t>
      </w:r>
      <w:r>
        <w:rPr>
          <w:color w:val="0000FF"/>
          <w:spacing w:val="-16"/>
        </w:rPr>
        <w:t>年清理一次，垫料层与羊粪、粪渣一起进入堆肥厂高温发酵无害化处理，</w:t>
      </w:r>
      <w:r>
        <w:rPr>
          <w:color w:val="0000FF"/>
        </w:rPr>
        <w:t>不外排，实现综合利用。</w:t>
      </w:r>
    </w:p>
    <w:p>
      <w:pPr>
        <w:pStyle w:val="7"/>
        <w:spacing w:before="3" w:line="364" w:lineRule="auto"/>
        <w:ind w:left="220" w:right="197" w:firstLine="480"/>
        <w:jc w:val="both"/>
        <w:rPr>
          <w:color w:val="0000FF"/>
        </w:rPr>
      </w:pPr>
      <w:r>
        <w:rPr>
          <w:color w:val="0000FF"/>
          <w:spacing w:val="-5"/>
        </w:rPr>
        <w:t>本项目运营期估算病死羊量约</w:t>
      </w:r>
      <w:r>
        <w:rPr>
          <w:rFonts w:ascii="Times New Roman" w:eastAsia="Times New Roman"/>
          <w:color w:val="0000FF"/>
        </w:rPr>
        <w:t>8t/a</w:t>
      </w:r>
      <w:r>
        <w:rPr>
          <w:color w:val="0000FF"/>
          <w:spacing w:val="-11"/>
        </w:rPr>
        <w:t>。本项目病死羊采用干化法畜禽无害化</w:t>
      </w:r>
      <w:r>
        <w:rPr>
          <w:color w:val="0000FF"/>
          <w:spacing w:val="-12"/>
        </w:rPr>
        <w:t>处理方式处理。计划项目区拟建畜禽无害化处理车间，并购进畜禽无害化处理</w:t>
      </w:r>
      <w:r>
        <w:rPr>
          <w:rFonts w:ascii="Times New Roman" w:eastAsia="Times New Roman"/>
          <w:color w:val="0000FF"/>
        </w:rPr>
        <w:t>1</w:t>
      </w:r>
      <w:r>
        <w:rPr>
          <w:color w:val="0000FF"/>
        </w:rPr>
        <w:t>吨</w:t>
      </w:r>
      <w:r>
        <w:rPr>
          <w:rFonts w:ascii="Times New Roman" w:eastAsia="Times New Roman"/>
          <w:color w:val="0000FF"/>
        </w:rPr>
        <w:t>/</w:t>
      </w:r>
      <w:r>
        <w:rPr>
          <w:color w:val="0000FF"/>
          <w:spacing w:val="-5"/>
        </w:rPr>
        <w:t>次成套设备，采用高温高压灭菌技术，大型动物无需肢解，可直接进行处理，</w:t>
      </w:r>
      <w:r>
        <w:rPr>
          <w:color w:val="0000FF"/>
          <w:spacing w:val="-4"/>
        </w:rPr>
        <w:t>处理后的产物可出售给肉骨粉干品生产厂和工业用油脂厂，综合利用，符合国家防疫法规要求。因此病死羊及分娩物对周边环境影响较小。</w:t>
      </w:r>
    </w:p>
    <w:p>
      <w:pPr>
        <w:pStyle w:val="7"/>
        <w:spacing w:before="2" w:line="364" w:lineRule="auto"/>
        <w:ind w:left="220" w:right="317" w:firstLine="480"/>
        <w:jc w:val="both"/>
        <w:rPr>
          <w:bCs/>
          <w:color w:val="FF0000"/>
          <w:sz w:val="24"/>
          <w:szCs w:val="24"/>
        </w:rPr>
      </w:pPr>
      <w:r>
        <w:rPr>
          <w:color w:val="0000FF"/>
          <w:spacing w:val="-12"/>
        </w:rPr>
        <w:t>消毒、防疫废物和兽用医疗废物由项目所在乡镇</w:t>
      </w:r>
      <w:r>
        <w:rPr>
          <w:rFonts w:hint="eastAsia"/>
          <w:color w:val="0000FF"/>
          <w:spacing w:val="-12"/>
          <w:lang w:val="en-US" w:eastAsia="zh-CN"/>
        </w:rPr>
        <w:t>莎车</w:t>
      </w:r>
      <w:r>
        <w:rPr>
          <w:color w:val="0000FF"/>
          <w:spacing w:val="-12"/>
        </w:rPr>
        <w:t>乡兽医站以及村级防疫</w:t>
      </w:r>
      <w:r>
        <w:rPr>
          <w:color w:val="0000FF"/>
          <w:spacing w:val="-3"/>
        </w:rPr>
        <w:t>中心委托有资质的单位处理处置。本项目劳动定员</w:t>
      </w:r>
      <w:r>
        <w:rPr>
          <w:rFonts w:ascii="Times New Roman" w:eastAsia="Times New Roman"/>
          <w:color w:val="0000FF"/>
        </w:rPr>
        <w:t>30</w:t>
      </w:r>
      <w:r>
        <w:rPr>
          <w:color w:val="0000FF"/>
          <w:spacing w:val="-2"/>
        </w:rPr>
        <w:t>人，</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圾收集系统，不会对区域环境造成不良影响。</w:t>
      </w:r>
    </w:p>
    <w:p>
      <w:pPr>
        <w:pStyle w:val="7"/>
        <w:spacing w:before="2" w:line="364" w:lineRule="auto"/>
        <w:ind w:left="220" w:right="317" w:firstLine="480"/>
        <w:jc w:val="both"/>
        <w:rPr>
          <w:color w:val="0000FF"/>
        </w:rPr>
      </w:pPr>
      <w:r>
        <w:rPr>
          <w:color w:val="0000FF"/>
          <w:spacing w:val="-6"/>
        </w:rPr>
        <w:t>本项目产生的固体废物均得到了妥善处置和利用，不向环境排放，所以本项</w:t>
      </w:r>
      <w:r>
        <w:rPr>
          <w:color w:val="0000FF"/>
        </w:rPr>
        <w:t>目固体废物对环境的影响可以接受。</w:t>
      </w:r>
    </w:p>
    <w:p>
      <w:pPr>
        <w:spacing w:after="0" w:line="364" w:lineRule="auto"/>
        <w:jc w:val="both"/>
        <w:rPr>
          <w:color w:val="0000FF"/>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5"/>
        <w:numPr>
          <w:ilvl w:val="2"/>
          <w:numId w:val="85"/>
        </w:numPr>
        <w:tabs>
          <w:tab w:val="left" w:pos="921"/>
        </w:tabs>
        <w:spacing w:before="143" w:after="0" w:line="240" w:lineRule="auto"/>
        <w:ind w:left="920" w:right="0" w:hanging="701"/>
        <w:jc w:val="left"/>
        <w:outlineLvl w:val="2"/>
      </w:pPr>
      <w:bookmarkStart w:id="553" w:name="9.5.5 生态环境影响"/>
      <w:bookmarkEnd w:id="553"/>
      <w:bookmarkStart w:id="554" w:name="9.5.5 生态环境影响"/>
      <w:bookmarkEnd w:id="554"/>
      <w:bookmarkStart w:id="555" w:name="_Toc9257"/>
      <w:r>
        <w:t>生态环境影响</w:t>
      </w:r>
      <w:bookmarkEnd w:id="555"/>
    </w:p>
    <w:p>
      <w:pPr>
        <w:pStyle w:val="7"/>
        <w:spacing w:before="5"/>
        <w:ind w:left="0"/>
        <w:rPr>
          <w:b/>
          <w:sz w:val="21"/>
        </w:rPr>
      </w:pPr>
    </w:p>
    <w:p>
      <w:pPr>
        <w:pStyle w:val="7"/>
        <w:spacing w:line="364" w:lineRule="auto"/>
        <w:ind w:left="220" w:right="315" w:firstLine="480"/>
        <w:jc w:val="both"/>
      </w:pPr>
      <w:r>
        <w:rPr>
          <w:spacing w:val="-10"/>
        </w:rPr>
        <w:t>项目建成后，养殖场将建成混凝土地面，并在空地和厂界四周进行绿化，项</w:t>
      </w:r>
      <w:r>
        <w:rPr>
          <w:spacing w:val="-6"/>
        </w:rPr>
        <w:t>目所在区域将会因为项目的建设而受益，植被覆盖率增大，多样性增加，使该地</w:t>
      </w:r>
      <w:r>
        <w:rPr>
          <w:spacing w:val="-7"/>
        </w:rPr>
        <w:t>区的生态得到有效的改善。因此本项目的实施可以提高土地利用率和生产力，且</w:t>
      </w:r>
      <w:r>
        <w:rPr>
          <w:spacing w:val="-6"/>
        </w:rPr>
        <w:t>绿化种植一方面可以起到降噪降恶臭的环境功能，另一方面更利于对地表径流水</w:t>
      </w:r>
      <w:r>
        <w:rPr>
          <w:spacing w:val="-10"/>
        </w:rPr>
        <w:t>的吸收，有利于水土保持，减少土壤侵蚀。综合来说对当地生态的影响，利大于</w:t>
      </w:r>
      <w:r>
        <w:t>弊。</w:t>
      </w:r>
    </w:p>
    <w:p>
      <w:pPr>
        <w:pStyle w:val="5"/>
        <w:numPr>
          <w:ilvl w:val="2"/>
          <w:numId w:val="85"/>
        </w:numPr>
        <w:tabs>
          <w:tab w:val="left" w:pos="921"/>
        </w:tabs>
        <w:spacing w:before="118" w:after="0" w:line="240" w:lineRule="auto"/>
        <w:ind w:left="920" w:right="0" w:hanging="701"/>
        <w:jc w:val="left"/>
        <w:outlineLvl w:val="2"/>
      </w:pPr>
      <w:bookmarkStart w:id="556" w:name="9.5.6 土壤环境影响"/>
      <w:bookmarkEnd w:id="556"/>
      <w:bookmarkStart w:id="557" w:name="9.5.6 土壤环境影响"/>
      <w:bookmarkEnd w:id="557"/>
      <w:bookmarkStart w:id="558" w:name="_Toc9408"/>
      <w:r>
        <w:t>土壤环境影响</w:t>
      </w:r>
      <w:bookmarkEnd w:id="558"/>
    </w:p>
    <w:p>
      <w:pPr>
        <w:pStyle w:val="7"/>
        <w:spacing w:before="7"/>
        <w:ind w:left="0"/>
        <w:rPr>
          <w:b/>
          <w:sz w:val="21"/>
        </w:rPr>
      </w:pPr>
    </w:p>
    <w:p>
      <w:pPr>
        <w:pStyle w:val="7"/>
        <w:spacing w:line="364" w:lineRule="auto"/>
        <w:ind w:left="220" w:right="316" w:firstLine="480"/>
        <w:jc w:val="both"/>
        <w:rPr>
          <w:color w:val="0000FF"/>
        </w:rPr>
      </w:pPr>
      <w:r>
        <w:rPr>
          <w:color w:val="0000FF"/>
          <w:spacing w:val="-6"/>
        </w:rPr>
        <w:t>项目区四周为</w:t>
      </w:r>
      <w:r>
        <w:rPr>
          <w:rFonts w:hint="eastAsia"/>
          <w:color w:val="0000FF"/>
          <w:spacing w:val="-6"/>
          <w:lang w:val="en-US" w:eastAsia="zh-CN"/>
        </w:rPr>
        <w:t>荒地西侧1.6km为</w:t>
      </w:r>
      <w:r>
        <w:rPr>
          <w:rFonts w:hint="eastAsia"/>
          <w:lang w:val="en-US" w:eastAsia="zh-CN"/>
        </w:rPr>
        <w:t>萨依吾斯塘村</w:t>
      </w:r>
      <w:r>
        <w:rPr>
          <w:rFonts w:hint="eastAsia"/>
          <w:color w:val="0000FF"/>
          <w:spacing w:val="-6"/>
          <w:lang w:val="en-US" w:eastAsia="zh-CN"/>
        </w:rPr>
        <w:t>村耕地</w:t>
      </w:r>
      <w:r>
        <w:rPr>
          <w:color w:val="0000FF"/>
          <w:spacing w:val="-6"/>
        </w:rPr>
        <w:t>，种植作物主要为玉米和小麦。项目的建</w:t>
      </w:r>
      <w:r>
        <w:rPr>
          <w:color w:val="0000FF"/>
          <w:spacing w:val="-7"/>
        </w:rPr>
        <w:t>设对土壤的影响主要是主体、辅助、公用以及环保工程建设破坏地表表层，加剧</w:t>
      </w:r>
      <w:r>
        <w:rPr>
          <w:color w:val="0000FF"/>
          <w:spacing w:val="-2"/>
        </w:rPr>
        <w:t>区域部分土壤的水分流失，降低原有土壤的抗侵蚀力，本项目占地约</w:t>
      </w:r>
      <w:r>
        <w:rPr>
          <w:rFonts w:hint="eastAsia" w:ascii="Times New Roman"/>
          <w:color w:val="0000FF"/>
          <w:lang w:val="en-US" w:eastAsia="zh-CN"/>
        </w:rPr>
        <w:t>2.073</w:t>
      </w:r>
      <w:r>
        <w:rPr>
          <w:rFonts w:ascii="Times New Roman" w:eastAsia="Times New Roman"/>
          <w:color w:val="0000FF"/>
        </w:rPr>
        <w:t>hm</w:t>
      </w:r>
      <w:r>
        <w:rPr>
          <w:rFonts w:ascii="Times New Roman" w:eastAsia="Times New Roman"/>
          <w:color w:val="0000FF"/>
          <w:position w:val="8"/>
          <w:sz w:val="15"/>
        </w:rPr>
        <w:t>2</w:t>
      </w:r>
      <w:r>
        <w:rPr>
          <w:color w:val="0000FF"/>
        </w:rPr>
        <w:t>（</w:t>
      </w:r>
      <w:r>
        <w:rPr>
          <w:rFonts w:hint="eastAsia" w:ascii="Times New Roman"/>
          <w:color w:val="0000FF"/>
          <w:lang w:val="en-US" w:eastAsia="zh-CN"/>
        </w:rPr>
        <w:t>31.095</w:t>
      </w:r>
      <w:r>
        <w:rPr>
          <w:color w:val="0000FF"/>
        </w:rPr>
        <w:t>亩），项目的建设对土壤产生的较大影响基本限于主要工程</w:t>
      </w:r>
      <w:r>
        <w:rPr>
          <w:rFonts w:hint="eastAsia" w:ascii="Times New Roman"/>
          <w:color w:val="0000FF"/>
          <w:lang w:val="en-US" w:eastAsia="zh-CN"/>
        </w:rPr>
        <w:t>31.095</w:t>
      </w:r>
      <w:r>
        <w:rPr>
          <w:color w:val="0000FF"/>
        </w:rPr>
        <w:t>亩占地范围内，对项目区西侧耕地基本无影响。另外项目建成后场内地面将做硬化处理，建成后绿地面积占整个场区的</w:t>
      </w:r>
      <w:r>
        <w:rPr>
          <w:rFonts w:hint="eastAsia" w:ascii="Times New Roman" w:eastAsia="宋体"/>
          <w:color w:val="0000FF"/>
          <w:lang w:val="en-US" w:eastAsia="zh-CN"/>
        </w:rPr>
        <w:t>15</w:t>
      </w:r>
      <w:r>
        <w:rPr>
          <w:rFonts w:ascii="Times New Roman" w:eastAsia="Times New Roman"/>
          <w:color w:val="0000FF"/>
        </w:rPr>
        <w:t>%</w:t>
      </w:r>
      <w:r>
        <w:rPr>
          <w:color w:val="0000FF"/>
        </w:rPr>
        <w:t>，区域原土壤的抗外界侵蚀力将有所改善。</w:t>
      </w:r>
    </w:p>
    <w:p>
      <w:pPr>
        <w:pStyle w:val="5"/>
        <w:numPr>
          <w:ilvl w:val="2"/>
          <w:numId w:val="85"/>
        </w:numPr>
        <w:tabs>
          <w:tab w:val="left" w:pos="921"/>
        </w:tabs>
        <w:spacing w:before="115" w:after="0" w:line="240" w:lineRule="auto"/>
        <w:ind w:left="920" w:right="0" w:hanging="701"/>
        <w:jc w:val="left"/>
        <w:outlineLvl w:val="2"/>
      </w:pPr>
      <w:bookmarkStart w:id="559" w:name="9.5.7 环境风险评价结论"/>
      <w:bookmarkEnd w:id="559"/>
      <w:bookmarkStart w:id="560" w:name="9.5.7 环境风险评价结论"/>
      <w:bookmarkEnd w:id="560"/>
      <w:bookmarkStart w:id="561" w:name="_Toc15793"/>
      <w:r>
        <w:t>环境风险评价结论</w:t>
      </w:r>
      <w:bookmarkEnd w:id="561"/>
    </w:p>
    <w:p>
      <w:pPr>
        <w:pStyle w:val="7"/>
        <w:spacing w:before="5"/>
        <w:ind w:left="0"/>
        <w:rPr>
          <w:b/>
          <w:sz w:val="21"/>
        </w:rPr>
      </w:pPr>
    </w:p>
    <w:p>
      <w:pPr>
        <w:pStyle w:val="7"/>
        <w:spacing w:line="364" w:lineRule="auto"/>
        <w:ind w:left="220" w:right="225" w:firstLine="480"/>
        <w:jc w:val="both"/>
      </w:pPr>
      <w:r>
        <w:rPr>
          <w:spacing w:val="2"/>
        </w:rPr>
        <w:t>项目生产过程中的主要环境风险是养殖场疫病风险，废气事故排放风险风</w:t>
      </w:r>
      <w:r>
        <w:rPr>
          <w:spacing w:val="-8"/>
        </w:rPr>
        <w:t>险。通过加强养殖场卫生管理和环境消毒、药物预防、羊的免疫接种、严格按照</w:t>
      </w:r>
      <w:r>
        <w:rPr>
          <w:spacing w:val="-13"/>
        </w:rPr>
        <w:t>防疫条例处置病死羊尸体等方式，降低养殖场疫病风险；定期对废气处理装置进</w:t>
      </w:r>
      <w:r>
        <w:rPr>
          <w:spacing w:val="-14"/>
        </w:rPr>
        <w:t>行检修，避免废气事故排放；对装置区管道经常巡查，杜绝“跑、冒、滴、漏”</w:t>
      </w:r>
      <w:r>
        <w:rPr>
          <w:spacing w:val="-8"/>
        </w:rPr>
        <w:t>等事故的发生，尤其是在储液池、污水输送管道周边，进行严格的防渗处理，从</w:t>
      </w:r>
      <w:r>
        <w:rPr>
          <w:spacing w:val="-12"/>
        </w:rPr>
        <w:t>源头上防止污水进入地下水含水层之间。通过采取以上措施，降低环境风险。建设单位必须严格落实事故预防措施，确定详尽的事故应急预案。</w:t>
      </w:r>
    </w:p>
    <w:p>
      <w:pPr>
        <w:pStyle w:val="4"/>
        <w:numPr>
          <w:ilvl w:val="1"/>
          <w:numId w:val="82"/>
        </w:numPr>
        <w:tabs>
          <w:tab w:val="left" w:pos="780"/>
        </w:tabs>
        <w:spacing w:before="157" w:after="0" w:line="240" w:lineRule="auto"/>
        <w:ind w:left="779" w:right="0" w:hanging="560"/>
        <w:jc w:val="left"/>
        <w:outlineLvl w:val="1"/>
      </w:pPr>
      <w:bookmarkStart w:id="562" w:name="_bookmark45"/>
      <w:bookmarkEnd w:id="562"/>
      <w:bookmarkStart w:id="563" w:name="_bookmark45"/>
      <w:bookmarkEnd w:id="563"/>
      <w:bookmarkStart w:id="564" w:name="9.6 污染防治措施"/>
      <w:bookmarkEnd w:id="564"/>
      <w:bookmarkStart w:id="565" w:name="_Toc2667"/>
      <w:r>
        <w:t>污染防治措施</w:t>
      </w:r>
      <w:bookmarkEnd w:id="565"/>
    </w:p>
    <w:p>
      <w:pPr>
        <w:pStyle w:val="7"/>
        <w:spacing w:before="6"/>
        <w:ind w:left="0"/>
        <w:rPr>
          <w:b/>
          <w:sz w:val="28"/>
        </w:rPr>
      </w:pPr>
    </w:p>
    <w:p>
      <w:pPr>
        <w:pStyle w:val="5"/>
        <w:numPr>
          <w:ilvl w:val="2"/>
          <w:numId w:val="86"/>
        </w:numPr>
        <w:tabs>
          <w:tab w:val="left" w:pos="921"/>
        </w:tabs>
        <w:spacing w:before="0" w:after="0" w:line="240" w:lineRule="auto"/>
        <w:ind w:left="920" w:right="0" w:hanging="701"/>
        <w:jc w:val="left"/>
        <w:outlineLvl w:val="2"/>
      </w:pPr>
      <w:bookmarkStart w:id="566" w:name="9.6.1 大气环境保护措施"/>
      <w:bookmarkEnd w:id="566"/>
      <w:bookmarkStart w:id="567" w:name="9.6.1 大气环境保护措施"/>
      <w:bookmarkEnd w:id="567"/>
      <w:bookmarkStart w:id="568" w:name="_Toc26245"/>
      <w:r>
        <w:t>大气环境保护措施</w:t>
      </w:r>
      <w:bookmarkEnd w:id="568"/>
    </w:p>
    <w:p>
      <w:pPr>
        <w:pStyle w:val="7"/>
        <w:spacing w:before="5"/>
        <w:ind w:left="0"/>
        <w:rPr>
          <w:b/>
          <w:sz w:val="21"/>
        </w:rPr>
      </w:pPr>
    </w:p>
    <w:p>
      <w:pPr>
        <w:pStyle w:val="7"/>
        <w:ind w:left="0" w:right="315"/>
        <w:jc w:val="right"/>
      </w:pPr>
      <w:r>
        <w:rPr>
          <w:spacing w:val="-7"/>
        </w:rPr>
        <w:t>羊舍采取保持羊舍清洁、及时清粪、加强管理、喷洒除臭剂、在日粮中投放</w:t>
      </w:r>
    </w:p>
    <w:p>
      <w:pPr>
        <w:pStyle w:val="7"/>
        <w:spacing w:before="160"/>
        <w:ind w:left="0" w:right="317"/>
        <w:jc w:val="right"/>
      </w:pPr>
      <w:r>
        <w:rPr>
          <w:rFonts w:ascii="Times New Roman" w:eastAsia="Times New Roman"/>
        </w:rPr>
        <w:t>EM</w:t>
      </w:r>
      <w:r>
        <w:rPr>
          <w:spacing w:val="-3"/>
        </w:rPr>
        <w:t>菌剂等有益微生物复合制剂、加强绿化、合理布置场区结构等措施减少臭气</w:t>
      </w:r>
    </w:p>
    <w:p>
      <w:pPr>
        <w:spacing w:after="0"/>
        <w:jc w:val="right"/>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7"/>
        <w:spacing w:before="90" w:line="364" w:lineRule="auto"/>
        <w:ind w:left="220" w:right="197"/>
        <w:jc w:val="both"/>
      </w:pPr>
      <w:r>
        <w:rPr>
          <w:spacing w:val="-16"/>
        </w:rPr>
        <w:t>扩散；羊粪发酵采用堆肥发酵；病死羊废物采用干化法畜禽无害化处理方式处理，</w:t>
      </w:r>
      <w:r>
        <w:rPr>
          <w:spacing w:val="-2"/>
        </w:rPr>
        <w:t>产生的废气引至光解除臭装置吸收处理，再经引风机引至</w:t>
      </w:r>
      <w:r>
        <w:rPr>
          <w:rFonts w:ascii="Times New Roman" w:eastAsia="Times New Roman"/>
        </w:rPr>
        <w:t>15m</w:t>
      </w:r>
      <w:r>
        <w:t>高排气筒集中排</w:t>
      </w:r>
      <w:r>
        <w:rPr>
          <w:spacing w:val="-11"/>
          <w:position w:val="2"/>
        </w:rPr>
        <w:t>放。项目</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厂界的浓度均小于《恶臭污染物排放标准》</w:t>
      </w:r>
      <w:r>
        <w:rPr>
          <w:spacing w:val="-3"/>
          <w:position w:val="2"/>
          <w:vertAlign w:val="baseline"/>
        </w:rPr>
        <w:t>（</w:t>
      </w:r>
      <w:r>
        <w:rPr>
          <w:rFonts w:ascii="Times New Roman" w:eastAsia="Times New Roman"/>
          <w:spacing w:val="-3"/>
          <w:position w:val="2"/>
          <w:vertAlign w:val="baseline"/>
        </w:rPr>
        <w:t>GB14554-93</w:t>
      </w:r>
      <w:r>
        <w:rPr>
          <w:spacing w:val="-3"/>
          <w:position w:val="2"/>
          <w:vertAlign w:val="baseline"/>
        </w:rPr>
        <w:t>）</w:t>
      </w:r>
      <w:r>
        <w:rPr>
          <w:spacing w:val="-30"/>
          <w:vertAlign w:val="baseline"/>
        </w:rPr>
        <w:t>表</w:t>
      </w:r>
      <w:r>
        <w:rPr>
          <w:rFonts w:ascii="Times New Roman" w:eastAsia="Times New Roman"/>
          <w:vertAlign w:val="baseline"/>
        </w:rPr>
        <w:t>1</w:t>
      </w:r>
      <w:r>
        <w:rPr>
          <w:spacing w:val="-6"/>
          <w:vertAlign w:val="baseline"/>
        </w:rPr>
        <w:t>恶臭污染物厂界标准值限值要求，排气筒排放污染物的浓度满足《恶臭污染</w:t>
      </w:r>
      <w:r>
        <w:t>物排放标准》（</w:t>
      </w:r>
      <w:r>
        <w:rPr>
          <w:rFonts w:ascii="Times New Roman" w:eastAsia="Times New Roman"/>
        </w:rPr>
        <w:t>GB14554-93</w:t>
      </w:r>
      <w:r>
        <w:t>）表</w:t>
      </w:r>
      <w:r>
        <w:rPr>
          <w:rFonts w:ascii="Times New Roman" w:eastAsia="Times New Roman"/>
        </w:rPr>
        <w:t>2</w:t>
      </w:r>
      <w:r>
        <w:t>限值要求。</w:t>
      </w:r>
    </w:p>
    <w:p>
      <w:pPr>
        <w:pStyle w:val="5"/>
        <w:numPr>
          <w:ilvl w:val="2"/>
          <w:numId w:val="86"/>
        </w:numPr>
        <w:tabs>
          <w:tab w:val="left" w:pos="921"/>
        </w:tabs>
        <w:spacing w:before="0" w:after="0" w:line="240" w:lineRule="auto"/>
        <w:ind w:left="920" w:right="0" w:hanging="701"/>
        <w:jc w:val="left"/>
        <w:outlineLvl w:val="2"/>
      </w:pPr>
      <w:bookmarkStart w:id="569" w:name="9.6.2 水环境保护措施"/>
      <w:bookmarkEnd w:id="569"/>
      <w:bookmarkStart w:id="570" w:name="9.6.2 水环境保护措施"/>
      <w:bookmarkEnd w:id="570"/>
      <w:bookmarkStart w:id="571" w:name="_Toc12433"/>
      <w:r>
        <w:t>水环境保护措施</w:t>
      </w:r>
      <w:bookmarkEnd w:id="571"/>
    </w:p>
    <w:p>
      <w:pPr>
        <w:pStyle w:val="7"/>
        <w:spacing w:before="7"/>
        <w:ind w:left="0"/>
        <w:rPr>
          <w:b/>
          <w:sz w:val="21"/>
        </w:rPr>
      </w:pPr>
    </w:p>
    <w:p>
      <w:pPr>
        <w:pStyle w:val="7"/>
        <w:spacing w:line="364" w:lineRule="auto"/>
        <w:ind w:left="220" w:right="195" w:firstLine="480"/>
        <w:jc w:val="both"/>
        <w:rPr>
          <w:color w:val="0000FF"/>
        </w:rPr>
      </w:pPr>
      <w:r>
        <w:rPr>
          <w:color w:val="0000FF"/>
          <w:spacing w:val="-7"/>
        </w:rPr>
        <w:t>本项目采用干清粪工艺，不产生圈舍冲洗废水；羊饮水一部分参与羊的新陈</w:t>
      </w:r>
      <w:r>
        <w:rPr>
          <w:color w:val="0000FF"/>
          <w:spacing w:val="-10"/>
        </w:rPr>
        <w:t>代谢，另一部分饮水以尿液的方式排放，养殖场每栋羊舍地面为混凝土地面，上</w:t>
      </w:r>
      <w:r>
        <w:rPr>
          <w:color w:val="0000FF"/>
          <w:spacing w:val="-23"/>
        </w:rPr>
        <w:t>端覆盖</w:t>
      </w:r>
      <w:r>
        <w:rPr>
          <w:rFonts w:ascii="Times New Roman" w:eastAsia="Times New Roman"/>
          <w:color w:val="0000FF"/>
        </w:rPr>
        <w:t>35cm</w:t>
      </w:r>
      <w:r>
        <w:rPr>
          <w:color w:val="0000FF"/>
          <w:spacing w:val="-4"/>
        </w:rPr>
        <w:t>厚垫料，铺设垫床一般采用废气杂草、农作物秸秆粉、锯末等农业</w:t>
      </w:r>
      <w:r>
        <w:rPr>
          <w:color w:val="0000FF"/>
          <w:spacing w:val="-18"/>
        </w:rPr>
        <w:t>材料，羊排泄的尿液被垫料吸收、蒸发，项目定期对垫料层和粪便进行清理更换，</w:t>
      </w:r>
      <w:r>
        <w:rPr>
          <w:color w:val="0000FF"/>
          <w:spacing w:val="-8"/>
        </w:rPr>
        <w:t>不需要对畜舍进行冲洗，无冲栏废水产生。垫料层与羊粪一起进入堆肥厂堆肥发</w:t>
      </w:r>
      <w:r>
        <w:rPr>
          <w:color w:val="0000FF"/>
          <w:spacing w:val="-10"/>
        </w:rPr>
        <w:t>酵，废水实现综合利用，不外排。</w:t>
      </w:r>
      <w:r>
        <w:rPr>
          <w:spacing w:val="-6"/>
        </w:rPr>
        <w:t>本项目职工</w:t>
      </w:r>
      <w:r>
        <w:rPr>
          <w:rFonts w:hint="eastAsia" w:ascii="宋体" w:hAnsi="宋体" w:eastAsia="宋体" w:cs="宋体"/>
          <w:color w:val="FF0000"/>
          <w:spacing w:val="-1"/>
          <w:sz w:val="24"/>
          <w:szCs w:val="24"/>
          <w:lang w:val="en-US" w:eastAsia="zh-CN"/>
        </w:rPr>
        <w:t>污水经过</w:t>
      </w:r>
      <w:r>
        <w:rPr>
          <w:rFonts w:hint="eastAsia" w:ascii="宋体" w:hAnsi="宋体" w:eastAsia="宋体" w:cs="宋体"/>
          <w:color w:val="FF0000"/>
          <w:sz w:val="24"/>
          <w:szCs w:val="24"/>
        </w:rPr>
        <w:t>化粪池及一套地埋式</w:t>
      </w:r>
      <w:r>
        <w:rPr>
          <w:rFonts w:hint="eastAsia" w:cs="宋体"/>
          <w:color w:val="FF0000"/>
          <w:sz w:val="24"/>
          <w:szCs w:val="24"/>
          <w:lang w:val="en-US" w:eastAsia="zh-CN"/>
        </w:rPr>
        <w:t>一体化</w:t>
      </w:r>
      <w:r>
        <w:rPr>
          <w:rFonts w:hint="eastAsia" w:ascii="宋体" w:hAnsi="宋体" w:eastAsia="宋体" w:cs="宋体"/>
          <w:color w:val="FF0000"/>
          <w:sz w:val="24"/>
          <w:szCs w:val="24"/>
        </w:rPr>
        <w:t>污水处理设备</w:t>
      </w:r>
      <w:r>
        <w:rPr>
          <w:rFonts w:hint="eastAsia" w:ascii="宋体" w:hAnsi="宋体" w:eastAsia="宋体" w:cs="宋体"/>
          <w:color w:val="FF0000"/>
          <w:sz w:val="24"/>
          <w:szCs w:val="24"/>
          <w:lang w:val="en-US" w:eastAsia="zh-CN"/>
        </w:rPr>
        <w:t>处理过的水</w:t>
      </w:r>
      <w:r>
        <w:rPr>
          <w:rFonts w:hint="eastAsia" w:ascii="宋体" w:hAnsi="宋体" w:eastAsia="宋体" w:cs="宋体"/>
          <w:color w:val="FF0000"/>
          <w:spacing w:val="-1"/>
          <w:sz w:val="24"/>
          <w:szCs w:val="24"/>
          <w:lang w:val="en-US" w:eastAsia="zh-CN"/>
        </w:rPr>
        <w:t>冬季储存，夏季用于场区洒水降尘</w:t>
      </w:r>
      <w:r>
        <w:rPr>
          <w:rFonts w:hint="eastAsia" w:cs="宋体"/>
          <w:color w:val="FF0000"/>
          <w:spacing w:val="-1"/>
          <w:sz w:val="24"/>
          <w:szCs w:val="24"/>
          <w:lang w:val="en-US" w:eastAsia="zh-CN"/>
        </w:rPr>
        <w:t>，</w:t>
      </w:r>
      <w:r>
        <w:rPr>
          <w:rFonts w:hint="eastAsia" w:ascii="宋体" w:hAnsi="宋体" w:eastAsia="宋体" w:cs="宋体"/>
          <w:color w:val="FF0000"/>
          <w:spacing w:val="-1"/>
          <w:sz w:val="24"/>
          <w:szCs w:val="24"/>
          <w:lang w:val="en-US" w:eastAsia="zh-CN"/>
        </w:rPr>
        <w:t>沉淀物由相关环卫部门抽运。</w:t>
      </w:r>
    </w:p>
    <w:p>
      <w:pPr>
        <w:pStyle w:val="7"/>
        <w:spacing w:before="5" w:line="364" w:lineRule="auto"/>
        <w:ind w:left="220" w:right="315" w:firstLine="480"/>
        <w:jc w:val="both"/>
        <w:rPr>
          <w:color w:val="0000FF"/>
        </w:rPr>
      </w:pPr>
      <w:r>
        <w:rPr>
          <w:color w:val="0000FF"/>
          <w:spacing w:val="-7"/>
        </w:rPr>
        <w:t>项目进场需对车辆进行消毒处理，设置消毒池，消毒用水量较小，不会在厂</w:t>
      </w:r>
      <w:r>
        <w:rPr>
          <w:color w:val="0000FF"/>
          <w:spacing w:val="-9"/>
        </w:rPr>
        <w:t>区形成径流，随之蒸发。本项目厂内绿化面积为</w:t>
      </w:r>
      <w:r>
        <w:rPr>
          <w:rFonts w:hint="eastAsia" w:ascii="Times New Roman"/>
          <w:color w:val="0000FF"/>
          <w:spacing w:val="-3"/>
          <w:lang w:val="en-US" w:eastAsia="zh-CN"/>
        </w:rPr>
        <w:t>3109.5</w:t>
      </w:r>
      <w:r>
        <w:rPr>
          <w:rFonts w:ascii="Times New Roman" w:eastAsia="Times New Roman"/>
          <w:color w:val="0000FF"/>
          <w:spacing w:val="-3"/>
        </w:rPr>
        <w:t>m</w:t>
      </w:r>
      <w:r>
        <w:rPr>
          <w:rFonts w:ascii="Times New Roman" w:eastAsia="Times New Roman"/>
          <w:color w:val="0000FF"/>
          <w:spacing w:val="-3"/>
          <w:position w:val="8"/>
          <w:sz w:val="15"/>
        </w:rPr>
        <w:t>2</w:t>
      </w:r>
      <w:r>
        <w:rPr>
          <w:color w:val="0000FF"/>
          <w:spacing w:val="-3"/>
        </w:rPr>
        <w:t>（</w:t>
      </w:r>
      <w:r>
        <w:rPr>
          <w:rFonts w:hint="eastAsia" w:ascii="Times New Roman"/>
          <w:color w:val="0000FF"/>
          <w:spacing w:val="-3"/>
          <w:lang w:val="en-US" w:eastAsia="zh-CN"/>
        </w:rPr>
        <w:t>4.66</w:t>
      </w:r>
      <w:r>
        <w:rPr>
          <w:color w:val="0000FF"/>
        </w:rPr>
        <w:t>亩</w:t>
      </w:r>
      <w:r>
        <w:rPr>
          <w:color w:val="0000FF"/>
          <w:spacing w:val="-23"/>
        </w:rPr>
        <w:t>）</w:t>
      </w:r>
      <w:r>
        <w:rPr>
          <w:color w:val="0000FF"/>
          <w:spacing w:val="-8"/>
        </w:rPr>
        <w:t>，绿化用水全部被植物和土壤吸收。畜禽无害化处理车间化制废水进入废水槽，收集后拉运</w:t>
      </w:r>
      <w:r>
        <w:rPr>
          <w:color w:val="0000FF"/>
        </w:rPr>
        <w:t>至</w:t>
      </w:r>
      <w:r>
        <w:rPr>
          <w:rFonts w:hint="eastAsia"/>
          <w:color w:val="0000FF"/>
          <w:lang w:val="en-US" w:eastAsia="zh-CN"/>
        </w:rPr>
        <w:t>莎车</w:t>
      </w:r>
      <w:r>
        <w:rPr>
          <w:color w:val="0000FF"/>
        </w:rPr>
        <w:t>县污水处理站处理，不外排，对环境无影响。</w:t>
      </w:r>
    </w:p>
    <w:p>
      <w:pPr>
        <w:pStyle w:val="7"/>
        <w:spacing w:before="2" w:line="364" w:lineRule="auto"/>
        <w:ind w:left="220" w:right="225" w:firstLine="480"/>
        <w:jc w:val="both"/>
        <w:rPr>
          <w:color w:val="0000FF"/>
        </w:rPr>
      </w:pPr>
      <w:r>
        <w:rPr>
          <w:color w:val="0000FF"/>
        </w:rPr>
        <w:t>地下水污染防治措施：为防止对地下水造成污染，环评要求羊舍、发酵区、羊粪堆场、无害化处理车间等采取防渗设施。</w:t>
      </w:r>
    </w:p>
    <w:p>
      <w:pPr>
        <w:pStyle w:val="5"/>
        <w:numPr>
          <w:ilvl w:val="2"/>
          <w:numId w:val="86"/>
        </w:numPr>
        <w:tabs>
          <w:tab w:val="left" w:pos="921"/>
        </w:tabs>
        <w:spacing w:before="115" w:after="0" w:line="240" w:lineRule="auto"/>
        <w:ind w:left="920" w:right="0" w:hanging="701"/>
        <w:jc w:val="left"/>
        <w:outlineLvl w:val="2"/>
      </w:pPr>
      <w:bookmarkStart w:id="572" w:name="9.6.3 声环境保护措施"/>
      <w:bookmarkEnd w:id="572"/>
      <w:bookmarkStart w:id="573" w:name="9.6.3 声环境保护措施"/>
      <w:bookmarkEnd w:id="573"/>
      <w:bookmarkStart w:id="574" w:name="_Toc2000"/>
      <w:r>
        <w:t>声环境保护措施</w:t>
      </w:r>
      <w:bookmarkEnd w:id="574"/>
    </w:p>
    <w:p>
      <w:pPr>
        <w:pStyle w:val="7"/>
        <w:spacing w:before="7"/>
        <w:ind w:left="0"/>
        <w:rPr>
          <w:b/>
          <w:sz w:val="21"/>
        </w:rPr>
      </w:pPr>
    </w:p>
    <w:p>
      <w:pPr>
        <w:pStyle w:val="7"/>
        <w:spacing w:line="364" w:lineRule="auto"/>
        <w:ind w:left="220" w:right="317" w:firstLine="480"/>
        <w:jc w:val="both"/>
      </w:pPr>
      <w:r>
        <w:rPr>
          <w:spacing w:val="-8"/>
        </w:rPr>
        <w:t>项目在建筑上采取隔声、吸声措施，在场区内外种植树木，以降低噪声向外</w:t>
      </w:r>
      <w:r>
        <w:rPr>
          <w:spacing w:val="-10"/>
        </w:rPr>
        <w:t>辐射；通过合理布局生产车间，达到阻隔、衰减噪声的目的。降噪后预计厂界噪</w:t>
      </w:r>
      <w:r>
        <w:t>声值可达到《工业企业厂界环境噪声排放标准》（</w:t>
      </w:r>
      <w:r>
        <w:rPr>
          <w:rFonts w:ascii="Times New Roman" w:eastAsia="Times New Roman"/>
        </w:rPr>
        <w:t>GB12348-2008</w:t>
      </w:r>
      <w:r>
        <w:t>）</w:t>
      </w:r>
      <w:r>
        <w:rPr>
          <w:spacing w:val="-14"/>
        </w:rPr>
        <w:t>中的</w:t>
      </w:r>
      <w:r>
        <w:rPr>
          <w:rFonts w:ascii="Times New Roman" w:eastAsia="Times New Roman"/>
        </w:rPr>
        <w:t>2</w:t>
      </w:r>
      <w:r>
        <w:t>类标准。</w:t>
      </w:r>
    </w:p>
    <w:p>
      <w:pPr>
        <w:pStyle w:val="5"/>
        <w:numPr>
          <w:ilvl w:val="2"/>
          <w:numId w:val="86"/>
        </w:numPr>
        <w:tabs>
          <w:tab w:val="left" w:pos="921"/>
        </w:tabs>
        <w:spacing w:before="116" w:after="0" w:line="240" w:lineRule="auto"/>
        <w:ind w:left="920" w:right="0" w:hanging="701"/>
        <w:jc w:val="left"/>
        <w:outlineLvl w:val="2"/>
      </w:pPr>
      <w:bookmarkStart w:id="575" w:name="9.6.4 固体废物处置措施"/>
      <w:bookmarkEnd w:id="575"/>
      <w:bookmarkStart w:id="576" w:name="9.6.4 固体废物处置措施"/>
      <w:bookmarkEnd w:id="576"/>
      <w:bookmarkStart w:id="577" w:name="_Toc12440"/>
      <w:r>
        <w:t>固体废物处置措施</w:t>
      </w:r>
      <w:bookmarkEnd w:id="577"/>
    </w:p>
    <w:p>
      <w:pPr>
        <w:pStyle w:val="7"/>
        <w:spacing w:before="5"/>
        <w:ind w:left="0"/>
        <w:rPr>
          <w:b/>
          <w:sz w:val="21"/>
        </w:rPr>
      </w:pPr>
    </w:p>
    <w:p>
      <w:pPr>
        <w:pStyle w:val="7"/>
        <w:ind w:left="700"/>
      </w:pPr>
      <w:r>
        <w:t>项目运营对其产生的固体废物均采取的有效的污染控制措施。</w:t>
      </w:r>
    </w:p>
    <w:p>
      <w:pPr>
        <w:pStyle w:val="7"/>
        <w:spacing w:before="161" w:line="364" w:lineRule="auto"/>
        <w:ind w:left="220" w:right="317" w:firstLine="480"/>
        <w:rPr>
          <w:color w:val="0000FF"/>
        </w:rPr>
      </w:pPr>
      <w:r>
        <w:rPr>
          <w:color w:val="0000FF"/>
          <w:spacing w:val="-6"/>
        </w:rPr>
        <w:t>本项目羊舍粪便采用机械干清粪为主，人工辅助干清粪，清理的干鲜粪集中</w:t>
      </w:r>
      <w:r>
        <w:rPr>
          <w:color w:val="0000FF"/>
          <w:spacing w:val="-9"/>
        </w:rPr>
        <w:t>在堆肥厂处置，经腐熟发酵后，达到无害化标准后还田。羊粪最终经堆存发酵处</w:t>
      </w:r>
    </w:p>
    <w:p>
      <w:pPr>
        <w:spacing w:after="0" w:line="364" w:lineRule="auto"/>
        <w:rPr>
          <w:color w:val="0000FF"/>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7"/>
        <w:spacing w:before="90" w:line="364" w:lineRule="auto"/>
        <w:ind w:left="220" w:right="315"/>
        <w:jc w:val="both"/>
        <w:rPr>
          <w:color w:val="0000FF"/>
        </w:rPr>
      </w:pPr>
      <w:r>
        <w:rPr>
          <w:color w:val="0000FF"/>
          <w:spacing w:val="-2"/>
        </w:rPr>
        <w:t>置后应满足《粪便无害化卫生标准》</w:t>
      </w:r>
      <w:r>
        <w:rPr>
          <w:color w:val="0000FF"/>
        </w:rPr>
        <w:t>（</w:t>
      </w:r>
      <w:r>
        <w:rPr>
          <w:rFonts w:ascii="Times New Roman" w:eastAsia="Times New Roman"/>
          <w:color w:val="0000FF"/>
        </w:rPr>
        <w:t>GB7959-2012</w:t>
      </w:r>
      <w:r>
        <w:rPr>
          <w:color w:val="0000FF"/>
        </w:rPr>
        <w:t>）</w:t>
      </w:r>
      <w:r>
        <w:rPr>
          <w:color w:val="0000FF"/>
          <w:spacing w:val="-3"/>
        </w:rPr>
        <w:t>中污染物排放标准及《畜</w:t>
      </w:r>
      <w:r>
        <w:rPr>
          <w:color w:val="0000FF"/>
        </w:rPr>
        <w:t>禽养殖业污染物排放标准》（</w:t>
      </w:r>
      <w:r>
        <w:rPr>
          <w:rFonts w:ascii="Times New Roman" w:eastAsia="Times New Roman"/>
          <w:color w:val="0000FF"/>
        </w:rPr>
        <w:t>GB18596-2001</w:t>
      </w:r>
      <w:r>
        <w:rPr>
          <w:color w:val="0000FF"/>
        </w:rPr>
        <w:t>）</w:t>
      </w:r>
      <w:r>
        <w:rPr>
          <w:color w:val="0000FF"/>
          <w:spacing w:val="-21"/>
        </w:rPr>
        <w:t>表</w:t>
      </w:r>
      <w:r>
        <w:rPr>
          <w:rFonts w:ascii="Times New Roman" w:eastAsia="Times New Roman"/>
          <w:color w:val="0000FF"/>
        </w:rPr>
        <w:t>6</w:t>
      </w:r>
      <w:r>
        <w:rPr>
          <w:color w:val="0000FF"/>
        </w:rPr>
        <w:t>中畜禽养殖业废渣无害化环境标准要求。</w:t>
      </w:r>
    </w:p>
    <w:p>
      <w:pPr>
        <w:pStyle w:val="7"/>
        <w:spacing w:before="2" w:line="364" w:lineRule="auto"/>
        <w:ind w:left="220" w:right="197" w:firstLine="480"/>
        <w:jc w:val="both"/>
        <w:rPr>
          <w:color w:val="0000FF"/>
        </w:rPr>
      </w:pPr>
      <w:r>
        <w:rPr>
          <w:color w:val="0000FF"/>
          <w:spacing w:val="-4"/>
        </w:rPr>
        <w:t>病死羊及分娩物采用干化法畜禽无害化处理方式处理，计划项目区拟建畜禽</w:t>
      </w:r>
      <w:r>
        <w:rPr>
          <w:color w:val="0000FF"/>
          <w:spacing w:val="-9"/>
        </w:rPr>
        <w:t>无害化处理车间，面积</w:t>
      </w:r>
      <w:r>
        <w:rPr>
          <w:rFonts w:ascii="Times New Roman" w:eastAsia="Times New Roman"/>
          <w:color w:val="0000FF"/>
        </w:rPr>
        <w:t>300m</w:t>
      </w:r>
      <w:r>
        <w:rPr>
          <w:rFonts w:ascii="Times New Roman" w:eastAsia="Times New Roman"/>
          <w:color w:val="0000FF"/>
          <w:position w:val="8"/>
          <w:sz w:val="15"/>
        </w:rPr>
        <w:t>2</w:t>
      </w:r>
      <w:r>
        <w:rPr>
          <w:color w:val="0000FF"/>
          <w:spacing w:val="-5"/>
        </w:rPr>
        <w:t>，并且购进畜禽无害化处理</w:t>
      </w:r>
      <w:r>
        <w:rPr>
          <w:rFonts w:ascii="Times New Roman" w:eastAsia="Times New Roman"/>
          <w:color w:val="0000FF"/>
        </w:rPr>
        <w:t>1</w:t>
      </w:r>
      <w:r>
        <w:rPr>
          <w:color w:val="0000FF"/>
        </w:rPr>
        <w:t>吨</w:t>
      </w:r>
      <w:r>
        <w:rPr>
          <w:rFonts w:ascii="Times New Roman" w:eastAsia="Times New Roman"/>
          <w:color w:val="0000FF"/>
        </w:rPr>
        <w:t>/</w:t>
      </w:r>
      <w:r>
        <w:rPr>
          <w:color w:val="0000FF"/>
        </w:rPr>
        <w:t>次成套设备，适用</w:t>
      </w:r>
      <w:r>
        <w:rPr>
          <w:color w:val="0000FF"/>
          <w:spacing w:val="-15"/>
        </w:rPr>
        <w:t>于病死畜禽无害化处理，处理设备采用高温高压灭菌技术，大型动物无需肢解，</w:t>
      </w:r>
      <w:r>
        <w:rPr>
          <w:color w:val="0000FF"/>
          <w:spacing w:val="-8"/>
        </w:rPr>
        <w:t>可直接进行处理。高温化制法一次性处理量大，本项目病死羊及分娩物的年产生</w:t>
      </w:r>
      <w:r>
        <w:rPr>
          <w:color w:val="0000FF"/>
          <w:spacing w:val="-22"/>
        </w:rPr>
        <w:t>总量为</w:t>
      </w:r>
      <w:r>
        <w:rPr>
          <w:rFonts w:hint="eastAsia" w:ascii="Times New Roman" w:eastAsia="宋体"/>
          <w:color w:val="0000FF"/>
          <w:lang w:val="en-US" w:eastAsia="zh-CN"/>
        </w:rPr>
        <w:t>8</w:t>
      </w:r>
      <w:r>
        <w:rPr>
          <w:rFonts w:ascii="Times New Roman" w:eastAsia="Times New Roman"/>
          <w:color w:val="0000FF"/>
        </w:rPr>
        <w:t>t</w:t>
      </w:r>
      <w:r>
        <w:rPr>
          <w:color w:val="0000FF"/>
        </w:rPr>
        <w:t>，能满足其数量要求，病死畜禽无害化处理最终得到肉骨粉干品和工业用油脂。肉骨粉可出售给肉骨粉干品生产厂；油脂出售给工业用油脂厂。</w:t>
      </w:r>
    </w:p>
    <w:p>
      <w:pPr>
        <w:pStyle w:val="7"/>
        <w:spacing w:before="3" w:line="364" w:lineRule="auto"/>
        <w:ind w:left="220" w:right="317" w:firstLine="480"/>
        <w:jc w:val="both"/>
        <w:rPr>
          <w:rFonts w:hint="eastAsia" w:eastAsia="宋体"/>
          <w:color w:val="0000FF"/>
          <w:lang w:eastAsia="zh-CN"/>
        </w:rPr>
      </w:pPr>
      <w:r>
        <w:rPr>
          <w:color w:val="0000FF"/>
          <w:spacing w:val="1"/>
        </w:rPr>
        <w:t>本项目充分发挥</w:t>
      </w:r>
      <w:r>
        <w:rPr>
          <w:rFonts w:hint="eastAsia"/>
          <w:color w:val="0000FF"/>
          <w:spacing w:val="1"/>
          <w:lang w:val="en-US" w:eastAsia="zh-CN"/>
        </w:rPr>
        <w:t>莎车</w:t>
      </w:r>
      <w:r>
        <w:rPr>
          <w:color w:val="0000FF"/>
          <w:spacing w:val="1"/>
        </w:rPr>
        <w:t>县农业农村局和</w:t>
      </w:r>
      <w:r>
        <w:rPr>
          <w:rFonts w:hint="eastAsia"/>
          <w:color w:val="0000FF"/>
          <w:spacing w:val="1"/>
          <w:lang w:val="en-US" w:eastAsia="zh-CN"/>
        </w:rPr>
        <w:t>莎车</w:t>
      </w:r>
      <w:r>
        <w:rPr>
          <w:color w:val="0000FF"/>
          <w:spacing w:val="1"/>
        </w:rPr>
        <w:t>乡镇兽医站以及村级防疫中心在</w:t>
      </w:r>
      <w:r>
        <w:rPr>
          <w:color w:val="0000FF"/>
          <w:spacing w:val="-9"/>
        </w:rPr>
        <w:t>养殖工作的作用，负责标准化羊产业养殖场的日常防疫工作；</w:t>
      </w:r>
      <w:r>
        <w:rPr>
          <w:rFonts w:hint="eastAsia"/>
          <w:color w:val="0000FF"/>
          <w:spacing w:val="-9"/>
          <w:lang w:val="en-US" w:eastAsia="zh-CN"/>
        </w:rPr>
        <w:t>莎车</w:t>
      </w:r>
      <w:r>
        <w:rPr>
          <w:color w:val="0000FF"/>
          <w:spacing w:val="-9"/>
        </w:rPr>
        <w:t>县农业农村局作为技术指导单位，负责羊产业养殖场的全局防疫工作。肉羊在生长过程接种免</w:t>
      </w:r>
      <w:r>
        <w:rPr>
          <w:color w:val="0000FF"/>
        </w:rPr>
        <w:t>疫或发病期接受治疗产生的少量医疗废物由项目所在乡镇</w:t>
      </w:r>
      <w:r>
        <w:rPr>
          <w:rFonts w:hint="eastAsia"/>
          <w:color w:val="0000FF"/>
          <w:lang w:val="en-US" w:eastAsia="zh-CN"/>
        </w:rPr>
        <w:t>莎车</w:t>
      </w:r>
      <w:r>
        <w:rPr>
          <w:color w:val="0000FF"/>
        </w:rPr>
        <w:t>乡兽医站以及村级防疫中心委托有资质的单位处理处置。</w:t>
      </w:r>
      <w:r>
        <w:rPr>
          <w:bCs/>
          <w:color w:val="FF0000"/>
          <w:sz w:val="24"/>
          <w:szCs w:val="24"/>
        </w:rPr>
        <w:t>站内设垃圾堆放装置，生活垃圾集中收集后统一送至</w:t>
      </w:r>
      <w:r>
        <w:rPr>
          <w:rFonts w:hint="eastAsia"/>
          <w:bCs/>
          <w:color w:val="FF0000"/>
          <w:sz w:val="24"/>
          <w:szCs w:val="24"/>
          <w:lang w:val="en-US" w:eastAsia="zh-CN"/>
        </w:rPr>
        <w:t>莎车县</w:t>
      </w:r>
      <w:r>
        <w:rPr>
          <w:bCs/>
          <w:color w:val="FF0000"/>
          <w:sz w:val="24"/>
          <w:szCs w:val="24"/>
        </w:rPr>
        <w:t>圾收集系统</w:t>
      </w:r>
      <w:r>
        <w:rPr>
          <w:rFonts w:hint="eastAsia"/>
          <w:bCs/>
          <w:color w:val="FF0000"/>
          <w:sz w:val="24"/>
          <w:szCs w:val="24"/>
          <w:lang w:eastAsia="zh-CN"/>
        </w:rPr>
        <w:t>。</w:t>
      </w:r>
    </w:p>
    <w:p>
      <w:pPr>
        <w:pStyle w:val="7"/>
        <w:spacing w:before="3" w:line="364" w:lineRule="auto"/>
        <w:ind w:left="220" w:right="317" w:firstLine="480"/>
        <w:jc w:val="both"/>
        <w:rPr>
          <w:color w:val="0000FF"/>
        </w:rPr>
      </w:pPr>
      <w:r>
        <w:rPr>
          <w:color w:val="0000FF"/>
          <w:spacing w:val="-10"/>
        </w:rPr>
        <w:t>综上所述，本项目对产生的固体废物均采取了妥善的处理或处置措施，不会</w:t>
      </w:r>
      <w:r>
        <w:rPr>
          <w:color w:val="0000FF"/>
        </w:rPr>
        <w:t>对环境产生二次污染。</w:t>
      </w:r>
    </w:p>
    <w:p>
      <w:pPr>
        <w:pStyle w:val="5"/>
        <w:numPr>
          <w:ilvl w:val="2"/>
          <w:numId w:val="86"/>
        </w:numPr>
        <w:tabs>
          <w:tab w:val="left" w:pos="921"/>
        </w:tabs>
        <w:spacing w:before="115" w:after="0" w:line="240" w:lineRule="auto"/>
        <w:ind w:left="920" w:right="0" w:hanging="701"/>
        <w:jc w:val="left"/>
        <w:outlineLvl w:val="2"/>
      </w:pPr>
      <w:bookmarkStart w:id="578" w:name="9.6.5 土壤污染防治措施"/>
      <w:bookmarkEnd w:id="578"/>
      <w:bookmarkStart w:id="579" w:name="9.6.5 土壤污染防治措施"/>
      <w:bookmarkEnd w:id="579"/>
      <w:bookmarkStart w:id="580" w:name="_Toc32421"/>
      <w:r>
        <w:t>土壤污染防治措施</w:t>
      </w:r>
      <w:bookmarkEnd w:id="580"/>
    </w:p>
    <w:p>
      <w:pPr>
        <w:pStyle w:val="7"/>
        <w:spacing w:before="7"/>
        <w:ind w:left="0"/>
        <w:rPr>
          <w:b/>
          <w:sz w:val="21"/>
        </w:rPr>
      </w:pPr>
    </w:p>
    <w:p>
      <w:pPr>
        <w:pStyle w:val="7"/>
        <w:spacing w:line="364" w:lineRule="auto"/>
        <w:ind w:left="220" w:right="317" w:firstLine="480"/>
        <w:jc w:val="both"/>
      </w:pPr>
      <w:bookmarkStart w:id="597" w:name="_GoBack"/>
      <w:r>
        <w:rPr>
          <w:spacing w:val="-7"/>
        </w:rPr>
        <w:t>本项目的建设性质为新建项目。从土壤环境质量现状监测结果来看，项目占地范围内未发现超标现象。项目运行过程中，确保项目废气污染物达标排放，养</w:t>
      </w:r>
      <w:r>
        <w:rPr>
          <w:spacing w:val="-9"/>
        </w:rPr>
        <w:t>殖废水全部综合利用，不外排。确保项目产生的一般固废和危险废物按照相应的</w:t>
      </w:r>
      <w:r>
        <w:rPr>
          <w:spacing w:val="-8"/>
        </w:rPr>
        <w:t>环境管理要求进行暂存、转移、处置，不得随意堆弃。同时，在场区占地范围内</w:t>
      </w:r>
      <w:r>
        <w:rPr>
          <w:spacing w:val="-10"/>
        </w:rPr>
        <w:t>采取绿化措施，种植对特征污染物粉尘、氨、硫化氢等具有较强吸附能力的植物为主；在装置界区进行地面硬化，危废暂存间设置围堰，按要求执行分区防渗措</w:t>
      </w:r>
      <w:r>
        <w:t>施。</w:t>
      </w:r>
    </w:p>
    <w:bookmarkEnd w:id="597"/>
    <w:p>
      <w:pPr>
        <w:pStyle w:val="4"/>
        <w:numPr>
          <w:ilvl w:val="1"/>
          <w:numId w:val="82"/>
        </w:numPr>
        <w:tabs>
          <w:tab w:val="left" w:pos="780"/>
        </w:tabs>
        <w:spacing w:before="157" w:after="0" w:line="240" w:lineRule="auto"/>
        <w:ind w:left="779" w:right="0" w:hanging="560"/>
        <w:jc w:val="left"/>
        <w:outlineLvl w:val="1"/>
        <w:rPr>
          <w:b/>
        </w:rPr>
      </w:pPr>
      <w:bookmarkStart w:id="581" w:name="9.7 总量控制"/>
      <w:bookmarkEnd w:id="581"/>
      <w:bookmarkStart w:id="582" w:name="_bookmark46"/>
      <w:bookmarkEnd w:id="582"/>
      <w:bookmarkStart w:id="583" w:name="_bookmark46"/>
      <w:bookmarkEnd w:id="583"/>
      <w:bookmarkStart w:id="584" w:name="_Toc32643"/>
      <w:r>
        <w:t>总量控制</w:t>
      </w:r>
      <w:bookmarkEnd w:id="584"/>
    </w:p>
    <w:p>
      <w:pPr>
        <w:pStyle w:val="7"/>
        <w:spacing w:before="90" w:line="364" w:lineRule="auto"/>
        <w:ind w:left="220" w:right="317" w:firstLine="448" w:firstLineChars="200"/>
        <w:rPr>
          <w:color w:val="0000FF"/>
        </w:rPr>
      </w:pPr>
      <w:r>
        <w:rPr>
          <w:spacing w:val="-8"/>
        </w:rPr>
        <w:t>本项目羊排泄的尿液被垫料吸收、蒸发，项目定期对垫料层和粪便进行清理</w:t>
      </w:r>
      <w:r>
        <w:rPr>
          <w:spacing w:val="-11"/>
        </w:rPr>
        <w:t>更换，不需要对畜舍进行冲洗，无冲栏废水产生。垫料层与羊粪一起进入堆肥厂</w:t>
      </w:r>
      <w:r>
        <w:rPr>
          <w:spacing w:val="-10"/>
        </w:rPr>
        <w:t>堆肥发酵，废水实现综合利用，不外排。</w:t>
      </w:r>
      <w:r>
        <w:rPr>
          <w:color w:val="0000FF"/>
          <w:spacing w:val="-6"/>
        </w:rPr>
        <w:t>本项目职工</w:t>
      </w:r>
      <w:r>
        <w:rPr>
          <w:rFonts w:hint="eastAsia"/>
          <w:color w:val="0000FF"/>
          <w:spacing w:val="-6"/>
          <w:lang w:val="en-US" w:eastAsia="zh-CN"/>
        </w:rPr>
        <w:t>人数较少产生的</w:t>
      </w:r>
      <w:r>
        <w:rPr>
          <w:rFonts w:hint="eastAsia" w:ascii="宋体" w:hAnsi="宋体" w:eastAsia="宋体" w:cs="宋体"/>
          <w:color w:val="0000FF"/>
          <w:spacing w:val="-1"/>
          <w:sz w:val="24"/>
          <w:szCs w:val="24"/>
          <w:lang w:val="en-US" w:eastAsia="zh-CN"/>
        </w:rPr>
        <w:t>污水经过</w:t>
      </w:r>
      <w:r>
        <w:rPr>
          <w:rFonts w:hint="eastAsia" w:ascii="宋体" w:hAnsi="宋体" w:eastAsia="宋体" w:cs="宋体"/>
          <w:color w:val="0000FF"/>
          <w:sz w:val="24"/>
          <w:szCs w:val="24"/>
        </w:rPr>
        <w:t>化粪池及一套地埋式</w:t>
      </w:r>
      <w:r>
        <w:rPr>
          <w:rFonts w:hint="eastAsia" w:cs="宋体"/>
          <w:color w:val="0000FF"/>
          <w:sz w:val="24"/>
          <w:szCs w:val="24"/>
          <w:lang w:val="en-US" w:eastAsia="zh-CN"/>
        </w:rPr>
        <w:t>一体化</w:t>
      </w:r>
      <w:r>
        <w:rPr>
          <w:rFonts w:hint="eastAsia" w:ascii="宋体" w:hAnsi="宋体" w:eastAsia="宋体" w:cs="宋体"/>
          <w:color w:val="0000FF"/>
          <w:sz w:val="24"/>
          <w:szCs w:val="24"/>
        </w:rPr>
        <w:t>污水处理设备</w:t>
      </w:r>
      <w:r>
        <w:rPr>
          <w:rFonts w:hint="eastAsia" w:ascii="宋体" w:hAnsi="宋体" w:eastAsia="宋体" w:cs="宋体"/>
          <w:color w:val="0000FF"/>
          <w:sz w:val="24"/>
          <w:szCs w:val="24"/>
          <w:lang w:val="en-US" w:eastAsia="zh-CN"/>
        </w:rPr>
        <w:t>处理过的水</w:t>
      </w:r>
      <w:r>
        <w:rPr>
          <w:rFonts w:hint="eastAsia" w:ascii="宋体" w:hAnsi="宋体" w:eastAsia="宋体" w:cs="宋体"/>
          <w:color w:val="0000FF"/>
          <w:spacing w:val="-1"/>
          <w:sz w:val="24"/>
          <w:szCs w:val="24"/>
          <w:lang w:val="en-US" w:eastAsia="zh-CN"/>
        </w:rPr>
        <w:t>冬季储存，夏季用于场区洒水降尘。沉淀物由相关环卫部门抽运。</w:t>
      </w:r>
      <w:r>
        <w:rPr>
          <w:color w:val="0000FF"/>
          <w:spacing w:val="-10"/>
        </w:rPr>
        <w:t>因此，本项目不需申请水污染物排放总量控制</w:t>
      </w:r>
      <w:r>
        <w:rPr>
          <w:color w:val="0000FF"/>
        </w:rPr>
        <w:t>指标。</w:t>
      </w:r>
    </w:p>
    <w:p>
      <w:pPr>
        <w:pStyle w:val="7"/>
        <w:spacing w:before="1" w:line="362" w:lineRule="auto"/>
        <w:ind w:left="220" w:right="225" w:firstLine="480"/>
      </w:pPr>
      <w:r>
        <w:rPr>
          <w:spacing w:val="-1"/>
        </w:rPr>
        <w:t>本项目废气主要为羊舍舍及污粪处理区恶臭气体，污染因子为氨、硫化氢、</w:t>
      </w:r>
      <w:r>
        <w:rPr>
          <w:spacing w:val="-10"/>
          <w:position w:val="2"/>
        </w:rPr>
        <w:t>臭气浓度等，无</w:t>
      </w:r>
      <w:r>
        <w:rPr>
          <w:rFonts w:ascii="Times New Roman" w:eastAsia="Times New Roman"/>
          <w:position w:val="2"/>
        </w:rPr>
        <w:t>SO</w:t>
      </w:r>
      <w:r>
        <w:rPr>
          <w:rFonts w:ascii="Times New Roman" w:eastAsia="Times New Roman"/>
          <w:position w:val="2"/>
          <w:vertAlign w:val="subscript"/>
        </w:rPr>
        <w:t>2</w:t>
      </w:r>
      <w:r>
        <w:rPr>
          <w:spacing w:val="-12"/>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X</w:t>
      </w:r>
      <w:r>
        <w:rPr>
          <w:spacing w:val="-30"/>
          <w:position w:val="2"/>
          <w:vertAlign w:val="baseline"/>
        </w:rPr>
        <w:t>及</w:t>
      </w:r>
      <w:r>
        <w:rPr>
          <w:rFonts w:ascii="Times New Roman" w:eastAsia="Times New Roman"/>
          <w:position w:val="2"/>
          <w:vertAlign w:val="baseline"/>
        </w:rPr>
        <w:t>VOC</w:t>
      </w:r>
      <w:r>
        <w:rPr>
          <w:rFonts w:ascii="Times New Roman" w:eastAsia="Times New Roman"/>
          <w:position w:val="2"/>
          <w:vertAlign w:val="subscript"/>
        </w:rPr>
        <w:t>S</w:t>
      </w:r>
      <w:r>
        <w:rPr>
          <w:spacing w:val="-5"/>
          <w:position w:val="2"/>
          <w:vertAlign w:val="baseline"/>
        </w:rPr>
        <w:t>排放，因此，本项目不需申请废气污染物排</w:t>
      </w:r>
      <w:r>
        <w:rPr>
          <w:spacing w:val="-5"/>
          <w:vertAlign w:val="baseline"/>
        </w:rPr>
        <w:t>污总量控制指标。</w:t>
      </w:r>
    </w:p>
    <w:p>
      <w:pPr>
        <w:pStyle w:val="7"/>
        <w:spacing w:before="7"/>
        <w:ind w:left="700"/>
      </w:pPr>
      <w:r>
        <w:t>综上所述，本项目无需申请总量控制指标。</w:t>
      </w:r>
    </w:p>
    <w:p>
      <w:pPr>
        <w:pStyle w:val="7"/>
        <w:spacing w:before="5"/>
        <w:ind w:left="0"/>
      </w:pPr>
    </w:p>
    <w:p>
      <w:pPr>
        <w:pStyle w:val="4"/>
        <w:numPr>
          <w:ilvl w:val="1"/>
          <w:numId w:val="82"/>
        </w:numPr>
        <w:tabs>
          <w:tab w:val="left" w:pos="780"/>
        </w:tabs>
        <w:spacing w:before="1" w:after="0" w:line="240" w:lineRule="auto"/>
        <w:ind w:left="779" w:right="0" w:hanging="560"/>
        <w:jc w:val="left"/>
        <w:outlineLvl w:val="1"/>
      </w:pPr>
      <w:bookmarkStart w:id="585" w:name="_bookmark47"/>
      <w:bookmarkEnd w:id="585"/>
      <w:bookmarkStart w:id="586" w:name="_bookmark47"/>
      <w:bookmarkEnd w:id="586"/>
      <w:bookmarkStart w:id="587" w:name="9.8 公众参与结论"/>
      <w:bookmarkEnd w:id="587"/>
      <w:bookmarkStart w:id="588" w:name="_Toc12103"/>
      <w:r>
        <w:t>公众参与结论</w:t>
      </w:r>
      <w:bookmarkEnd w:id="588"/>
    </w:p>
    <w:p>
      <w:pPr>
        <w:pStyle w:val="7"/>
        <w:spacing w:before="3"/>
        <w:ind w:left="0"/>
        <w:rPr>
          <w:b/>
        </w:rPr>
      </w:pPr>
    </w:p>
    <w:p>
      <w:pPr>
        <w:pStyle w:val="7"/>
        <w:spacing w:line="364" w:lineRule="auto"/>
        <w:ind w:left="220" w:right="317" w:firstLine="480"/>
        <w:jc w:val="both"/>
        <w:rPr>
          <w:color w:val="0000FF"/>
        </w:rPr>
      </w:pPr>
      <w:r>
        <w:rPr>
          <w:color w:val="0000FF"/>
          <w:spacing w:val="-4"/>
        </w:rPr>
        <w:t>按照生态环境部发布的《环境影响评价公众参与办法》</w:t>
      </w:r>
      <w:r>
        <w:rPr>
          <w:color w:val="0000FF"/>
        </w:rPr>
        <w:t>（</w:t>
      </w:r>
      <w:r>
        <w:rPr>
          <w:color w:val="0000FF"/>
          <w:spacing w:val="-15"/>
        </w:rPr>
        <w:t>部令第</w:t>
      </w:r>
      <w:r>
        <w:rPr>
          <w:rFonts w:ascii="Times New Roman" w:eastAsia="Times New Roman"/>
          <w:color w:val="0000FF"/>
        </w:rPr>
        <w:t>4</w:t>
      </w:r>
      <w:r>
        <w:rPr>
          <w:color w:val="0000FF"/>
        </w:rPr>
        <w:t>号</w:t>
      </w:r>
      <w:r>
        <w:rPr>
          <w:color w:val="0000FF"/>
          <w:spacing w:val="-20"/>
        </w:rPr>
        <w:t>），</w:t>
      </w:r>
      <w:r>
        <w:rPr>
          <w:rFonts w:hint="eastAsia"/>
          <w:color w:val="0000FF"/>
          <w:spacing w:val="-15"/>
          <w:lang w:val="en-US" w:eastAsia="zh-CN"/>
        </w:rPr>
        <w:t>莎车县</w:t>
      </w:r>
      <w:r>
        <w:rPr>
          <w:color w:val="0000FF"/>
        </w:rPr>
        <w:t>农业农村局在环评单位的协助下，先后在</w:t>
      </w:r>
      <w:r>
        <w:rPr>
          <w:rFonts w:hint="eastAsia"/>
          <w:color w:val="0000FF"/>
          <w:lang w:val="en-US" w:eastAsia="zh-CN"/>
        </w:rPr>
        <w:t>喀什</w:t>
      </w:r>
      <w:r>
        <w:rPr>
          <w:color w:val="0000FF"/>
        </w:rPr>
        <w:t>市人民政府发布三次网络公示，向公众告知本项目的建设情况。项目在公示期间，均未收到反馈意见。</w:t>
      </w:r>
    </w:p>
    <w:p>
      <w:pPr>
        <w:pStyle w:val="7"/>
        <w:spacing w:before="2" w:line="364" w:lineRule="auto"/>
        <w:ind w:left="220" w:right="317" w:firstLine="480"/>
        <w:jc w:val="both"/>
        <w:rPr>
          <w:color w:val="0000FF"/>
        </w:rPr>
      </w:pPr>
      <w:r>
        <w:rPr>
          <w:color w:val="0000FF"/>
          <w:spacing w:val="-7"/>
        </w:rPr>
        <w:t>征求意见稿公示期间，在</w:t>
      </w:r>
      <w:r>
        <w:rPr>
          <w:rFonts w:hint="eastAsia"/>
          <w:color w:val="0000FF"/>
          <w:spacing w:val="-7"/>
          <w:lang w:val="en-US" w:eastAsia="zh-CN"/>
        </w:rPr>
        <w:t>喀什</w:t>
      </w:r>
      <w:r>
        <w:rPr>
          <w:color w:val="0000FF"/>
          <w:spacing w:val="-7"/>
        </w:rPr>
        <w:t>市人民政府进行本项目环境影响报告书</w:t>
      </w:r>
      <w:r>
        <w:rPr>
          <w:color w:val="0000FF"/>
        </w:rPr>
        <w:t>（</w:t>
      </w:r>
      <w:r>
        <w:rPr>
          <w:color w:val="0000FF"/>
          <w:spacing w:val="-9"/>
        </w:rPr>
        <w:t>征求</w:t>
      </w:r>
      <w:r>
        <w:rPr>
          <w:color w:val="0000FF"/>
        </w:rPr>
        <w:t>意见稿</w:t>
      </w:r>
      <w:r>
        <w:rPr>
          <w:color w:val="0000FF"/>
          <w:spacing w:val="-48"/>
        </w:rPr>
        <w:t>）</w:t>
      </w:r>
      <w:r>
        <w:rPr>
          <w:color w:val="0000FF"/>
          <w:spacing w:val="-5"/>
        </w:rPr>
        <w:t>及其网络公众意见调查表的公告，同期在</w:t>
      </w:r>
      <w:r>
        <w:rPr>
          <w:rFonts w:hint="eastAsia"/>
          <w:color w:val="0000FF"/>
          <w:spacing w:val="-5"/>
          <w:lang w:val="en-US" w:eastAsia="zh-CN"/>
        </w:rPr>
        <w:t>喀什</w:t>
      </w:r>
      <w:r>
        <w:rPr>
          <w:color w:val="0000FF"/>
          <w:spacing w:val="-5"/>
        </w:rPr>
        <w:t>日报对项目环境影响报告</w:t>
      </w:r>
      <w:r>
        <w:rPr>
          <w:color w:val="0000FF"/>
          <w:spacing w:val="-6"/>
        </w:rPr>
        <w:t>书的环境影响评价信息进行了两期报纸公告，在距离项目最近的乡政府和村委会</w:t>
      </w:r>
      <w:r>
        <w:rPr>
          <w:color w:val="0000FF"/>
        </w:rPr>
        <w:t>张贴了公示。在此期间，未收到公众反馈的本项目关于环境保护方面的意见。</w:t>
      </w:r>
    </w:p>
    <w:p>
      <w:pPr>
        <w:pStyle w:val="4"/>
        <w:numPr>
          <w:ilvl w:val="1"/>
          <w:numId w:val="82"/>
        </w:numPr>
        <w:tabs>
          <w:tab w:val="left" w:pos="780"/>
        </w:tabs>
        <w:spacing w:before="155" w:after="0" w:line="240" w:lineRule="auto"/>
        <w:ind w:left="779" w:right="0" w:hanging="560"/>
        <w:jc w:val="left"/>
        <w:outlineLvl w:val="1"/>
      </w:pPr>
      <w:bookmarkStart w:id="589" w:name="_bookmark48"/>
      <w:bookmarkEnd w:id="589"/>
      <w:bookmarkStart w:id="590" w:name="9.9 综合评价结论"/>
      <w:bookmarkEnd w:id="590"/>
      <w:bookmarkStart w:id="591" w:name="_bookmark48"/>
      <w:bookmarkEnd w:id="591"/>
      <w:bookmarkStart w:id="592" w:name="_Toc28305"/>
      <w:r>
        <w:t>综合评价结论</w:t>
      </w:r>
      <w:bookmarkEnd w:id="592"/>
    </w:p>
    <w:p>
      <w:pPr>
        <w:pStyle w:val="7"/>
        <w:spacing w:before="5"/>
        <w:ind w:left="0"/>
        <w:rPr>
          <w:b/>
        </w:rPr>
      </w:pPr>
    </w:p>
    <w:p>
      <w:pPr>
        <w:pStyle w:val="7"/>
        <w:spacing w:before="1" w:line="364" w:lineRule="auto"/>
        <w:ind w:left="220" w:right="317" w:firstLine="480"/>
        <w:jc w:val="both"/>
        <w:rPr>
          <w:color w:val="0000FF"/>
        </w:rPr>
      </w:pPr>
      <w:r>
        <w:rPr>
          <w:color w:val="0000FF"/>
          <w:spacing w:val="-5"/>
        </w:rPr>
        <w:t>本项目建设地点不在</w:t>
      </w:r>
      <w:r>
        <w:rPr>
          <w:rFonts w:hint="eastAsia"/>
          <w:color w:val="0000FF"/>
          <w:spacing w:val="-5"/>
          <w:lang w:val="en-US" w:eastAsia="zh-CN"/>
        </w:rPr>
        <w:t>莎车</w:t>
      </w:r>
      <w:r>
        <w:rPr>
          <w:color w:val="0000FF"/>
          <w:spacing w:val="-5"/>
        </w:rPr>
        <w:t>县划定的畜禽养殖禁养区范围内，符合国家产业政</w:t>
      </w:r>
      <w:r>
        <w:rPr>
          <w:color w:val="0000FF"/>
          <w:spacing w:val="-10"/>
        </w:rPr>
        <w:t>策和地方相关规划，项目选址合理，工程所选养殖设备及工艺路线产生的污染物较小，符合清洁生产的要求，建设方在认真贯彻执行国家环保法律、法规，严格</w:t>
      </w:r>
      <w:r>
        <w:rPr>
          <w:color w:val="0000FF"/>
          <w:spacing w:val="-7"/>
        </w:rPr>
        <w:t>落实环评提出的各项环保措施后，污染物的排放可以满足达标排放的要求。项目</w:t>
      </w:r>
      <w:r>
        <w:rPr>
          <w:color w:val="0000FF"/>
        </w:rPr>
        <w:t>建成后，具有良好的经济效益、社会效益和环境效益。</w:t>
      </w:r>
    </w:p>
    <w:p>
      <w:pPr>
        <w:pStyle w:val="7"/>
        <w:spacing w:before="3" w:line="364" w:lineRule="auto"/>
        <w:ind w:left="220" w:right="317" w:firstLine="480"/>
        <w:jc w:val="both"/>
        <w:rPr>
          <w:color w:val="0000FF"/>
        </w:rPr>
      </w:pPr>
      <w:r>
        <w:rPr>
          <w:color w:val="0000FF"/>
          <w:spacing w:val="-10"/>
        </w:rPr>
        <w:t>因此，只要本项目在下一步的工程设计和建设中，严格落实本报告书提出的</w:t>
      </w:r>
      <w:r>
        <w:rPr>
          <w:color w:val="0000FF"/>
          <w:spacing w:val="-7"/>
        </w:rPr>
        <w:t>补充措施和各项建议，并严格执行环境保护“三同时”制度。本报告书认为：从</w:t>
      </w:r>
      <w:r>
        <w:rPr>
          <w:color w:val="0000FF"/>
        </w:rPr>
        <w:t>环保角度分析，本项目的建设是可行的。</w:t>
      </w:r>
    </w:p>
    <w:p>
      <w:pPr>
        <w:pStyle w:val="4"/>
        <w:numPr>
          <w:ilvl w:val="1"/>
          <w:numId w:val="82"/>
        </w:numPr>
        <w:tabs>
          <w:tab w:val="left" w:pos="940"/>
        </w:tabs>
        <w:spacing w:before="152" w:after="0" w:line="240" w:lineRule="auto"/>
        <w:ind w:left="940" w:right="0" w:hanging="720"/>
        <w:jc w:val="left"/>
        <w:outlineLvl w:val="1"/>
      </w:pPr>
      <w:bookmarkStart w:id="593" w:name="_bookmark49"/>
      <w:bookmarkEnd w:id="593"/>
      <w:bookmarkStart w:id="594" w:name="9.10 对策与建议"/>
      <w:bookmarkEnd w:id="594"/>
      <w:bookmarkStart w:id="595" w:name="_bookmark49"/>
      <w:bookmarkEnd w:id="595"/>
      <w:bookmarkStart w:id="596" w:name="_Toc21471"/>
      <w:r>
        <w:t>对策与建议</w:t>
      </w:r>
      <w:bookmarkEnd w:id="596"/>
    </w:p>
    <w:p>
      <w:pPr>
        <w:pStyle w:val="7"/>
        <w:spacing w:before="5"/>
        <w:ind w:left="0"/>
        <w:rPr>
          <w:b/>
        </w:rPr>
      </w:pPr>
    </w:p>
    <w:p>
      <w:pPr>
        <w:pStyle w:val="18"/>
        <w:numPr>
          <w:ilvl w:val="0"/>
          <w:numId w:val="87"/>
        </w:numPr>
        <w:tabs>
          <w:tab w:val="left" w:pos="1301"/>
        </w:tabs>
        <w:spacing w:before="0" w:after="0" w:line="364" w:lineRule="auto"/>
        <w:ind w:left="220" w:right="317" w:firstLine="480"/>
        <w:jc w:val="both"/>
        <w:rPr>
          <w:sz w:val="24"/>
        </w:rPr>
      </w:pPr>
      <w:r>
        <w:rPr>
          <w:spacing w:val="-1"/>
          <w:sz w:val="24"/>
        </w:rPr>
        <w:t>建设单位在项目实施过程中，应认真落实本项目的各项治理措施，加</w:t>
      </w:r>
      <w:r>
        <w:rPr>
          <w:spacing w:val="-7"/>
          <w:sz w:val="24"/>
        </w:rPr>
        <w:t>强对环保设施的运行管理，制定有效的管理规章制度，建立环保管理机制，防止</w:t>
      </w:r>
      <w:r>
        <w:rPr>
          <w:sz w:val="24"/>
        </w:rPr>
        <w:t>出现事故性和非正常污染排放；</w:t>
      </w:r>
    </w:p>
    <w:p>
      <w:pPr>
        <w:spacing w:after="0" w:line="364" w:lineRule="auto"/>
        <w:jc w:val="both"/>
        <w:rPr>
          <w:sz w:val="24"/>
        </w:rPr>
        <w:sectPr>
          <w:pgSz w:w="11910" w:h="16840"/>
          <w:pgMar w:top="1420" w:right="1480" w:bottom="1300" w:left="1580" w:header="897" w:footer="1116" w:gutter="0"/>
          <w:pgBorders>
            <w:top w:val="none" w:sz="0" w:space="0"/>
            <w:left w:val="none" w:sz="0" w:space="0"/>
            <w:bottom w:val="none" w:sz="0" w:space="0"/>
            <w:right w:val="none" w:sz="0" w:space="0"/>
          </w:pgBorders>
          <w:pgNumType w:fmt="decimal"/>
        </w:sectPr>
      </w:pPr>
    </w:p>
    <w:p>
      <w:pPr>
        <w:pStyle w:val="18"/>
        <w:numPr>
          <w:ilvl w:val="0"/>
          <w:numId w:val="87"/>
        </w:numPr>
        <w:tabs>
          <w:tab w:val="left" w:pos="1301"/>
        </w:tabs>
        <w:spacing w:before="90" w:after="0" w:line="364" w:lineRule="auto"/>
        <w:ind w:left="220" w:right="317" w:firstLine="480"/>
        <w:jc w:val="left"/>
        <w:rPr>
          <w:sz w:val="24"/>
        </w:rPr>
      </w:pPr>
      <w:r>
        <w:rPr>
          <w:spacing w:val="-1"/>
          <w:sz w:val="24"/>
        </w:rPr>
        <w:t>建设单位在项目实施过程中应严格执行原国家环保总局颁布的《畜禽</w:t>
      </w:r>
      <w:r>
        <w:rPr>
          <w:sz w:val="24"/>
        </w:rPr>
        <w:t>养殖业污染防治技术规范》（</w:t>
      </w:r>
      <w:r>
        <w:rPr>
          <w:rFonts w:ascii="Times New Roman" w:eastAsia="Times New Roman"/>
          <w:sz w:val="24"/>
        </w:rPr>
        <w:t>HJ/T81-2001</w:t>
      </w:r>
      <w:r>
        <w:rPr>
          <w:sz w:val="24"/>
        </w:rPr>
        <w:t>）；</w:t>
      </w:r>
    </w:p>
    <w:p>
      <w:pPr>
        <w:pStyle w:val="18"/>
        <w:numPr>
          <w:ilvl w:val="0"/>
          <w:numId w:val="87"/>
        </w:numPr>
        <w:tabs>
          <w:tab w:val="left" w:pos="1301"/>
        </w:tabs>
        <w:spacing w:before="1" w:after="0" w:line="364" w:lineRule="auto"/>
        <w:ind w:left="220" w:right="317" w:firstLine="480"/>
        <w:jc w:val="left"/>
        <w:rPr>
          <w:sz w:val="24"/>
        </w:rPr>
      </w:pPr>
      <w:r>
        <w:rPr>
          <w:spacing w:val="-1"/>
          <w:sz w:val="24"/>
        </w:rPr>
        <w:t>严格执行“三同时”制度，落实各项环保措施，平时注意各项环保设</w:t>
      </w:r>
      <w:r>
        <w:rPr>
          <w:sz w:val="24"/>
        </w:rPr>
        <w:t>施的维护，及时发现处理设备的隐患，确保处理系统正常运行；</w:t>
      </w:r>
    </w:p>
    <w:p>
      <w:pPr>
        <w:pStyle w:val="18"/>
        <w:numPr>
          <w:ilvl w:val="0"/>
          <w:numId w:val="87"/>
        </w:numPr>
        <w:tabs>
          <w:tab w:val="left" w:pos="1301"/>
        </w:tabs>
        <w:spacing w:before="1" w:after="0" w:line="364" w:lineRule="auto"/>
        <w:ind w:left="220" w:right="320" w:firstLine="480"/>
        <w:jc w:val="left"/>
        <w:rPr>
          <w:sz w:val="24"/>
        </w:rPr>
      </w:pPr>
      <w:r>
        <w:rPr>
          <w:spacing w:val="-1"/>
          <w:sz w:val="24"/>
        </w:rPr>
        <w:t>饲养人员每年应至少进行一次身体检查，如发现患有危害人、畜禽的</w:t>
      </w:r>
      <w:r>
        <w:rPr>
          <w:sz w:val="24"/>
        </w:rPr>
        <w:t>传染病者，应及时调离，以防传染；</w:t>
      </w:r>
    </w:p>
    <w:p>
      <w:pPr>
        <w:pStyle w:val="18"/>
        <w:numPr>
          <w:ilvl w:val="0"/>
          <w:numId w:val="87"/>
        </w:numPr>
        <w:tabs>
          <w:tab w:val="left" w:pos="1301"/>
        </w:tabs>
        <w:spacing w:before="1" w:after="0" w:line="240" w:lineRule="auto"/>
        <w:ind w:left="1301" w:right="0" w:hanging="601"/>
        <w:jc w:val="left"/>
        <w:rPr>
          <w:sz w:val="24"/>
        </w:rPr>
      </w:pPr>
      <w:r>
        <w:rPr>
          <w:sz w:val="24"/>
        </w:rPr>
        <w:t>落实环境监测计划。</w:t>
      </w:r>
    </w:p>
    <w:sectPr>
      <w:footerReference r:id="rId33" w:type="default"/>
      <w:pgSz w:w="11910" w:h="16840"/>
      <w:pgMar w:top="1420" w:right="1480" w:bottom="1300" w:left="1580" w:header="897" w:footer="1116" w:gutter="0"/>
      <w:pgBorders>
        <w:top w:val="none" w:sz="0" w:space="0"/>
        <w:left w:val="none" w:sz="0" w:space="0"/>
        <w:bottom w:val="none" w:sz="0" w:space="0"/>
        <w:right w:val="none" w:sz="0" w:space="0"/>
      </w:pgBorders>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宋?">
    <w:altName w:val="Times New Roman"/>
    <w:panose1 w:val="00000000000000000000"/>
    <w:charset w:val="00"/>
    <w:family w:val="auto"/>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MT Extra">
    <w:panose1 w:val="05050102010205020202"/>
    <w:charset w:val="02"/>
    <w:family w:val="roman"/>
    <w:pitch w:val="default"/>
    <w:sig w:usb0="8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64" o:spid="_x0000_s2164" o:spt="202" type="#_x0000_t202" style="position:absolute;left:0pt;margin-top:0pt;height:144pt;width:144pt;mso-position-horizontal:center;mso-position-horizontal-relative:margin;mso-wrap-style:none;z-index:232247296;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65" o:spid="_x0000_s2165" o:spt="202" type="#_x0000_t202" style="position:absolute;left:0pt;margin-top:0pt;height:144pt;width:144pt;mso-position-horizontal:center;mso-position-horizontal-relative:margin;mso-wrap-style:none;z-index:232248320;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66" o:spid="_x0000_s2166" o:spt="202" type="#_x0000_t202" style="position:absolute;left:0pt;margin-top:0pt;height:144pt;width:144pt;mso-position-horizontal:center;mso-position-horizontal-relative:margin;mso-wrap-style:none;z-index:232249344;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69" o:spid="_x0000_s2169" o:spt="202" type="#_x0000_t202" style="position:absolute;left:0pt;margin-top:0pt;height:144pt;width:144pt;mso-position-horizontal:center;mso-position-horizontal-relative:margin;mso-wrap-style:none;z-index:232252416;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64</w:t>
                </w:r>
                <w:r>
                  <w:rPr>
                    <w:rFonts w:hint="eastAsia"/>
                    <w:lang w:eastAsia="zh-CN"/>
                  </w:rP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71" o:spid="_x0000_s2171" o:spt="202" type="#_x0000_t202" style="position:absolute;left:0pt;margin-top:0pt;height:144pt;width:144pt;mso-position-horizontal:center;mso-position-horizontal-relative:margin;mso-wrap-style:none;z-index:232254464;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83</w:t>
                </w:r>
                <w:r>
                  <w:rPr>
                    <w:rFonts w:hint="eastAsia"/>
                    <w:lang w:eastAsia="zh-CN"/>
                  </w:rP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72" o:spid="_x0000_s2172" o:spt="202" type="#_x0000_t202" style="position:absolute;left:0pt;margin-top:0pt;height:144pt;width:144pt;mso-position-horizontal:center;mso-position-horizontal-relative:margin;mso-wrap-style:none;z-index:232255488;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91</w:t>
                </w:r>
                <w:r>
                  <w:rPr>
                    <w:rFonts w:hint="eastAsia"/>
                    <w:lang w:eastAsia="zh-CN"/>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73" o:spid="_x0000_s2173" o:spt="202" type="#_x0000_t202" style="position:absolute;left:0pt;margin-top:0pt;height:144pt;width:144pt;mso-position-horizontal:center;mso-position-horizontal-relative:margin;mso-wrap-style:none;z-index:232256512;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114</w:t>
                </w:r>
                <w:r>
                  <w:rPr>
                    <w:rFonts w:hint="eastAsia"/>
                    <w:lang w:eastAsia="zh-CN"/>
                  </w:rP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74" o:spid="_x0000_s2174" o:spt="202" type="#_x0000_t202" style="position:absolute;left:0pt;margin-top:0pt;height:144pt;width:144pt;mso-position-horizontal:center;mso-position-horizontal-relative:margin;mso-wrap-style:none;z-index:232257536;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124</w:t>
                </w:r>
                <w:r>
                  <w:rPr>
                    <w:rFonts w:hint="eastAsia"/>
                    <w:lang w:eastAsia="zh-CN"/>
                  </w:rP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75" o:spid="_x0000_s2175" o:spt="202" type="#_x0000_t202" style="position:absolute;left:0pt;margin-top:0pt;height:144pt;width:144pt;mso-position-horizontal:center;mso-position-horizontal-relative:margin;mso-wrap-style:none;z-index:232258560;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135</w:t>
                </w:r>
                <w:r>
                  <w:rPr>
                    <w:rFonts w:hint="eastAsia"/>
                    <w:lang w:eastAsia="zh-CN"/>
                  </w:rP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76" o:spid="_x0000_s2176" o:spt="202" type="#_x0000_t202" style="position:absolute;left:0pt;margin-top:0pt;height:144pt;width:144pt;mso-position-horizontal:center;mso-position-horizontal-relative:margin;mso-wrap-style:none;z-index:232259584;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145</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77" o:spid="_x0000_s2177" o:spt="202" type="#_x0000_t202" style="position:absolute;left:0pt;margin-top:0pt;height:144pt;width:144pt;mso-position-horizontal:center;mso-position-horizontal-relative:margin;mso-wrap-style:none;z-index:232260608;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155</w:t>
                </w:r>
                <w:r>
                  <w:rPr>
                    <w:rFonts w:hint="eastAsia"/>
                    <w:lang w:eastAsia="zh-CN"/>
                  </w:rP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78" o:spid="_x0000_s2178" o:spt="202" type="#_x0000_t202" style="position:absolute;left:0pt;margin-top:0pt;height:144pt;width:144pt;mso-position-horizontal:center;mso-position-horizontal-relative:margin;mso-wrap-style:none;z-index:232261632;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165</w:t>
                </w:r>
                <w:r>
                  <w:rPr>
                    <w:rFonts w:hint="eastAsia"/>
                    <w:lang w:eastAsia="zh-CN"/>
                  </w:rP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r>
      <w:rPr>
        <w:sz w:val="2"/>
      </w:rPr>
      <w:pict>
        <v:shape id="_x0000_s2179" o:spid="_x0000_s2179" o:spt="202" type="#_x0000_t202" style="position:absolute;left:0pt;margin-top:0pt;height:144pt;width:144pt;mso-position-horizontal:center;mso-position-horizontal-relative:margin;mso-wrap-style:none;z-index:232262656;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168</w:t>
                </w:r>
                <w:r>
                  <w:rPr>
                    <w:rFonts w:hint="eastAsia"/>
                    <w:lang w:eastAsia="zh-CN"/>
                  </w:rP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80" o:spid="_x0000_s2180" o:spt="202" type="#_x0000_t202" style="position:absolute;left:0pt;margin-top:0pt;height:144pt;width:144pt;mso-position-horizontal:center;mso-position-horizontal-relative:margin;mso-wrap-style:none;z-index:232263680;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169</w:t>
                </w:r>
                <w:r>
                  <w:rPr>
                    <w:rFonts w:hint="eastAsia"/>
                    <w:lang w:eastAsia="zh-CN"/>
                  </w:rPr>
                  <w:fldChar w:fldCharType="end"/>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81" o:spid="_x0000_s2181" o:spt="202" type="#_x0000_t202" style="position:absolute;left:0pt;margin-top:0pt;height:144pt;width:144pt;mso-position-horizontal:center;mso-position-horizontal-relative:margin;mso-wrap-style:none;z-index:232264704;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175</w:t>
                </w:r>
                <w:r>
                  <w:rPr>
                    <w:rFonts w:hint="eastAsia"/>
                    <w:lang w:eastAsia="zh-CN"/>
                  </w:rP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82" o:spid="_x0000_s2182" o:spt="202" type="#_x0000_t202" style="position:absolute;left:0pt;margin-top:0pt;height:144pt;width:144pt;mso-position-horizontal:center;mso-position-horizontal-relative:margin;mso-wrap-style:none;z-index:232265728;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185</w:t>
                </w:r>
                <w:r>
                  <w:rPr>
                    <w:rFonts w:hint="eastAsia"/>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85" o:spid="_x0000_s2185" o:spt="202" type="#_x0000_t202" style="position:absolute;left:0pt;margin-top:0pt;height:144pt;width:144pt;mso-position-horizontal:center;mso-position-horizontal-relative:margin;mso-wrap-style:none;z-index:232241152;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59" o:spid="_x0000_s2159" o:spt="202" type="#_x0000_t202" style="position:absolute;left:0pt;margin-top:0pt;height:144pt;width:144pt;mso-position-horizontal:center;mso-position-horizontal-relative:margin;mso-wrap-style:none;z-index:232242176;mso-width-relative:page;mso-height-relative:page;" filled="f" stroked="f" coordsize="21600,21600">
          <v:path/>
          <v:fill on="f" focussize="0,0"/>
          <v:stroke on="f"/>
          <v:imagedata o:title=""/>
          <o:lock v:ext="edit" aspectratio="f"/>
          <v:textbox inset="0mm,0mm,0mm,0mm" style="mso-fit-shape-to-text:t;">
            <w:txbxContent>
              <w:p>
                <w:pPr>
                  <w:pStyle w:val="10"/>
                  <w:rPr>
                    <w:rFonts w:hint="default" w:eastAsia="宋体"/>
                    <w:lang w:val="en-US" w:eastAsia="zh-CN"/>
                  </w:rPr>
                </w:pPr>
              </w:p>
            </w:txbxContent>
          </v:textbox>
        </v:shape>
      </w:pict>
    </w:r>
    <w:r>
      <w:rPr>
        <w:sz w:val="20"/>
      </w:rPr>
      <w:pict>
        <v:shape id="_x0000_s2076" o:spid="_x0000_s2076" o:spt="202" type="#_x0000_t202" style="position:absolute;left:0pt;margin-top:0pt;height:144pt;width:144pt;mso-position-horizontal:center;mso-position-horizontal-relative:margin;mso-wrap-style:none;z-index:232239104;mso-width-relative:page;mso-height-relative:page;" filled="f" stroked="f" coordsize="21600,21600">
          <v:path/>
          <v:fill on="f" focussize="0,0"/>
          <v:stroke on="f"/>
          <v:imagedata o:title=""/>
          <o:lock v:ext="edit" aspectratio="f"/>
          <v:textbox inset="0mm,0mm,0mm,0mm" style="mso-fit-shape-to-text:t;">
            <w:txbxContent>
              <w:p>
                <w:pPr>
                  <w:pStyle w:val="10"/>
                  <w:rPr>
                    <w:rFonts w:hint="default" w:eastAsia="宋体"/>
                    <w:lang w:val="en-US" w:eastAsia="zh-CN"/>
                  </w:rPr>
                </w:pPr>
                <w:r>
                  <w:rPr>
                    <w:rFonts w:hint="eastAsia"/>
                    <w:lang w:val="en-US" w:eastAsia="zh-CN"/>
                  </w:rPr>
                  <w:t>1</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0"/>
      </w:rPr>
      <w:pict>
        <v:shape id="_x0000_s2160" o:spid="_x0000_s2160" o:spt="202" type="#_x0000_t202" style="position:absolute;left:0pt;margin-top:0pt;height:144pt;width:144pt;mso-position-horizontal:center;mso-position-horizontal-relative:margin;mso-wrap-style:none;z-index:232243200;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4"/>
      </w:rPr>
      <w:pict>
        <v:shape id="_x0000_s2161" o:spid="_x0000_s2161" o:spt="202" type="#_x0000_t202" style="position:absolute;left:0pt;margin-top:0pt;height:144pt;width:144pt;mso-position-horizontal:center;mso-position-horizontal-relative:margin;mso-wrap-style:none;z-index:232244224;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w:r>
    <w:r>
      <w:pict>
        <v:shape id="_x0000_s2052" o:spid="_x0000_s2052" o:spt="202" type="#_x0000_t202" style="position:absolute;left:0pt;margin-top:775.1pt;height:12pt;width:8.5pt;mso-position-horizontal:center;mso-position-horizontal-relative:margin;mso-position-vertical-relative:page;z-index:23223910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hint="default" w:ascii="Times New Roman" w:eastAsia="宋体"/>
                    <w:sz w:val="18"/>
                    <w:lang w:val="en-US" w:eastAsia="zh-CN"/>
                  </w:rPr>
                </w:pP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4"/>
      </w:rPr>
      <w:pict>
        <v:shape id="_x0000_s2162" o:spid="_x0000_s2162" o:spt="202" type="#_x0000_t202" style="position:absolute;left:0pt;margin-top:0pt;height:144pt;width:144pt;mso-position-horizontal:center;mso-position-horizontal-relative:margin;mso-wrap-style:none;z-index:232245248;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w:r>
    <w:r>
      <w:pict>
        <v:shape id="_x0000_s2077" o:spid="_x0000_s2077" o:spt="202" type="#_x0000_t202" style="position:absolute;left:0pt;margin-top:775.1pt;height:12pt;width:8.5pt;mso-position-horizontal:center;mso-position-horizontal-relative:margin;mso-position-vertical-relative:page;z-index:23223910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hint="default" w:ascii="Times New Roman" w:eastAsia="宋体"/>
                    <w:sz w:val="18"/>
                    <w:lang w:val="en-US" w:eastAsia="zh-CN"/>
                  </w:rPr>
                </w:pP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sz w:val="24"/>
      </w:rPr>
      <w:pict>
        <v:shape id="_x0000_s2163" o:spid="_x0000_s2163" o:spt="202" type="#_x0000_t202" style="position:absolute;left:0pt;margin-top:0pt;height:144pt;width:144pt;mso-position-horizontal:center;mso-position-horizontal-relative:margin;mso-wrap-style:none;z-index:232246272;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w:r>
    <w:r>
      <w:pict>
        <v:shape id="_x0000_s2156" o:spid="_x0000_s2156" o:spt="202" type="#_x0000_t202" style="position:absolute;left:0pt;margin-top:775.1pt;height:12pt;width:8.5pt;mso-position-horizontal:center;mso-position-horizontal-relative:margin;mso-position-vertical-relative:page;z-index:23223910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hint="default" w:ascii="Times New Roman" w:eastAsia="宋体"/>
                    <w:sz w:val="18"/>
                    <w:lang w:val="en-US" w:eastAsia="zh-CN"/>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spacing w:line="14" w:lineRule="auto"/>
      <w:ind w:left="0"/>
      <w:rPr>
        <w:sz w:val="20"/>
      </w:rPr>
    </w:pPr>
    <w:r>
      <w:pict>
        <v:shape id="_x0000_s2050" o:spid="_x0000_s2050" o:spt="202" type="#_x0000_t202" style="position:absolute;left:0pt;margin-left:166.6pt;margin-top:45.25pt;height:11.8pt;width:313.9pt;mso-position-horizontal-relative:page;mso-position-vertical-relative:page;z-index:-271079424;mso-width-relative:page;mso-height-relative:page;" filled="f" stroked="f" coordsize="21600,21600">
          <v:path/>
          <v:fill on="f" focussize="0,0"/>
          <v:stroke on="f"/>
          <v:imagedata o:title=""/>
          <o:lock v:ext="edit" aspectratio="f"/>
          <v:textbox inset="0mm,0mm,0mm,0mm">
            <w:txbxContent>
              <w:p>
                <w:pPr>
                  <w:spacing w:before="0" w:line="220" w:lineRule="exact"/>
                  <w:ind w:right="0"/>
                  <w:jc w:val="center"/>
                  <w:rPr>
                    <w:color w:val="000000" w:themeColor="text1"/>
                    <w:sz w:val="20"/>
                    <w:szCs w:val="20"/>
                  </w:rPr>
                </w:pPr>
                <w:r>
                  <w:rPr>
                    <w:rFonts w:ascii="宋?" w:hAnsi="宋?" w:cs="宋?"/>
                    <w:color w:val="000000" w:themeColor="text1"/>
                    <w:kern w:val="0"/>
                    <w:sz w:val="20"/>
                    <w:szCs w:val="20"/>
                  </w:rPr>
                  <w:t>莎车县孜热甫夏提良种繁育中心建设项目</w:t>
                </w:r>
              </w:p>
            </w:txbxContent>
          </v:textbox>
        </v:shape>
      </w:pict>
    </w:r>
  </w:p>
  <w:p>
    <w:pPr>
      <w:pStyle w:val="7"/>
      <w:pBdr>
        <w:bottom w:val="none" w:color="auto" w:sz="0" w:space="0"/>
      </w:pBdr>
      <w:spacing w:line="14" w:lineRule="auto"/>
      <w:ind w:left="0"/>
      <w:rPr>
        <w:sz w:val="20"/>
      </w:rPr>
    </w:pPr>
    <w:r>
      <w:pict>
        <v:line id="_x0000_s2049" o:spid="_x0000_s2049" o:spt="20" style="position:absolute;left:0pt;margin-left:90pt;margin-top:56.4pt;height:0pt;width:415.3pt;mso-position-horizontal-relative:page;mso-position-vertical-relative:page;z-index:-271080448;mso-width-relative:page;mso-height-relative:page;" stroked="t" coordsize="21600,21600">
          <v:path arrowok="t"/>
          <v:fill focussize="0,0"/>
          <v:stroke weight="0.48pt" color="#000000"/>
          <v:imagedata o:title=""/>
          <o:lock v:ext="edi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spacing w:line="14" w:lineRule="auto"/>
      <w:ind w:left="0"/>
      <w:rPr>
        <w:sz w:val="20"/>
      </w:rPr>
    </w:pPr>
    <w:r>
      <w:pict>
        <v:shape id="_x0000_s2186" o:spid="_x0000_s2186" o:spt="202" type="#_x0000_t202" style="position:absolute;left:0pt;margin-left:166.6pt;margin-top:45.25pt;height:11.8pt;width:313.9pt;mso-position-horizontal-relative:page;mso-position-vertical-relative:page;z-index:-271079424;mso-width-relative:page;mso-height-relative:page;" filled="f" stroked="f" coordsize="21600,21600">
          <v:path/>
          <v:fill on="f" focussize="0,0"/>
          <v:stroke on="f"/>
          <v:imagedata o:title=""/>
          <o:lock v:ext="edit" aspectratio="f"/>
          <v:textbox inset="0mm,0mm,0mm,0mm">
            <w:txbxContent>
              <w:p>
                <w:pPr>
                  <w:spacing w:before="0" w:line="220" w:lineRule="exact"/>
                  <w:ind w:right="0"/>
                  <w:jc w:val="center"/>
                  <w:rPr>
                    <w:color w:val="000000" w:themeColor="text1"/>
                    <w:sz w:val="20"/>
                    <w:szCs w:val="20"/>
                  </w:rPr>
                </w:pPr>
                <w:r>
                  <w:rPr>
                    <w:rFonts w:ascii="宋?" w:hAnsi="宋?" w:cs="宋?"/>
                    <w:color w:val="000000" w:themeColor="text1"/>
                    <w:kern w:val="0"/>
                    <w:sz w:val="20"/>
                    <w:szCs w:val="20"/>
                  </w:rPr>
                  <w:t>莎车县孜热甫夏提良种繁育中心建设项目</w:t>
                </w:r>
              </w:p>
            </w:txbxContent>
          </v:textbox>
        </v:shape>
      </w:pict>
    </w:r>
  </w:p>
  <w:p>
    <w:pPr>
      <w:pStyle w:val="7"/>
      <w:pBdr>
        <w:bottom w:val="none" w:color="auto" w:sz="0" w:space="0"/>
      </w:pBdr>
      <w:spacing w:line="14" w:lineRule="auto"/>
      <w:ind w:left="0"/>
      <w:rPr>
        <w:sz w:val="20"/>
      </w:rPr>
    </w:pPr>
    <w:r>
      <w:pict>
        <v:line id="_x0000_s2187" o:spid="_x0000_s2187" o:spt="20" style="position:absolute;left:0pt;margin-left:90pt;margin-top:56.4pt;height:0pt;width:415.3pt;mso-position-horizontal-relative:page;mso-position-vertical-relative:page;z-index:-271080448;mso-width-relative:page;mso-height-relative:page;" stroked="t" coordsize="21600,21600">
          <v:path arrowok="t"/>
          <v:fill focussize="0,0"/>
          <v:stroke weight="0.48pt" color="#000000"/>
          <v:imagedata o:title=""/>
          <o:lock v:ext="edit"/>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pict>
        <v:line id="_x0000_s2069" o:spid="_x0000_s2069" o:spt="20" style="position:absolute;left:0pt;margin-left:90pt;margin-top:56.4pt;height:0pt;width:415.3pt;mso-position-horizontal-relative:page;mso-position-vertical-relative:page;z-index:-271059968;mso-width-relative:page;mso-height-relative:page;" stroked="t" coordsize="21600,21600">
          <v:path arrowok="t"/>
          <v:fill focussize="0,0"/>
          <v:stroke weight="0.48pt" color="#000000"/>
          <v:imagedata o:title=""/>
          <o:lock v:ext="edit"/>
        </v:line>
      </w:pict>
    </w:r>
    <w:r>
      <w:pict>
        <v:shape id="_x0000_s2070" o:spid="_x0000_s2070" o:spt="202" type="#_x0000_t202" style="position:absolute;left:0pt;margin-left:233.6pt;margin-top:43.85pt;height:11pt;width:128pt;mso-position-horizontal-relative:page;mso-position-vertical-relative:page;z-index:-2710589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rFonts w:hint="eastAsia"/>
                    <w:sz w:val="18"/>
                    <w:lang w:eastAsia="zh-CN"/>
                  </w:rPr>
                  <w:t>莎车</w:t>
                </w:r>
                <w:r>
                  <w:rPr>
                    <w:sz w:val="18"/>
                  </w:rPr>
                  <w:t>县羊养殖扶贫产业建设项目</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1">
    <w:nsid w:val="813A4B87"/>
    <w:multiLevelType w:val="multilevel"/>
    <w:tmpl w:val="813A4B87"/>
    <w:lvl w:ilvl="0" w:tentative="0">
      <w:start w:val="3"/>
      <w:numFmt w:val="decimal"/>
      <w:lvlText w:val="%1"/>
      <w:lvlJc w:val="left"/>
      <w:pPr>
        <w:ind w:left="1320" w:hanging="780"/>
        <w:jc w:val="left"/>
      </w:pPr>
      <w:rPr>
        <w:rFonts w:hint="default"/>
        <w:lang w:val="zh-CN" w:eastAsia="zh-CN" w:bidi="zh-CN"/>
      </w:rPr>
    </w:lvl>
    <w:lvl w:ilvl="1" w:tentative="0">
      <w:start w:val="1"/>
      <w:numFmt w:val="decimal"/>
      <w:lvlText w:val="%1.%2"/>
      <w:lvlJc w:val="left"/>
      <w:pPr>
        <w:ind w:left="1320" w:hanging="780"/>
        <w:jc w:val="left"/>
      </w:pPr>
      <w:rPr>
        <w:rFonts w:hint="default"/>
        <w:lang w:val="zh-CN" w:eastAsia="zh-CN" w:bidi="zh-CN"/>
      </w:rPr>
    </w:lvl>
    <w:lvl w:ilvl="2" w:tentative="0">
      <w:start w:val="5"/>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2">
    <w:nsid w:val="825EC3C5"/>
    <w:multiLevelType w:val="multilevel"/>
    <w:tmpl w:val="825EC3C5"/>
    <w:lvl w:ilvl="0" w:tentative="0">
      <w:start w:val="9"/>
      <w:numFmt w:val="decimal"/>
      <w:lvlText w:val="%1"/>
      <w:lvlJc w:val="left"/>
      <w:pPr>
        <w:ind w:left="920" w:hanging="701"/>
        <w:jc w:val="left"/>
      </w:pPr>
      <w:rPr>
        <w:rFonts w:hint="default"/>
        <w:lang w:val="zh-CN" w:eastAsia="zh-CN" w:bidi="zh-CN"/>
      </w:rPr>
    </w:lvl>
    <w:lvl w:ilvl="1" w:tentative="0">
      <w:start w:val="5"/>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97" w:hanging="701"/>
      </w:pPr>
      <w:rPr>
        <w:rFonts w:hint="default"/>
        <w:lang w:val="zh-CN" w:eastAsia="zh-CN" w:bidi="zh-CN"/>
      </w:rPr>
    </w:lvl>
    <w:lvl w:ilvl="4" w:tentative="0">
      <w:start w:val="0"/>
      <w:numFmt w:val="bullet"/>
      <w:lvlText w:val="•"/>
      <w:lvlJc w:val="left"/>
      <w:pPr>
        <w:ind w:left="4090" w:hanging="701"/>
      </w:pPr>
      <w:rPr>
        <w:rFonts w:hint="default"/>
        <w:lang w:val="zh-CN" w:eastAsia="zh-CN" w:bidi="zh-CN"/>
      </w:rPr>
    </w:lvl>
    <w:lvl w:ilvl="5" w:tentative="0">
      <w:start w:val="0"/>
      <w:numFmt w:val="bullet"/>
      <w:lvlText w:val="•"/>
      <w:lvlJc w:val="left"/>
      <w:pPr>
        <w:ind w:left="4883" w:hanging="701"/>
      </w:pPr>
      <w:rPr>
        <w:rFonts w:hint="default"/>
        <w:lang w:val="zh-CN" w:eastAsia="zh-CN" w:bidi="zh-CN"/>
      </w:rPr>
    </w:lvl>
    <w:lvl w:ilvl="6" w:tentative="0">
      <w:start w:val="0"/>
      <w:numFmt w:val="bullet"/>
      <w:lvlText w:val="•"/>
      <w:lvlJc w:val="left"/>
      <w:pPr>
        <w:ind w:left="5675" w:hanging="701"/>
      </w:pPr>
      <w:rPr>
        <w:rFonts w:hint="default"/>
        <w:lang w:val="zh-CN" w:eastAsia="zh-CN" w:bidi="zh-CN"/>
      </w:rPr>
    </w:lvl>
    <w:lvl w:ilvl="7" w:tentative="0">
      <w:start w:val="0"/>
      <w:numFmt w:val="bullet"/>
      <w:lvlText w:val="•"/>
      <w:lvlJc w:val="left"/>
      <w:pPr>
        <w:ind w:left="6468" w:hanging="701"/>
      </w:pPr>
      <w:rPr>
        <w:rFonts w:hint="default"/>
        <w:lang w:val="zh-CN" w:eastAsia="zh-CN" w:bidi="zh-CN"/>
      </w:rPr>
    </w:lvl>
    <w:lvl w:ilvl="8" w:tentative="0">
      <w:start w:val="0"/>
      <w:numFmt w:val="bullet"/>
      <w:lvlText w:val="•"/>
      <w:lvlJc w:val="left"/>
      <w:pPr>
        <w:ind w:left="7260" w:hanging="701"/>
      </w:pPr>
      <w:rPr>
        <w:rFonts w:hint="default"/>
        <w:lang w:val="zh-CN" w:eastAsia="zh-CN" w:bidi="zh-CN"/>
      </w:rPr>
    </w:lvl>
  </w:abstractNum>
  <w:abstractNum w:abstractNumId="3">
    <w:nsid w:val="845B5372"/>
    <w:multiLevelType w:val="multilevel"/>
    <w:tmpl w:val="845B5372"/>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4">
    <w:nsid w:val="8461FADE"/>
    <w:multiLevelType w:val="multilevel"/>
    <w:tmpl w:val="8461FADE"/>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5">
    <w:nsid w:val="883B3669"/>
    <w:multiLevelType w:val="multilevel"/>
    <w:tmpl w:val="883B3669"/>
    <w:lvl w:ilvl="0" w:tentative="0">
      <w:start w:val="9"/>
      <w:numFmt w:val="decimal"/>
      <w:lvlText w:val="%1"/>
      <w:lvlJc w:val="left"/>
      <w:pPr>
        <w:ind w:left="920" w:hanging="701"/>
        <w:jc w:val="left"/>
      </w:pPr>
      <w:rPr>
        <w:rFonts w:hint="default"/>
        <w:lang w:val="zh-CN" w:eastAsia="zh-CN" w:bidi="zh-CN"/>
      </w:rPr>
    </w:lvl>
    <w:lvl w:ilvl="1" w:tentative="0">
      <w:start w:val="6"/>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97" w:hanging="701"/>
      </w:pPr>
      <w:rPr>
        <w:rFonts w:hint="default"/>
        <w:lang w:val="zh-CN" w:eastAsia="zh-CN" w:bidi="zh-CN"/>
      </w:rPr>
    </w:lvl>
    <w:lvl w:ilvl="4" w:tentative="0">
      <w:start w:val="0"/>
      <w:numFmt w:val="bullet"/>
      <w:lvlText w:val="•"/>
      <w:lvlJc w:val="left"/>
      <w:pPr>
        <w:ind w:left="4090" w:hanging="701"/>
      </w:pPr>
      <w:rPr>
        <w:rFonts w:hint="default"/>
        <w:lang w:val="zh-CN" w:eastAsia="zh-CN" w:bidi="zh-CN"/>
      </w:rPr>
    </w:lvl>
    <w:lvl w:ilvl="5" w:tentative="0">
      <w:start w:val="0"/>
      <w:numFmt w:val="bullet"/>
      <w:lvlText w:val="•"/>
      <w:lvlJc w:val="left"/>
      <w:pPr>
        <w:ind w:left="4883" w:hanging="701"/>
      </w:pPr>
      <w:rPr>
        <w:rFonts w:hint="default"/>
        <w:lang w:val="zh-CN" w:eastAsia="zh-CN" w:bidi="zh-CN"/>
      </w:rPr>
    </w:lvl>
    <w:lvl w:ilvl="6" w:tentative="0">
      <w:start w:val="0"/>
      <w:numFmt w:val="bullet"/>
      <w:lvlText w:val="•"/>
      <w:lvlJc w:val="left"/>
      <w:pPr>
        <w:ind w:left="5675" w:hanging="701"/>
      </w:pPr>
      <w:rPr>
        <w:rFonts w:hint="default"/>
        <w:lang w:val="zh-CN" w:eastAsia="zh-CN" w:bidi="zh-CN"/>
      </w:rPr>
    </w:lvl>
    <w:lvl w:ilvl="7" w:tentative="0">
      <w:start w:val="0"/>
      <w:numFmt w:val="bullet"/>
      <w:lvlText w:val="•"/>
      <w:lvlJc w:val="left"/>
      <w:pPr>
        <w:ind w:left="6468" w:hanging="701"/>
      </w:pPr>
      <w:rPr>
        <w:rFonts w:hint="default"/>
        <w:lang w:val="zh-CN" w:eastAsia="zh-CN" w:bidi="zh-CN"/>
      </w:rPr>
    </w:lvl>
    <w:lvl w:ilvl="8" w:tentative="0">
      <w:start w:val="0"/>
      <w:numFmt w:val="bullet"/>
      <w:lvlText w:val="•"/>
      <w:lvlJc w:val="left"/>
      <w:pPr>
        <w:ind w:left="7260" w:hanging="701"/>
      </w:pPr>
      <w:rPr>
        <w:rFonts w:hint="default"/>
        <w:lang w:val="zh-CN" w:eastAsia="zh-CN" w:bidi="zh-CN"/>
      </w:rPr>
    </w:lvl>
  </w:abstractNum>
  <w:abstractNum w:abstractNumId="6">
    <w:nsid w:val="8CAEB125"/>
    <w:multiLevelType w:val="multilevel"/>
    <w:tmpl w:val="8CAEB125"/>
    <w:lvl w:ilvl="0" w:tentative="0">
      <w:start w:val="3"/>
      <w:numFmt w:val="decimal"/>
      <w:lvlText w:val="%1"/>
      <w:lvlJc w:val="left"/>
      <w:pPr>
        <w:ind w:left="1440" w:hanging="900"/>
        <w:jc w:val="left"/>
      </w:pPr>
      <w:rPr>
        <w:rFonts w:hint="default"/>
        <w:lang w:val="zh-CN" w:eastAsia="zh-CN" w:bidi="zh-CN"/>
      </w:rPr>
    </w:lvl>
    <w:lvl w:ilvl="1" w:tentative="0">
      <w:start w:val="1"/>
      <w:numFmt w:val="decimal"/>
      <w:lvlText w:val="%1.%2"/>
      <w:lvlJc w:val="left"/>
      <w:pPr>
        <w:ind w:left="1440" w:hanging="900"/>
        <w:jc w:val="left"/>
      </w:pPr>
      <w:rPr>
        <w:rFonts w:hint="default"/>
        <w:lang w:val="zh-CN" w:eastAsia="zh-CN" w:bidi="zh-CN"/>
      </w:rPr>
    </w:lvl>
    <w:lvl w:ilvl="2" w:tentative="0">
      <w:start w:val="12"/>
      <w:numFmt w:val="decimal"/>
      <w:lvlText w:val="%1.%2.%3"/>
      <w:lvlJc w:val="left"/>
      <w:pPr>
        <w:ind w:left="1440" w:hanging="900"/>
        <w:jc w:val="left"/>
      </w:pPr>
      <w:rPr>
        <w:rFonts w:hint="default"/>
        <w:lang w:val="zh-CN" w:eastAsia="zh-CN" w:bidi="zh-CN"/>
      </w:rPr>
    </w:lvl>
    <w:lvl w:ilvl="3" w:tentative="0">
      <w:start w:val="1"/>
      <w:numFmt w:val="decimal"/>
      <w:lvlText w:val="%1.%2.%3.%4"/>
      <w:lvlJc w:val="left"/>
      <w:pPr>
        <w:ind w:left="1440" w:hanging="90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634" w:hanging="900"/>
      </w:pPr>
      <w:rPr>
        <w:rFonts w:hint="default"/>
        <w:lang w:val="zh-CN" w:eastAsia="zh-CN" w:bidi="zh-CN"/>
      </w:rPr>
    </w:lvl>
    <w:lvl w:ilvl="5" w:tentative="0">
      <w:start w:val="0"/>
      <w:numFmt w:val="bullet"/>
      <w:lvlText w:val="•"/>
      <w:lvlJc w:val="left"/>
      <w:pPr>
        <w:ind w:left="5433" w:hanging="900"/>
      </w:pPr>
      <w:rPr>
        <w:rFonts w:hint="default"/>
        <w:lang w:val="zh-CN" w:eastAsia="zh-CN" w:bidi="zh-CN"/>
      </w:rPr>
    </w:lvl>
    <w:lvl w:ilvl="6" w:tentative="0">
      <w:start w:val="0"/>
      <w:numFmt w:val="bullet"/>
      <w:lvlText w:val="•"/>
      <w:lvlJc w:val="left"/>
      <w:pPr>
        <w:ind w:left="6231" w:hanging="900"/>
      </w:pPr>
      <w:rPr>
        <w:rFonts w:hint="default"/>
        <w:lang w:val="zh-CN" w:eastAsia="zh-CN" w:bidi="zh-CN"/>
      </w:rPr>
    </w:lvl>
    <w:lvl w:ilvl="7" w:tentative="0">
      <w:start w:val="0"/>
      <w:numFmt w:val="bullet"/>
      <w:lvlText w:val="•"/>
      <w:lvlJc w:val="left"/>
      <w:pPr>
        <w:ind w:left="7030" w:hanging="900"/>
      </w:pPr>
      <w:rPr>
        <w:rFonts w:hint="default"/>
        <w:lang w:val="zh-CN" w:eastAsia="zh-CN" w:bidi="zh-CN"/>
      </w:rPr>
    </w:lvl>
    <w:lvl w:ilvl="8" w:tentative="0">
      <w:start w:val="0"/>
      <w:numFmt w:val="bullet"/>
      <w:lvlText w:val="•"/>
      <w:lvlJc w:val="left"/>
      <w:pPr>
        <w:ind w:left="7828" w:hanging="900"/>
      </w:pPr>
      <w:rPr>
        <w:rFonts w:hint="default"/>
        <w:lang w:val="zh-CN" w:eastAsia="zh-CN" w:bidi="zh-CN"/>
      </w:rPr>
    </w:lvl>
  </w:abstractNum>
  <w:abstractNum w:abstractNumId="7">
    <w:nsid w:val="91995D4F"/>
    <w:multiLevelType w:val="multilevel"/>
    <w:tmpl w:val="91995D4F"/>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8">
    <w:nsid w:val="91B69C97"/>
    <w:multiLevelType w:val="multilevel"/>
    <w:tmpl w:val="91B69C97"/>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2"/>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222" w:hanging="780"/>
      </w:pPr>
      <w:rPr>
        <w:rFonts w:hint="default"/>
        <w:lang w:val="zh-CN" w:eastAsia="zh-CN" w:bidi="zh-CN"/>
      </w:rPr>
    </w:lvl>
    <w:lvl w:ilvl="5" w:tentative="0">
      <w:start w:val="0"/>
      <w:numFmt w:val="bullet"/>
      <w:lvlText w:val="•"/>
      <w:lvlJc w:val="left"/>
      <w:pPr>
        <w:ind w:left="5089" w:hanging="780"/>
      </w:pPr>
      <w:rPr>
        <w:rFonts w:hint="default"/>
        <w:lang w:val="zh-CN" w:eastAsia="zh-CN" w:bidi="zh-CN"/>
      </w:rPr>
    </w:lvl>
    <w:lvl w:ilvl="6" w:tentative="0">
      <w:start w:val="0"/>
      <w:numFmt w:val="bullet"/>
      <w:lvlText w:val="•"/>
      <w:lvlJc w:val="left"/>
      <w:pPr>
        <w:ind w:left="5956" w:hanging="780"/>
      </w:pPr>
      <w:rPr>
        <w:rFonts w:hint="default"/>
        <w:lang w:val="zh-CN" w:eastAsia="zh-CN" w:bidi="zh-CN"/>
      </w:rPr>
    </w:lvl>
    <w:lvl w:ilvl="7" w:tentative="0">
      <w:start w:val="0"/>
      <w:numFmt w:val="bullet"/>
      <w:lvlText w:val="•"/>
      <w:lvlJc w:val="left"/>
      <w:pPr>
        <w:ind w:left="6824" w:hanging="780"/>
      </w:pPr>
      <w:rPr>
        <w:rFonts w:hint="default"/>
        <w:lang w:val="zh-CN" w:eastAsia="zh-CN" w:bidi="zh-CN"/>
      </w:rPr>
    </w:lvl>
    <w:lvl w:ilvl="8" w:tentative="0">
      <w:start w:val="0"/>
      <w:numFmt w:val="bullet"/>
      <w:lvlText w:val="•"/>
      <w:lvlJc w:val="left"/>
      <w:pPr>
        <w:ind w:left="7691" w:hanging="780"/>
      </w:pPr>
      <w:rPr>
        <w:rFonts w:hint="default"/>
        <w:lang w:val="zh-CN" w:eastAsia="zh-CN" w:bidi="zh-CN"/>
      </w:rPr>
    </w:lvl>
  </w:abstractNum>
  <w:abstractNum w:abstractNumId="9">
    <w:nsid w:val="9239341B"/>
    <w:multiLevelType w:val="multilevel"/>
    <w:tmpl w:val="9239341B"/>
    <w:lvl w:ilvl="0" w:tentative="0">
      <w:start w:val="1"/>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3"/>
      <w:lvlJc w:val="left"/>
      <w:pPr>
        <w:ind w:left="3333" w:hanging="209"/>
        <w:jc w:val="left"/>
      </w:pPr>
      <w:rPr>
        <w:rFonts w:hint="default" w:ascii="Times New Roman" w:hAnsi="Times New Roman" w:eastAsia="Times New Roman" w:cs="Times New Roman"/>
        <w:w w:val="99"/>
        <w:sz w:val="21"/>
        <w:szCs w:val="21"/>
        <w:lang w:val="zh-CN" w:eastAsia="zh-CN" w:bidi="zh-CN"/>
      </w:rPr>
    </w:lvl>
    <w:lvl w:ilvl="3" w:tentative="0">
      <w:start w:val="1"/>
      <w:numFmt w:val="decimal"/>
      <w:lvlText w:val="%4"/>
      <w:lvlJc w:val="left"/>
      <w:pPr>
        <w:ind w:left="3492" w:hanging="212"/>
        <w:jc w:val="left"/>
      </w:pPr>
      <w:rPr>
        <w:rFonts w:hint="default" w:ascii="Times New Roman" w:hAnsi="Times New Roman" w:eastAsia="Times New Roman" w:cs="Times New Roman"/>
        <w:w w:val="99"/>
        <w:sz w:val="21"/>
        <w:szCs w:val="21"/>
        <w:lang w:val="zh-CN" w:eastAsia="zh-CN" w:bidi="zh-CN"/>
      </w:rPr>
    </w:lvl>
    <w:lvl w:ilvl="4" w:tentative="0">
      <w:start w:val="0"/>
      <w:numFmt w:val="bullet"/>
      <w:lvlText w:val="•"/>
      <w:lvlJc w:val="left"/>
      <w:pPr>
        <w:ind w:left="4981" w:hanging="212"/>
      </w:pPr>
      <w:rPr>
        <w:rFonts w:hint="default"/>
        <w:lang w:val="zh-CN" w:eastAsia="zh-CN" w:bidi="zh-CN"/>
      </w:rPr>
    </w:lvl>
    <w:lvl w:ilvl="5" w:tentative="0">
      <w:start w:val="0"/>
      <w:numFmt w:val="bullet"/>
      <w:lvlText w:val="•"/>
      <w:lvlJc w:val="left"/>
      <w:pPr>
        <w:ind w:left="5722" w:hanging="212"/>
      </w:pPr>
      <w:rPr>
        <w:rFonts w:hint="default"/>
        <w:lang w:val="zh-CN" w:eastAsia="zh-CN" w:bidi="zh-CN"/>
      </w:rPr>
    </w:lvl>
    <w:lvl w:ilvl="6" w:tentative="0">
      <w:start w:val="0"/>
      <w:numFmt w:val="bullet"/>
      <w:lvlText w:val="•"/>
      <w:lvlJc w:val="left"/>
      <w:pPr>
        <w:ind w:left="6463" w:hanging="212"/>
      </w:pPr>
      <w:rPr>
        <w:rFonts w:hint="default"/>
        <w:lang w:val="zh-CN" w:eastAsia="zh-CN" w:bidi="zh-CN"/>
      </w:rPr>
    </w:lvl>
    <w:lvl w:ilvl="7" w:tentative="0">
      <w:start w:val="0"/>
      <w:numFmt w:val="bullet"/>
      <w:lvlText w:val="•"/>
      <w:lvlJc w:val="left"/>
      <w:pPr>
        <w:ind w:left="7203" w:hanging="212"/>
      </w:pPr>
      <w:rPr>
        <w:rFonts w:hint="default"/>
        <w:lang w:val="zh-CN" w:eastAsia="zh-CN" w:bidi="zh-CN"/>
      </w:rPr>
    </w:lvl>
    <w:lvl w:ilvl="8" w:tentative="0">
      <w:start w:val="0"/>
      <w:numFmt w:val="bullet"/>
      <w:lvlText w:val="•"/>
      <w:lvlJc w:val="left"/>
      <w:pPr>
        <w:ind w:left="7944" w:hanging="212"/>
      </w:pPr>
      <w:rPr>
        <w:rFonts w:hint="default"/>
        <w:lang w:val="zh-CN" w:eastAsia="zh-CN" w:bidi="zh-CN"/>
      </w:rPr>
    </w:lvl>
  </w:abstractNum>
  <w:abstractNum w:abstractNumId="10">
    <w:nsid w:val="9288B902"/>
    <w:multiLevelType w:val="multilevel"/>
    <w:tmpl w:val="9288B902"/>
    <w:lvl w:ilvl="0" w:tentative="0">
      <w:start w:val="2"/>
      <w:numFmt w:val="decimal"/>
      <w:lvlText w:val="%1"/>
      <w:lvlJc w:val="left"/>
      <w:pPr>
        <w:ind w:left="1099" w:hanging="560"/>
        <w:jc w:val="left"/>
      </w:pPr>
      <w:rPr>
        <w:rFonts w:hint="default"/>
        <w:lang w:val="zh-CN" w:eastAsia="zh-CN" w:bidi="zh-CN"/>
      </w:rPr>
    </w:lvl>
    <w:lvl w:ilvl="1" w:tentative="0">
      <w:start w:val="7"/>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11">
    <w:nsid w:val="9377BC45"/>
    <w:multiLevelType w:val="multilevel"/>
    <w:tmpl w:val="9377BC45"/>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12">
    <w:nsid w:val="9ACF65A0"/>
    <w:multiLevelType w:val="multilevel"/>
    <w:tmpl w:val="9ACF65A0"/>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13">
    <w:nsid w:val="9C11E984"/>
    <w:multiLevelType w:val="multilevel"/>
    <w:tmpl w:val="9C11E98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14">
    <w:nsid w:val="9D5D7490"/>
    <w:multiLevelType w:val="multilevel"/>
    <w:tmpl w:val="9D5D7490"/>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1"/>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15">
    <w:nsid w:val="A0C93552"/>
    <w:multiLevelType w:val="multilevel"/>
    <w:tmpl w:val="A0C93552"/>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16">
    <w:nsid w:val="A0F05207"/>
    <w:multiLevelType w:val="multilevel"/>
    <w:tmpl w:val="A0F05207"/>
    <w:lvl w:ilvl="0" w:tentative="0">
      <w:start w:val="5"/>
      <w:numFmt w:val="decimal"/>
      <w:lvlText w:val="%1"/>
      <w:lvlJc w:val="left"/>
      <w:pPr>
        <w:ind w:left="1320" w:hanging="780"/>
        <w:jc w:val="left"/>
      </w:pPr>
      <w:rPr>
        <w:rFonts w:hint="default"/>
        <w:lang w:val="zh-CN" w:eastAsia="zh-CN" w:bidi="zh-CN"/>
      </w:rPr>
    </w:lvl>
    <w:lvl w:ilvl="1" w:tentative="0">
      <w:start w:val="1"/>
      <w:numFmt w:val="decimal"/>
      <w:lvlText w:val="%1.%2"/>
      <w:lvlJc w:val="left"/>
      <w:pPr>
        <w:ind w:left="1320" w:hanging="780"/>
        <w:jc w:val="left"/>
      </w:pPr>
      <w:rPr>
        <w:rFonts w:hint="default"/>
        <w:lang w:val="zh-CN" w:eastAsia="zh-CN" w:bidi="zh-CN"/>
      </w:rPr>
    </w:lvl>
    <w:lvl w:ilvl="2" w:tentative="0">
      <w:start w:val="3"/>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17">
    <w:nsid w:val="A9AC3AA7"/>
    <w:multiLevelType w:val="multilevel"/>
    <w:tmpl w:val="A9AC3AA7"/>
    <w:lvl w:ilvl="0" w:tentative="0">
      <w:start w:val="9"/>
      <w:numFmt w:val="decimal"/>
      <w:lvlText w:val="%1"/>
      <w:lvlJc w:val="left"/>
      <w:pPr>
        <w:ind w:left="920" w:hanging="701"/>
        <w:jc w:val="left"/>
      </w:pPr>
      <w:rPr>
        <w:rFonts w:hint="default"/>
        <w:lang w:val="zh-CN" w:eastAsia="zh-CN" w:bidi="zh-CN"/>
      </w:rPr>
    </w:lvl>
    <w:lvl w:ilvl="1" w:tentative="0">
      <w:start w:val="3"/>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815" w:hanging="601"/>
      </w:pPr>
      <w:rPr>
        <w:rFonts w:hint="default"/>
        <w:lang w:val="zh-CN" w:eastAsia="zh-CN" w:bidi="zh-CN"/>
      </w:rPr>
    </w:lvl>
    <w:lvl w:ilvl="5" w:tentative="0">
      <w:start w:val="0"/>
      <w:numFmt w:val="bullet"/>
      <w:lvlText w:val="•"/>
      <w:lvlJc w:val="left"/>
      <w:pPr>
        <w:ind w:left="4653" w:hanging="601"/>
      </w:pPr>
      <w:rPr>
        <w:rFonts w:hint="default"/>
        <w:lang w:val="zh-CN" w:eastAsia="zh-CN" w:bidi="zh-CN"/>
      </w:rPr>
    </w:lvl>
    <w:lvl w:ilvl="6" w:tentative="0">
      <w:start w:val="0"/>
      <w:numFmt w:val="bullet"/>
      <w:lvlText w:val="•"/>
      <w:lvlJc w:val="left"/>
      <w:pPr>
        <w:ind w:left="5492" w:hanging="601"/>
      </w:pPr>
      <w:rPr>
        <w:rFonts w:hint="default"/>
        <w:lang w:val="zh-CN" w:eastAsia="zh-CN" w:bidi="zh-CN"/>
      </w:rPr>
    </w:lvl>
    <w:lvl w:ilvl="7" w:tentative="0">
      <w:start w:val="0"/>
      <w:numFmt w:val="bullet"/>
      <w:lvlText w:val="•"/>
      <w:lvlJc w:val="left"/>
      <w:pPr>
        <w:ind w:left="6330" w:hanging="601"/>
      </w:pPr>
      <w:rPr>
        <w:rFonts w:hint="default"/>
        <w:lang w:val="zh-CN" w:eastAsia="zh-CN" w:bidi="zh-CN"/>
      </w:rPr>
    </w:lvl>
    <w:lvl w:ilvl="8" w:tentative="0">
      <w:start w:val="0"/>
      <w:numFmt w:val="bullet"/>
      <w:lvlText w:val="•"/>
      <w:lvlJc w:val="left"/>
      <w:pPr>
        <w:ind w:left="7169" w:hanging="601"/>
      </w:pPr>
      <w:rPr>
        <w:rFonts w:hint="default"/>
        <w:lang w:val="zh-CN" w:eastAsia="zh-CN" w:bidi="zh-CN"/>
      </w:rPr>
    </w:lvl>
  </w:abstractNum>
  <w:abstractNum w:abstractNumId="18">
    <w:nsid w:val="AAF3F3FA"/>
    <w:multiLevelType w:val="multilevel"/>
    <w:tmpl w:val="AAF3F3FA"/>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19">
    <w:nsid w:val="B0ED9BEA"/>
    <w:multiLevelType w:val="multilevel"/>
    <w:tmpl w:val="B0ED9BEA"/>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20">
    <w:nsid w:val="B0F1ACD9"/>
    <w:multiLevelType w:val="multilevel"/>
    <w:tmpl w:val="B0F1ACD9"/>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21">
    <w:nsid w:val="B23A94A9"/>
    <w:multiLevelType w:val="multilevel"/>
    <w:tmpl w:val="B23A94A9"/>
    <w:lvl w:ilvl="0" w:tentative="0">
      <w:start w:val="4"/>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4"/>
      <w:numFmt w:val="decimal"/>
      <w:lvlText w:val="%1.%2.%3"/>
      <w:lvlJc w:val="left"/>
      <w:pPr>
        <w:ind w:left="1320" w:hanging="780"/>
        <w:jc w:val="left"/>
      </w:pPr>
      <w:rPr>
        <w:rFonts w:hint="default"/>
        <w:lang w:val="zh-CN" w:eastAsia="zh-CN" w:bidi="zh-CN"/>
      </w:rPr>
    </w:lvl>
    <w:lvl w:ilvl="3" w:tentative="0">
      <w:start w:val="3"/>
      <w:numFmt w:val="decimal"/>
      <w:lvlText w:val="%1.%2.%3.%4"/>
      <w:lvlJc w:val="left"/>
      <w:pPr>
        <w:ind w:left="1320" w:hanging="780"/>
        <w:jc w:val="righ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22">
    <w:nsid w:val="B88D21A8"/>
    <w:multiLevelType w:val="multilevel"/>
    <w:tmpl w:val="B88D21A8"/>
    <w:lvl w:ilvl="0" w:tentative="0">
      <w:start w:val="5"/>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7"/>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23">
    <w:nsid w:val="B8CEF35B"/>
    <w:multiLevelType w:val="multilevel"/>
    <w:tmpl w:val="B8CEF35B"/>
    <w:lvl w:ilvl="0" w:tentative="0">
      <w:start w:val="3"/>
      <w:numFmt w:val="decimal"/>
      <w:lvlText w:val="%1"/>
      <w:lvlJc w:val="left"/>
      <w:pPr>
        <w:ind w:left="1430" w:hanging="891"/>
        <w:jc w:val="left"/>
      </w:pPr>
      <w:rPr>
        <w:rFonts w:hint="default"/>
        <w:lang w:val="zh-CN" w:eastAsia="zh-CN" w:bidi="zh-CN"/>
      </w:rPr>
    </w:lvl>
    <w:lvl w:ilvl="1" w:tentative="0">
      <w:start w:val="1"/>
      <w:numFmt w:val="decimal"/>
      <w:lvlText w:val="%1.%2"/>
      <w:lvlJc w:val="left"/>
      <w:pPr>
        <w:ind w:left="1430" w:hanging="891"/>
        <w:jc w:val="left"/>
      </w:pPr>
      <w:rPr>
        <w:rFonts w:hint="default"/>
        <w:lang w:val="zh-CN" w:eastAsia="zh-CN" w:bidi="zh-CN"/>
      </w:rPr>
    </w:lvl>
    <w:lvl w:ilvl="2" w:tentative="0">
      <w:start w:val="11"/>
      <w:numFmt w:val="decimal"/>
      <w:lvlText w:val="%1.%2.%3"/>
      <w:lvlJc w:val="left"/>
      <w:pPr>
        <w:ind w:left="1430" w:hanging="891"/>
        <w:jc w:val="left"/>
      </w:pPr>
      <w:rPr>
        <w:rFonts w:hint="default"/>
        <w:lang w:val="zh-CN" w:eastAsia="zh-CN" w:bidi="zh-CN"/>
      </w:rPr>
    </w:lvl>
    <w:lvl w:ilvl="3" w:tentative="0">
      <w:start w:val="1"/>
      <w:numFmt w:val="decimal"/>
      <w:lvlText w:val="%1.%2.%3.%4"/>
      <w:lvlJc w:val="left"/>
      <w:pPr>
        <w:ind w:left="1430" w:hanging="891"/>
        <w:jc w:val="left"/>
      </w:pPr>
      <w:rPr>
        <w:rFonts w:hint="default" w:ascii="Times New Roman" w:hAnsi="Times New Roman" w:eastAsia="Times New Roman" w:cs="Times New Roman"/>
        <w:spacing w:val="-5"/>
        <w:w w:val="100"/>
        <w:sz w:val="24"/>
        <w:szCs w:val="24"/>
        <w:lang w:val="zh-CN" w:eastAsia="zh-CN" w:bidi="zh-CN"/>
      </w:rPr>
    </w:lvl>
    <w:lvl w:ilvl="4" w:tentative="0">
      <w:start w:val="1"/>
      <w:numFmt w:val="decimal"/>
      <w:lvlText w:val="%1.%2.%3.%4.%5"/>
      <w:lvlJc w:val="left"/>
      <w:pPr>
        <w:ind w:left="1730" w:hanging="1191"/>
        <w:jc w:val="left"/>
      </w:pPr>
      <w:rPr>
        <w:rFonts w:hint="default" w:ascii="Times New Roman" w:hAnsi="Times New Roman" w:eastAsia="Times New Roman" w:cs="Times New Roman"/>
        <w:spacing w:val="-5"/>
        <w:w w:val="100"/>
        <w:sz w:val="24"/>
        <w:szCs w:val="24"/>
        <w:lang w:val="zh-CN" w:eastAsia="zh-CN" w:bidi="zh-CN"/>
      </w:rPr>
    </w:lvl>
    <w:lvl w:ilvl="5" w:tentative="0">
      <w:start w:val="1"/>
      <w:numFmt w:val="decimal"/>
      <w:lvlText w:val="（%6）"/>
      <w:lvlJc w:val="left"/>
      <w:pPr>
        <w:ind w:left="540" w:hanging="601"/>
        <w:jc w:val="left"/>
      </w:pPr>
      <w:rPr>
        <w:rFonts w:hint="default" w:ascii="宋体" w:hAnsi="宋体" w:eastAsia="宋体" w:cs="宋体"/>
        <w:w w:val="100"/>
        <w:sz w:val="22"/>
        <w:szCs w:val="22"/>
        <w:lang w:val="zh-CN" w:eastAsia="zh-CN" w:bidi="zh-CN"/>
      </w:rPr>
    </w:lvl>
    <w:lvl w:ilvl="6" w:tentative="0">
      <w:start w:val="0"/>
      <w:numFmt w:val="bullet"/>
      <w:lvlText w:val="•"/>
      <w:lvlJc w:val="left"/>
      <w:pPr>
        <w:ind w:left="5583" w:hanging="601"/>
      </w:pPr>
      <w:rPr>
        <w:rFonts w:hint="default"/>
        <w:lang w:val="zh-CN" w:eastAsia="zh-CN" w:bidi="zh-CN"/>
      </w:rPr>
    </w:lvl>
    <w:lvl w:ilvl="7" w:tentative="0">
      <w:start w:val="0"/>
      <w:numFmt w:val="bullet"/>
      <w:lvlText w:val="•"/>
      <w:lvlJc w:val="left"/>
      <w:pPr>
        <w:ind w:left="6543" w:hanging="601"/>
      </w:pPr>
      <w:rPr>
        <w:rFonts w:hint="default"/>
        <w:lang w:val="zh-CN" w:eastAsia="zh-CN" w:bidi="zh-CN"/>
      </w:rPr>
    </w:lvl>
    <w:lvl w:ilvl="8" w:tentative="0">
      <w:start w:val="0"/>
      <w:numFmt w:val="bullet"/>
      <w:lvlText w:val="•"/>
      <w:lvlJc w:val="left"/>
      <w:pPr>
        <w:ind w:left="7504" w:hanging="601"/>
      </w:pPr>
      <w:rPr>
        <w:rFonts w:hint="default"/>
        <w:lang w:val="zh-CN" w:eastAsia="zh-CN" w:bidi="zh-CN"/>
      </w:rPr>
    </w:lvl>
  </w:abstractNum>
  <w:abstractNum w:abstractNumId="24">
    <w:nsid w:val="BB64CFA9"/>
    <w:multiLevelType w:val="multilevel"/>
    <w:tmpl w:val="BB64CFA9"/>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25">
    <w:nsid w:val="BCECA0B4"/>
    <w:multiLevelType w:val="multilevel"/>
    <w:tmpl w:val="BCECA0B4"/>
    <w:lvl w:ilvl="0" w:tentative="0">
      <w:start w:val="7"/>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3850" w:hanging="601"/>
      </w:pPr>
      <w:rPr>
        <w:rFonts w:hint="default"/>
        <w:lang w:val="zh-CN" w:eastAsia="zh-CN" w:bidi="zh-CN"/>
      </w:rPr>
    </w:lvl>
    <w:lvl w:ilvl="6" w:tentative="0">
      <w:start w:val="0"/>
      <w:numFmt w:val="bullet"/>
      <w:lvlText w:val="•"/>
      <w:lvlJc w:val="left"/>
      <w:pPr>
        <w:ind w:left="4965" w:hanging="601"/>
      </w:pPr>
      <w:rPr>
        <w:rFonts w:hint="default"/>
        <w:lang w:val="zh-CN" w:eastAsia="zh-CN" w:bidi="zh-CN"/>
      </w:rPr>
    </w:lvl>
    <w:lvl w:ilvl="7" w:tentative="0">
      <w:start w:val="0"/>
      <w:numFmt w:val="bullet"/>
      <w:lvlText w:val="•"/>
      <w:lvlJc w:val="left"/>
      <w:pPr>
        <w:ind w:left="6080" w:hanging="601"/>
      </w:pPr>
      <w:rPr>
        <w:rFonts w:hint="default"/>
        <w:lang w:val="zh-CN" w:eastAsia="zh-CN" w:bidi="zh-CN"/>
      </w:rPr>
    </w:lvl>
    <w:lvl w:ilvl="8" w:tentative="0">
      <w:start w:val="0"/>
      <w:numFmt w:val="bullet"/>
      <w:lvlText w:val="•"/>
      <w:lvlJc w:val="left"/>
      <w:pPr>
        <w:ind w:left="7195" w:hanging="601"/>
      </w:pPr>
      <w:rPr>
        <w:rFonts w:hint="default"/>
        <w:lang w:val="zh-CN" w:eastAsia="zh-CN" w:bidi="zh-CN"/>
      </w:rPr>
    </w:lvl>
  </w:abstractNum>
  <w:abstractNum w:abstractNumId="26">
    <w:nsid w:val="BDA1395C"/>
    <w:multiLevelType w:val="multilevel"/>
    <w:tmpl w:val="BDA1395C"/>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27">
    <w:nsid w:val="BE8A4F4C"/>
    <w:multiLevelType w:val="multilevel"/>
    <w:tmpl w:val="BE8A4F4C"/>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4"/>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28">
    <w:nsid w:val="BE923771"/>
    <w:multiLevelType w:val="multilevel"/>
    <w:tmpl w:val="BE923771"/>
    <w:lvl w:ilvl="0" w:tentative="0">
      <w:start w:val="2"/>
      <w:numFmt w:val="decimal"/>
      <w:lvlText w:val="%1"/>
      <w:lvlJc w:val="left"/>
      <w:pPr>
        <w:ind w:left="1099" w:hanging="560"/>
        <w:jc w:val="left"/>
      </w:pPr>
      <w:rPr>
        <w:rFonts w:hint="default"/>
        <w:lang w:val="zh-CN" w:eastAsia="zh-CN" w:bidi="zh-CN"/>
      </w:rPr>
    </w:lvl>
    <w:lvl w:ilvl="1" w:tentative="0">
      <w:start w:val="5"/>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29">
    <w:nsid w:val="C4E0D24A"/>
    <w:multiLevelType w:val="multilevel"/>
    <w:tmpl w:val="C4E0D24A"/>
    <w:lvl w:ilvl="0" w:tentative="0">
      <w:start w:val="5"/>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3"/>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30">
    <w:nsid w:val="C8879AEF"/>
    <w:multiLevelType w:val="multilevel"/>
    <w:tmpl w:val="C8879AEF"/>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31">
    <w:nsid w:val="D1EB1714"/>
    <w:multiLevelType w:val="multilevel"/>
    <w:tmpl w:val="D1EB171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32">
    <w:nsid w:val="D7D140E4"/>
    <w:multiLevelType w:val="multilevel"/>
    <w:tmpl w:val="D7D140E4"/>
    <w:lvl w:ilvl="0" w:tentative="0">
      <w:start w:val="1"/>
      <w:numFmt w:val="decimal"/>
      <w:lvlText w:val="（%1）"/>
      <w:lvlJc w:val="left"/>
      <w:pPr>
        <w:ind w:left="540" w:hanging="601"/>
        <w:jc w:val="left"/>
      </w:pPr>
      <w:rPr>
        <w:rFonts w:hint="default" w:ascii="宋体" w:hAnsi="宋体" w:eastAsia="宋体" w:cs="宋体"/>
        <w:spacing w:val="-19"/>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33">
    <w:nsid w:val="DAD3A854"/>
    <w:multiLevelType w:val="multilevel"/>
    <w:tmpl w:val="DAD3A854"/>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34">
    <w:nsid w:val="E0294EC7"/>
    <w:multiLevelType w:val="multilevel"/>
    <w:tmpl w:val="E0294EC7"/>
    <w:lvl w:ilvl="0" w:tentative="0">
      <w:start w:val="2"/>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54" w:hanging="601"/>
      </w:pPr>
      <w:rPr>
        <w:rFonts w:hint="default"/>
        <w:lang w:val="zh-CN" w:eastAsia="zh-CN" w:bidi="zh-CN"/>
      </w:rPr>
    </w:lvl>
    <w:lvl w:ilvl="2" w:tentative="0">
      <w:start w:val="0"/>
      <w:numFmt w:val="bullet"/>
      <w:lvlText w:val="•"/>
      <w:lvlJc w:val="left"/>
      <w:pPr>
        <w:ind w:left="2809" w:hanging="601"/>
      </w:pPr>
      <w:rPr>
        <w:rFonts w:hint="default"/>
        <w:lang w:val="zh-CN" w:eastAsia="zh-CN" w:bidi="zh-CN"/>
      </w:rPr>
    </w:lvl>
    <w:lvl w:ilvl="3" w:tentative="0">
      <w:start w:val="0"/>
      <w:numFmt w:val="bullet"/>
      <w:lvlText w:val="•"/>
      <w:lvlJc w:val="left"/>
      <w:pPr>
        <w:ind w:left="3563" w:hanging="601"/>
      </w:pPr>
      <w:rPr>
        <w:rFonts w:hint="default"/>
        <w:lang w:val="zh-CN" w:eastAsia="zh-CN" w:bidi="zh-CN"/>
      </w:rPr>
    </w:lvl>
    <w:lvl w:ilvl="4" w:tentative="0">
      <w:start w:val="0"/>
      <w:numFmt w:val="bullet"/>
      <w:lvlText w:val="•"/>
      <w:lvlJc w:val="left"/>
      <w:pPr>
        <w:ind w:left="4318"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5827" w:hanging="601"/>
      </w:pPr>
      <w:rPr>
        <w:rFonts w:hint="default"/>
        <w:lang w:val="zh-CN" w:eastAsia="zh-CN" w:bidi="zh-CN"/>
      </w:rPr>
    </w:lvl>
    <w:lvl w:ilvl="7" w:tentative="0">
      <w:start w:val="0"/>
      <w:numFmt w:val="bullet"/>
      <w:lvlText w:val="•"/>
      <w:lvlJc w:val="left"/>
      <w:pPr>
        <w:ind w:left="6582" w:hanging="601"/>
      </w:pPr>
      <w:rPr>
        <w:rFonts w:hint="default"/>
        <w:lang w:val="zh-CN" w:eastAsia="zh-CN" w:bidi="zh-CN"/>
      </w:rPr>
    </w:lvl>
    <w:lvl w:ilvl="8" w:tentative="0">
      <w:start w:val="0"/>
      <w:numFmt w:val="bullet"/>
      <w:lvlText w:val="•"/>
      <w:lvlJc w:val="left"/>
      <w:pPr>
        <w:ind w:left="7336" w:hanging="601"/>
      </w:pPr>
      <w:rPr>
        <w:rFonts w:hint="default"/>
        <w:lang w:val="zh-CN" w:eastAsia="zh-CN" w:bidi="zh-CN"/>
      </w:rPr>
    </w:lvl>
  </w:abstractNum>
  <w:abstractNum w:abstractNumId="35">
    <w:nsid w:val="E093A4B0"/>
    <w:multiLevelType w:val="multilevel"/>
    <w:tmpl w:val="E093A4B0"/>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36">
    <w:nsid w:val="E504947C"/>
    <w:multiLevelType w:val="multilevel"/>
    <w:tmpl w:val="E504947C"/>
    <w:lvl w:ilvl="0" w:tentative="0">
      <w:start w:val="5"/>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2"/>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37">
    <w:nsid w:val="E7B27C5B"/>
    <w:multiLevelType w:val="multilevel"/>
    <w:tmpl w:val="E7B27C5B"/>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38">
    <w:nsid w:val="F4B5D9F5"/>
    <w:multiLevelType w:val="multilevel"/>
    <w:tmpl w:val="F4B5D9F5"/>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39">
    <w:nsid w:val="F585BF25"/>
    <w:multiLevelType w:val="multilevel"/>
    <w:tmpl w:val="F585BF25"/>
    <w:lvl w:ilvl="0" w:tentative="0">
      <w:start w:val="7"/>
      <w:numFmt w:val="decimal"/>
      <w:lvlText w:val="%1"/>
      <w:lvlJc w:val="left"/>
      <w:pPr>
        <w:ind w:left="1099" w:hanging="560"/>
        <w:jc w:val="left"/>
      </w:pPr>
      <w:rPr>
        <w:rFonts w:hint="default"/>
        <w:lang w:val="zh-CN" w:eastAsia="zh-CN" w:bidi="zh-CN"/>
      </w:rPr>
    </w:lvl>
    <w:lvl w:ilvl="1" w:tentative="0">
      <w:start w:val="2"/>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3）"/>
      <w:lvlJc w:val="left"/>
      <w:pPr>
        <w:ind w:left="540" w:hanging="601"/>
        <w:jc w:val="left"/>
      </w:pPr>
      <w:rPr>
        <w:rFonts w:hint="default" w:ascii="宋体" w:hAnsi="宋体" w:eastAsia="宋体" w:cs="宋体"/>
        <w:spacing w:val="-12"/>
        <w:w w:val="100"/>
        <w:sz w:val="22"/>
        <w:szCs w:val="22"/>
        <w:lang w:val="zh-CN" w:eastAsia="zh-CN" w:bidi="zh-CN"/>
      </w:rPr>
    </w:lvl>
    <w:lvl w:ilvl="3" w:tentative="0">
      <w:start w:val="0"/>
      <w:numFmt w:val="bullet"/>
      <w:lvlText w:val="•"/>
      <w:lvlJc w:val="left"/>
      <w:pPr>
        <w:ind w:left="2950" w:hanging="601"/>
      </w:pPr>
      <w:rPr>
        <w:rFonts w:hint="default"/>
        <w:lang w:val="zh-CN" w:eastAsia="zh-CN" w:bidi="zh-CN"/>
      </w:rPr>
    </w:lvl>
    <w:lvl w:ilvl="4" w:tentative="0">
      <w:start w:val="0"/>
      <w:numFmt w:val="bullet"/>
      <w:lvlText w:val="•"/>
      <w:lvlJc w:val="left"/>
      <w:pPr>
        <w:ind w:left="3875" w:hanging="601"/>
      </w:pPr>
      <w:rPr>
        <w:rFonts w:hint="default"/>
        <w:lang w:val="zh-CN" w:eastAsia="zh-CN" w:bidi="zh-CN"/>
      </w:rPr>
    </w:lvl>
    <w:lvl w:ilvl="5" w:tentative="0">
      <w:start w:val="0"/>
      <w:numFmt w:val="bullet"/>
      <w:lvlText w:val="•"/>
      <w:lvlJc w:val="left"/>
      <w:pPr>
        <w:ind w:left="4800" w:hanging="601"/>
      </w:pPr>
      <w:rPr>
        <w:rFonts w:hint="default"/>
        <w:lang w:val="zh-CN" w:eastAsia="zh-CN" w:bidi="zh-CN"/>
      </w:rPr>
    </w:lvl>
    <w:lvl w:ilvl="6" w:tentative="0">
      <w:start w:val="0"/>
      <w:numFmt w:val="bullet"/>
      <w:lvlText w:val="•"/>
      <w:lvlJc w:val="left"/>
      <w:pPr>
        <w:ind w:left="5725" w:hanging="601"/>
      </w:pPr>
      <w:rPr>
        <w:rFonts w:hint="default"/>
        <w:lang w:val="zh-CN" w:eastAsia="zh-CN" w:bidi="zh-CN"/>
      </w:rPr>
    </w:lvl>
    <w:lvl w:ilvl="7" w:tentative="0">
      <w:start w:val="0"/>
      <w:numFmt w:val="bullet"/>
      <w:lvlText w:val="•"/>
      <w:lvlJc w:val="left"/>
      <w:pPr>
        <w:ind w:left="6650" w:hanging="601"/>
      </w:pPr>
      <w:rPr>
        <w:rFonts w:hint="default"/>
        <w:lang w:val="zh-CN" w:eastAsia="zh-CN" w:bidi="zh-CN"/>
      </w:rPr>
    </w:lvl>
    <w:lvl w:ilvl="8" w:tentative="0">
      <w:start w:val="0"/>
      <w:numFmt w:val="bullet"/>
      <w:lvlText w:val="•"/>
      <w:lvlJc w:val="left"/>
      <w:pPr>
        <w:ind w:left="7575" w:hanging="601"/>
      </w:pPr>
      <w:rPr>
        <w:rFonts w:hint="default"/>
        <w:lang w:val="zh-CN" w:eastAsia="zh-CN" w:bidi="zh-CN"/>
      </w:rPr>
    </w:lvl>
  </w:abstractNum>
  <w:abstractNum w:abstractNumId="40">
    <w:nsid w:val="F689643B"/>
    <w:multiLevelType w:val="multilevel"/>
    <w:tmpl w:val="F689643B"/>
    <w:lvl w:ilvl="0" w:tentative="0">
      <w:start w:val="1"/>
      <w:numFmt w:val="decimal"/>
      <w:lvlText w:val="（%1）"/>
      <w:lvlJc w:val="left"/>
      <w:pPr>
        <w:ind w:left="540" w:hanging="601"/>
        <w:jc w:val="left"/>
      </w:pPr>
      <w:rPr>
        <w:rFonts w:hint="default" w:ascii="宋体" w:hAnsi="宋体" w:eastAsia="宋体" w:cs="宋体"/>
        <w:spacing w:val="-13"/>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41">
    <w:nsid w:val="FEC2EA36"/>
    <w:multiLevelType w:val="multilevel"/>
    <w:tmpl w:val="FEC2EA36"/>
    <w:lvl w:ilvl="0" w:tentative="0">
      <w:start w:val="1"/>
      <w:numFmt w:val="decimal"/>
      <w:lvlText w:val="（%1）"/>
      <w:lvlJc w:val="left"/>
      <w:pPr>
        <w:ind w:left="540" w:hanging="601"/>
        <w:jc w:val="left"/>
      </w:pPr>
      <w:rPr>
        <w:rFonts w:hint="default" w:ascii="宋体" w:hAnsi="宋体" w:eastAsia="宋体" w:cs="宋体"/>
        <w:spacing w:val="-72"/>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42">
    <w:nsid w:val="01836A6D"/>
    <w:multiLevelType w:val="multilevel"/>
    <w:tmpl w:val="01836A6D"/>
    <w:lvl w:ilvl="0" w:tentative="0">
      <w:start w:val="1"/>
      <w:numFmt w:val="decimal"/>
      <w:lvlText w:val="（%1）"/>
      <w:lvlJc w:val="left"/>
      <w:pPr>
        <w:ind w:left="22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82" w:hanging="601"/>
      </w:pPr>
      <w:rPr>
        <w:rFonts w:hint="default"/>
        <w:lang w:val="zh-CN" w:eastAsia="zh-CN" w:bidi="zh-CN"/>
      </w:rPr>
    </w:lvl>
    <w:lvl w:ilvl="2" w:tentative="0">
      <w:start w:val="0"/>
      <w:numFmt w:val="bullet"/>
      <w:lvlText w:val="•"/>
      <w:lvlJc w:val="left"/>
      <w:pPr>
        <w:ind w:left="1945" w:hanging="601"/>
      </w:pPr>
      <w:rPr>
        <w:rFonts w:hint="default"/>
        <w:lang w:val="zh-CN" w:eastAsia="zh-CN" w:bidi="zh-CN"/>
      </w:rPr>
    </w:lvl>
    <w:lvl w:ilvl="3" w:tentative="0">
      <w:start w:val="0"/>
      <w:numFmt w:val="bullet"/>
      <w:lvlText w:val="•"/>
      <w:lvlJc w:val="left"/>
      <w:pPr>
        <w:ind w:left="2807" w:hanging="601"/>
      </w:pPr>
      <w:rPr>
        <w:rFonts w:hint="default"/>
        <w:lang w:val="zh-CN" w:eastAsia="zh-CN" w:bidi="zh-CN"/>
      </w:rPr>
    </w:lvl>
    <w:lvl w:ilvl="4" w:tentative="0">
      <w:start w:val="0"/>
      <w:numFmt w:val="bullet"/>
      <w:lvlText w:val="•"/>
      <w:lvlJc w:val="left"/>
      <w:pPr>
        <w:ind w:left="3670" w:hanging="601"/>
      </w:pPr>
      <w:rPr>
        <w:rFonts w:hint="default"/>
        <w:lang w:val="zh-CN" w:eastAsia="zh-CN" w:bidi="zh-CN"/>
      </w:rPr>
    </w:lvl>
    <w:lvl w:ilvl="5" w:tentative="0">
      <w:start w:val="0"/>
      <w:numFmt w:val="bullet"/>
      <w:lvlText w:val="•"/>
      <w:lvlJc w:val="left"/>
      <w:pPr>
        <w:ind w:left="4533" w:hanging="601"/>
      </w:pPr>
      <w:rPr>
        <w:rFonts w:hint="default"/>
        <w:lang w:val="zh-CN" w:eastAsia="zh-CN" w:bidi="zh-CN"/>
      </w:rPr>
    </w:lvl>
    <w:lvl w:ilvl="6" w:tentative="0">
      <w:start w:val="0"/>
      <w:numFmt w:val="bullet"/>
      <w:lvlText w:val="•"/>
      <w:lvlJc w:val="left"/>
      <w:pPr>
        <w:ind w:left="5395" w:hanging="601"/>
      </w:pPr>
      <w:rPr>
        <w:rFonts w:hint="default"/>
        <w:lang w:val="zh-CN" w:eastAsia="zh-CN" w:bidi="zh-CN"/>
      </w:rPr>
    </w:lvl>
    <w:lvl w:ilvl="7" w:tentative="0">
      <w:start w:val="0"/>
      <w:numFmt w:val="bullet"/>
      <w:lvlText w:val="•"/>
      <w:lvlJc w:val="left"/>
      <w:pPr>
        <w:ind w:left="6258" w:hanging="601"/>
      </w:pPr>
      <w:rPr>
        <w:rFonts w:hint="default"/>
        <w:lang w:val="zh-CN" w:eastAsia="zh-CN" w:bidi="zh-CN"/>
      </w:rPr>
    </w:lvl>
    <w:lvl w:ilvl="8" w:tentative="0">
      <w:start w:val="0"/>
      <w:numFmt w:val="bullet"/>
      <w:lvlText w:val="•"/>
      <w:lvlJc w:val="left"/>
      <w:pPr>
        <w:ind w:left="7120" w:hanging="601"/>
      </w:pPr>
      <w:rPr>
        <w:rFonts w:hint="default"/>
        <w:lang w:val="zh-CN" w:eastAsia="zh-CN" w:bidi="zh-CN"/>
      </w:rPr>
    </w:lvl>
  </w:abstractNum>
  <w:abstractNum w:abstractNumId="43">
    <w:nsid w:val="03A63A41"/>
    <w:multiLevelType w:val="multilevel"/>
    <w:tmpl w:val="03A63A41"/>
    <w:lvl w:ilvl="0" w:tentative="0">
      <w:start w:val="4"/>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3"/>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44">
    <w:nsid w:val="0709FD3E"/>
    <w:multiLevelType w:val="multilevel"/>
    <w:tmpl w:val="0709FD3E"/>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45">
    <w:nsid w:val="0CEF100B"/>
    <w:multiLevelType w:val="multilevel"/>
    <w:tmpl w:val="0CEF100B"/>
    <w:lvl w:ilvl="0" w:tentative="0">
      <w:start w:val="6"/>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46">
    <w:nsid w:val="0E640482"/>
    <w:multiLevelType w:val="multilevel"/>
    <w:tmpl w:val="0E640482"/>
    <w:lvl w:ilvl="0" w:tentative="0">
      <w:start w:val="1"/>
      <w:numFmt w:val="decimal"/>
      <w:lvlText w:val="（%1）"/>
      <w:lvlJc w:val="left"/>
      <w:pPr>
        <w:ind w:left="540"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47">
    <w:nsid w:val="10D591E5"/>
    <w:multiLevelType w:val="multilevel"/>
    <w:tmpl w:val="10D591E5"/>
    <w:lvl w:ilvl="0" w:tentative="0">
      <w:start w:val="8"/>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righ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540"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326" w:hanging="601"/>
      </w:pPr>
      <w:rPr>
        <w:rFonts w:hint="default"/>
        <w:lang w:val="zh-CN" w:eastAsia="zh-CN" w:bidi="zh-CN"/>
      </w:rPr>
    </w:lvl>
    <w:lvl w:ilvl="5" w:tentative="0">
      <w:start w:val="0"/>
      <w:numFmt w:val="bullet"/>
      <w:lvlText w:val="•"/>
      <w:lvlJc w:val="left"/>
      <w:pPr>
        <w:ind w:left="3413" w:hanging="601"/>
      </w:pPr>
      <w:rPr>
        <w:rFonts w:hint="default"/>
        <w:lang w:val="zh-CN" w:eastAsia="zh-CN" w:bidi="zh-CN"/>
      </w:rPr>
    </w:lvl>
    <w:lvl w:ilvl="6" w:tentative="0">
      <w:start w:val="0"/>
      <w:numFmt w:val="bullet"/>
      <w:lvlText w:val="•"/>
      <w:lvlJc w:val="left"/>
      <w:pPr>
        <w:ind w:left="4499" w:hanging="601"/>
      </w:pPr>
      <w:rPr>
        <w:rFonts w:hint="default"/>
        <w:lang w:val="zh-CN" w:eastAsia="zh-CN" w:bidi="zh-CN"/>
      </w:rPr>
    </w:lvl>
    <w:lvl w:ilvl="7" w:tentative="0">
      <w:start w:val="0"/>
      <w:numFmt w:val="bullet"/>
      <w:lvlText w:val="•"/>
      <w:lvlJc w:val="left"/>
      <w:pPr>
        <w:ind w:left="5586" w:hanging="601"/>
      </w:pPr>
      <w:rPr>
        <w:rFonts w:hint="default"/>
        <w:lang w:val="zh-CN" w:eastAsia="zh-CN" w:bidi="zh-CN"/>
      </w:rPr>
    </w:lvl>
    <w:lvl w:ilvl="8" w:tentative="0">
      <w:start w:val="0"/>
      <w:numFmt w:val="bullet"/>
      <w:lvlText w:val="•"/>
      <w:lvlJc w:val="left"/>
      <w:pPr>
        <w:ind w:left="6672" w:hanging="601"/>
      </w:pPr>
      <w:rPr>
        <w:rFonts w:hint="default"/>
        <w:lang w:val="zh-CN" w:eastAsia="zh-CN" w:bidi="zh-CN"/>
      </w:rPr>
    </w:lvl>
  </w:abstractNum>
  <w:abstractNum w:abstractNumId="48">
    <w:nsid w:val="12EADF99"/>
    <w:multiLevelType w:val="multilevel"/>
    <w:tmpl w:val="12EADF99"/>
    <w:lvl w:ilvl="0" w:tentative="0">
      <w:start w:val="4"/>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5"/>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49">
    <w:nsid w:val="1450273B"/>
    <w:multiLevelType w:val="multilevel"/>
    <w:tmpl w:val="1450273B"/>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5"/>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50">
    <w:nsid w:val="18F74015"/>
    <w:multiLevelType w:val="multilevel"/>
    <w:tmpl w:val="18F74015"/>
    <w:lvl w:ilvl="0" w:tentative="0">
      <w:start w:val="5"/>
      <w:numFmt w:val="decimal"/>
      <w:lvlText w:val="%1"/>
      <w:lvlJc w:val="left"/>
      <w:pPr>
        <w:ind w:left="1240" w:hanging="701"/>
        <w:jc w:val="left"/>
      </w:pPr>
      <w:rPr>
        <w:rFonts w:hint="default"/>
        <w:lang w:val="zh-CN" w:eastAsia="zh-CN" w:bidi="zh-CN"/>
      </w:rPr>
    </w:lvl>
    <w:lvl w:ilvl="1" w:tentative="0">
      <w:start w:val="1"/>
      <w:numFmt w:val="decimal"/>
      <w:lvlText w:val="%1.%2"/>
      <w:lvlJc w:val="left"/>
      <w:pPr>
        <w:ind w:left="1240" w:hanging="701"/>
        <w:jc w:val="left"/>
      </w:pPr>
      <w:rPr>
        <w:rFonts w:hint="default"/>
        <w:lang w:val="zh-CN" w:eastAsia="zh-CN" w:bidi="zh-CN"/>
      </w:rPr>
    </w:lvl>
    <w:lvl w:ilvl="2" w:tentative="0">
      <w:start w:val="5"/>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222" w:hanging="601"/>
      </w:pPr>
      <w:rPr>
        <w:rFonts w:hint="default"/>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51">
    <w:nsid w:val="1AD50295"/>
    <w:multiLevelType w:val="multilevel"/>
    <w:tmpl w:val="1AD50295"/>
    <w:lvl w:ilvl="0" w:tentative="0">
      <w:start w:val="8"/>
      <w:numFmt w:val="decimal"/>
      <w:lvlText w:val="%1"/>
      <w:lvlJc w:val="left"/>
      <w:pPr>
        <w:ind w:left="1000" w:hanging="780"/>
        <w:jc w:val="left"/>
      </w:pPr>
      <w:rPr>
        <w:rFonts w:hint="default"/>
        <w:lang w:val="zh-CN" w:eastAsia="zh-CN" w:bidi="zh-CN"/>
      </w:rPr>
    </w:lvl>
    <w:lvl w:ilvl="1" w:tentative="0">
      <w:start w:val="2"/>
      <w:numFmt w:val="decimal"/>
      <w:lvlText w:val="%1.%2"/>
      <w:lvlJc w:val="left"/>
      <w:pPr>
        <w:ind w:left="1000" w:hanging="780"/>
        <w:jc w:val="left"/>
      </w:pPr>
      <w:rPr>
        <w:rFonts w:hint="default"/>
        <w:lang w:val="zh-CN" w:eastAsia="zh-CN" w:bidi="zh-CN"/>
      </w:rPr>
    </w:lvl>
    <w:lvl w:ilvl="2" w:tentative="0">
      <w:start w:val="2"/>
      <w:numFmt w:val="decimal"/>
      <w:lvlText w:val="%1.%2.%3"/>
      <w:lvlJc w:val="left"/>
      <w:pPr>
        <w:ind w:left="1000" w:hanging="780"/>
        <w:jc w:val="left"/>
      </w:pPr>
      <w:rPr>
        <w:rFonts w:hint="default"/>
        <w:lang w:val="zh-CN" w:eastAsia="zh-CN" w:bidi="zh-CN"/>
      </w:rPr>
    </w:lvl>
    <w:lvl w:ilvl="3" w:tentative="0">
      <w:start w:val="1"/>
      <w:numFmt w:val="decimal"/>
      <w:lvlText w:val="%1.%2.%3.%4"/>
      <w:lvlJc w:val="left"/>
      <w:pPr>
        <w:ind w:left="100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30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4653" w:hanging="601"/>
      </w:pPr>
      <w:rPr>
        <w:rFonts w:hint="default"/>
        <w:lang w:val="zh-CN" w:eastAsia="zh-CN" w:bidi="zh-CN"/>
      </w:rPr>
    </w:lvl>
    <w:lvl w:ilvl="6" w:tentative="0">
      <w:start w:val="0"/>
      <w:numFmt w:val="bullet"/>
      <w:lvlText w:val="•"/>
      <w:lvlJc w:val="left"/>
      <w:pPr>
        <w:ind w:left="5492" w:hanging="601"/>
      </w:pPr>
      <w:rPr>
        <w:rFonts w:hint="default"/>
        <w:lang w:val="zh-CN" w:eastAsia="zh-CN" w:bidi="zh-CN"/>
      </w:rPr>
    </w:lvl>
    <w:lvl w:ilvl="7" w:tentative="0">
      <w:start w:val="0"/>
      <w:numFmt w:val="bullet"/>
      <w:lvlText w:val="•"/>
      <w:lvlJc w:val="left"/>
      <w:pPr>
        <w:ind w:left="6330" w:hanging="601"/>
      </w:pPr>
      <w:rPr>
        <w:rFonts w:hint="default"/>
        <w:lang w:val="zh-CN" w:eastAsia="zh-CN" w:bidi="zh-CN"/>
      </w:rPr>
    </w:lvl>
    <w:lvl w:ilvl="8" w:tentative="0">
      <w:start w:val="0"/>
      <w:numFmt w:val="bullet"/>
      <w:lvlText w:val="•"/>
      <w:lvlJc w:val="left"/>
      <w:pPr>
        <w:ind w:left="7169" w:hanging="601"/>
      </w:pPr>
      <w:rPr>
        <w:rFonts w:hint="default"/>
        <w:lang w:val="zh-CN" w:eastAsia="zh-CN" w:bidi="zh-CN"/>
      </w:rPr>
    </w:lvl>
  </w:abstractNum>
  <w:abstractNum w:abstractNumId="52">
    <w:nsid w:val="1BCBBCF0"/>
    <w:multiLevelType w:val="multilevel"/>
    <w:tmpl w:val="1BCBBCF0"/>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53">
    <w:nsid w:val="1C257C7B"/>
    <w:multiLevelType w:val="multilevel"/>
    <w:tmpl w:val="1C257C7B"/>
    <w:lvl w:ilvl="0" w:tentative="0">
      <w:start w:val="4"/>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540"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286" w:hanging="601"/>
      </w:pPr>
      <w:rPr>
        <w:rFonts w:hint="default"/>
        <w:lang w:val="zh-CN" w:eastAsia="zh-CN" w:bidi="zh-CN"/>
      </w:rPr>
    </w:lvl>
    <w:lvl w:ilvl="5" w:tentative="0">
      <w:start w:val="0"/>
      <w:numFmt w:val="bullet"/>
      <w:lvlText w:val="•"/>
      <w:lvlJc w:val="left"/>
      <w:pPr>
        <w:ind w:left="4309" w:hanging="601"/>
      </w:pPr>
      <w:rPr>
        <w:rFonts w:hint="default"/>
        <w:lang w:val="zh-CN" w:eastAsia="zh-CN" w:bidi="zh-CN"/>
      </w:rPr>
    </w:lvl>
    <w:lvl w:ilvl="6" w:tentative="0">
      <w:start w:val="0"/>
      <w:numFmt w:val="bullet"/>
      <w:lvlText w:val="•"/>
      <w:lvlJc w:val="left"/>
      <w:pPr>
        <w:ind w:left="5333" w:hanging="601"/>
      </w:pPr>
      <w:rPr>
        <w:rFonts w:hint="default"/>
        <w:lang w:val="zh-CN" w:eastAsia="zh-CN" w:bidi="zh-CN"/>
      </w:rPr>
    </w:lvl>
    <w:lvl w:ilvl="7" w:tentative="0">
      <w:start w:val="0"/>
      <w:numFmt w:val="bullet"/>
      <w:lvlText w:val="•"/>
      <w:lvlJc w:val="left"/>
      <w:pPr>
        <w:ind w:left="6356" w:hanging="601"/>
      </w:pPr>
      <w:rPr>
        <w:rFonts w:hint="default"/>
        <w:lang w:val="zh-CN" w:eastAsia="zh-CN" w:bidi="zh-CN"/>
      </w:rPr>
    </w:lvl>
    <w:lvl w:ilvl="8" w:tentative="0">
      <w:start w:val="0"/>
      <w:numFmt w:val="bullet"/>
      <w:lvlText w:val="•"/>
      <w:lvlJc w:val="left"/>
      <w:pPr>
        <w:ind w:left="7379" w:hanging="601"/>
      </w:pPr>
      <w:rPr>
        <w:rFonts w:hint="default"/>
        <w:lang w:val="zh-CN" w:eastAsia="zh-CN" w:bidi="zh-CN"/>
      </w:rPr>
    </w:lvl>
  </w:abstractNum>
  <w:abstractNum w:abstractNumId="54">
    <w:nsid w:val="243FCF68"/>
    <w:multiLevelType w:val="multilevel"/>
    <w:tmpl w:val="243FCF68"/>
    <w:lvl w:ilvl="0" w:tentative="0">
      <w:start w:val="3"/>
      <w:numFmt w:val="decimal"/>
      <w:lvlText w:val="%1"/>
      <w:lvlJc w:val="left"/>
      <w:pPr>
        <w:ind w:left="1320" w:hanging="780"/>
        <w:jc w:val="left"/>
      </w:pPr>
      <w:rPr>
        <w:rFonts w:hint="default"/>
        <w:lang w:val="zh-CN" w:eastAsia="zh-CN" w:bidi="zh-CN"/>
      </w:rPr>
    </w:lvl>
    <w:lvl w:ilvl="1" w:tentative="0">
      <w:start w:val="1"/>
      <w:numFmt w:val="decimal"/>
      <w:lvlText w:val="%1.%2"/>
      <w:lvlJc w:val="left"/>
      <w:pPr>
        <w:ind w:left="1320" w:hanging="780"/>
        <w:jc w:val="left"/>
      </w:pPr>
      <w:rPr>
        <w:rFonts w:hint="default"/>
        <w:lang w:val="zh-CN" w:eastAsia="zh-CN" w:bidi="zh-CN"/>
      </w:rPr>
    </w:lvl>
    <w:lvl w:ilvl="2" w:tentative="0">
      <w:start w:val="7"/>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1.%2.%3.%4.%5"/>
      <w:lvlJc w:val="left"/>
      <w:pPr>
        <w:ind w:left="1500" w:hanging="960"/>
        <w:jc w:val="left"/>
      </w:pPr>
      <w:rPr>
        <w:rFonts w:hint="default" w:ascii="Times New Roman" w:hAnsi="Times New Roman" w:eastAsia="Times New Roman" w:cs="Times New Roman"/>
        <w:w w:val="100"/>
        <w:sz w:val="24"/>
        <w:szCs w:val="24"/>
        <w:lang w:val="zh-CN" w:eastAsia="zh-CN" w:bidi="zh-CN"/>
      </w:rPr>
    </w:lvl>
    <w:lvl w:ilvl="5" w:tentative="0">
      <w:start w:val="1"/>
      <w:numFmt w:val="decimal"/>
      <w:lvlText w:val="（%6）"/>
      <w:lvlJc w:val="left"/>
      <w:pPr>
        <w:ind w:left="1621" w:hanging="601"/>
        <w:jc w:val="left"/>
      </w:pPr>
      <w:rPr>
        <w:rFonts w:hint="default" w:ascii="宋体" w:hAnsi="宋体" w:eastAsia="宋体" w:cs="宋体"/>
        <w:w w:val="100"/>
        <w:sz w:val="22"/>
        <w:szCs w:val="22"/>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55">
    <w:nsid w:val="2761666B"/>
    <w:multiLevelType w:val="singleLevel"/>
    <w:tmpl w:val="2761666B"/>
    <w:lvl w:ilvl="0" w:tentative="0">
      <w:start w:val="1"/>
      <w:numFmt w:val="decimal"/>
      <w:suff w:val="nothing"/>
      <w:lvlText w:val="（%1）"/>
      <w:lvlJc w:val="left"/>
    </w:lvl>
  </w:abstractNum>
  <w:abstractNum w:abstractNumId="56">
    <w:nsid w:val="2A8F537B"/>
    <w:multiLevelType w:val="multilevel"/>
    <w:tmpl w:val="2A8F537B"/>
    <w:lvl w:ilvl="0" w:tentative="0">
      <w:start w:val="1"/>
      <w:numFmt w:val="decimal"/>
      <w:lvlText w:val="%1"/>
      <w:lvlJc w:val="left"/>
      <w:pPr>
        <w:ind w:left="1140" w:hanging="600"/>
        <w:jc w:val="left"/>
      </w:pPr>
      <w:rPr>
        <w:rFonts w:hint="default"/>
        <w:lang w:val="zh-CN" w:eastAsia="zh-CN" w:bidi="zh-CN"/>
      </w:rPr>
    </w:lvl>
    <w:lvl w:ilvl="1" w:tentative="0">
      <w:start w:val="4"/>
      <w:numFmt w:val="decimal"/>
      <w:lvlText w:val="%1.%2"/>
      <w:lvlJc w:val="left"/>
      <w:pPr>
        <w:ind w:left="1140" w:hanging="600"/>
        <w:jc w:val="left"/>
      </w:pPr>
      <w:rPr>
        <w:rFonts w:hint="default"/>
        <w:lang w:val="zh-CN" w:eastAsia="zh-CN" w:bidi="zh-CN"/>
      </w:rPr>
    </w:lvl>
    <w:lvl w:ilvl="2" w:tentative="0">
      <w:start w:val="1"/>
      <w:numFmt w:val="decimal"/>
      <w:lvlText w:val="%1.%2.%3"/>
      <w:lvlJc w:val="left"/>
      <w:pPr>
        <w:ind w:left="1140" w:hanging="60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1621" w:hanging="601"/>
        <w:jc w:val="left"/>
      </w:pPr>
      <w:rPr>
        <w:rFonts w:hint="default" w:ascii="宋体" w:hAnsi="宋体" w:eastAsia="宋体" w:cs="宋体"/>
        <w:spacing w:val="-36"/>
        <w:w w:val="100"/>
        <w:sz w:val="22"/>
        <w:szCs w:val="22"/>
        <w:lang w:val="zh-CN" w:eastAsia="zh-CN" w:bidi="zh-CN"/>
      </w:rPr>
    </w:lvl>
    <w:lvl w:ilvl="4" w:tentative="0">
      <w:start w:val="0"/>
      <w:numFmt w:val="bullet"/>
      <w:lvlText w:val="•"/>
      <w:lvlJc w:val="left"/>
      <w:pPr>
        <w:ind w:left="4222" w:hanging="601"/>
      </w:pPr>
      <w:rPr>
        <w:rFonts w:hint="default"/>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57">
    <w:nsid w:val="2F2D79CE"/>
    <w:multiLevelType w:val="multilevel"/>
    <w:tmpl w:val="2F2D79CE"/>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58">
    <w:nsid w:val="30A0AC00"/>
    <w:multiLevelType w:val="multilevel"/>
    <w:tmpl w:val="30A0AC00"/>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59">
    <w:nsid w:val="30FC5B15"/>
    <w:multiLevelType w:val="multilevel"/>
    <w:tmpl w:val="30FC5B15"/>
    <w:lvl w:ilvl="0" w:tentative="0">
      <w:start w:val="3"/>
      <w:numFmt w:val="decimal"/>
      <w:lvlText w:val="%1"/>
      <w:lvlJc w:val="left"/>
      <w:pPr>
        <w:ind w:left="1500" w:hanging="960"/>
        <w:jc w:val="left"/>
      </w:pPr>
      <w:rPr>
        <w:rFonts w:hint="default"/>
        <w:lang w:val="zh-CN" w:eastAsia="zh-CN" w:bidi="zh-CN"/>
      </w:rPr>
    </w:lvl>
    <w:lvl w:ilvl="1" w:tentative="0">
      <w:start w:val="1"/>
      <w:numFmt w:val="decimal"/>
      <w:lvlText w:val="%1.%2"/>
      <w:lvlJc w:val="left"/>
      <w:pPr>
        <w:ind w:left="1500" w:hanging="960"/>
        <w:jc w:val="left"/>
      </w:pPr>
      <w:rPr>
        <w:rFonts w:hint="default"/>
        <w:lang w:val="zh-CN" w:eastAsia="zh-CN" w:bidi="zh-CN"/>
      </w:rPr>
    </w:lvl>
    <w:lvl w:ilvl="2" w:tentative="0">
      <w:start w:val="7"/>
      <w:numFmt w:val="decimal"/>
      <w:lvlText w:val="%1.%2.%3"/>
      <w:lvlJc w:val="left"/>
      <w:pPr>
        <w:ind w:left="1500" w:hanging="960"/>
        <w:jc w:val="left"/>
      </w:pPr>
      <w:rPr>
        <w:rFonts w:hint="default"/>
        <w:lang w:val="zh-CN" w:eastAsia="zh-CN" w:bidi="zh-CN"/>
      </w:rPr>
    </w:lvl>
    <w:lvl w:ilvl="3" w:tentative="0">
      <w:start w:val="2"/>
      <w:numFmt w:val="decimal"/>
      <w:lvlText w:val="%1.%2.%3.%4"/>
      <w:lvlJc w:val="left"/>
      <w:pPr>
        <w:ind w:left="1500" w:hanging="960"/>
        <w:jc w:val="left"/>
      </w:pPr>
      <w:rPr>
        <w:rFonts w:hint="default"/>
        <w:lang w:val="zh-CN" w:eastAsia="zh-CN" w:bidi="zh-CN"/>
      </w:rPr>
    </w:lvl>
    <w:lvl w:ilvl="4" w:tentative="0">
      <w:start w:val="3"/>
      <w:numFmt w:val="decimal"/>
      <w:lvlText w:val="%1.%2.%3.%4.%5"/>
      <w:lvlJc w:val="left"/>
      <w:pPr>
        <w:ind w:left="1500" w:hanging="960"/>
        <w:jc w:val="right"/>
      </w:pPr>
      <w:rPr>
        <w:rFonts w:hint="default" w:ascii="Times New Roman" w:hAnsi="Times New Roman" w:eastAsia="Times New Roman" w:cs="Times New Roman"/>
        <w:w w:val="100"/>
        <w:sz w:val="24"/>
        <w:szCs w:val="24"/>
        <w:lang w:val="zh-CN" w:eastAsia="zh-CN" w:bidi="zh-CN"/>
      </w:rPr>
    </w:lvl>
    <w:lvl w:ilvl="5" w:tentative="0">
      <w:start w:val="0"/>
      <w:numFmt w:val="bullet"/>
      <w:lvlText w:val="•"/>
      <w:lvlJc w:val="left"/>
      <w:pPr>
        <w:ind w:left="5463" w:hanging="960"/>
      </w:pPr>
      <w:rPr>
        <w:rFonts w:hint="default"/>
        <w:lang w:val="zh-CN" w:eastAsia="zh-CN" w:bidi="zh-CN"/>
      </w:rPr>
    </w:lvl>
    <w:lvl w:ilvl="6" w:tentative="0">
      <w:start w:val="0"/>
      <w:numFmt w:val="bullet"/>
      <w:lvlText w:val="•"/>
      <w:lvlJc w:val="left"/>
      <w:pPr>
        <w:ind w:left="6255" w:hanging="960"/>
      </w:pPr>
      <w:rPr>
        <w:rFonts w:hint="default"/>
        <w:lang w:val="zh-CN" w:eastAsia="zh-CN" w:bidi="zh-CN"/>
      </w:rPr>
    </w:lvl>
    <w:lvl w:ilvl="7" w:tentative="0">
      <w:start w:val="0"/>
      <w:numFmt w:val="bullet"/>
      <w:lvlText w:val="•"/>
      <w:lvlJc w:val="left"/>
      <w:pPr>
        <w:ind w:left="7048" w:hanging="960"/>
      </w:pPr>
      <w:rPr>
        <w:rFonts w:hint="default"/>
        <w:lang w:val="zh-CN" w:eastAsia="zh-CN" w:bidi="zh-CN"/>
      </w:rPr>
    </w:lvl>
    <w:lvl w:ilvl="8" w:tentative="0">
      <w:start w:val="0"/>
      <w:numFmt w:val="bullet"/>
      <w:lvlText w:val="•"/>
      <w:lvlJc w:val="left"/>
      <w:pPr>
        <w:ind w:left="7840" w:hanging="960"/>
      </w:pPr>
      <w:rPr>
        <w:rFonts w:hint="default"/>
        <w:lang w:val="zh-CN" w:eastAsia="zh-CN" w:bidi="zh-CN"/>
      </w:rPr>
    </w:lvl>
  </w:abstractNum>
  <w:abstractNum w:abstractNumId="60">
    <w:nsid w:val="322D85CA"/>
    <w:multiLevelType w:val="multilevel"/>
    <w:tmpl w:val="322D85CA"/>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61">
    <w:nsid w:val="32A7AF2D"/>
    <w:multiLevelType w:val="multilevel"/>
    <w:tmpl w:val="32A7AF2D"/>
    <w:lvl w:ilvl="0" w:tentative="0">
      <w:start w:val="2"/>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62">
    <w:nsid w:val="39A0D9AC"/>
    <w:multiLevelType w:val="multilevel"/>
    <w:tmpl w:val="39A0D9AC"/>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63">
    <w:nsid w:val="3B8127DF"/>
    <w:multiLevelType w:val="multilevel"/>
    <w:tmpl w:val="3B8127DF"/>
    <w:lvl w:ilvl="0" w:tentative="0">
      <w:start w:val="5"/>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64">
    <w:nsid w:val="40B249F9"/>
    <w:multiLevelType w:val="multilevel"/>
    <w:tmpl w:val="40B249F9"/>
    <w:lvl w:ilvl="0" w:tentative="0">
      <w:start w:val="4"/>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1"/>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65">
    <w:nsid w:val="46A08BB8"/>
    <w:multiLevelType w:val="multilevel"/>
    <w:tmpl w:val="46A08BB8"/>
    <w:lvl w:ilvl="0" w:tentative="0">
      <w:start w:val="0"/>
      <w:numFmt w:val="bullet"/>
      <w:lvlText w:val="◆"/>
      <w:lvlJc w:val="left"/>
      <w:pPr>
        <w:ind w:left="318" w:hanging="212"/>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119" w:hanging="212"/>
      </w:pPr>
      <w:rPr>
        <w:rFonts w:hint="default"/>
        <w:lang w:val="zh-CN" w:eastAsia="zh-CN" w:bidi="zh-CN"/>
      </w:rPr>
    </w:lvl>
    <w:lvl w:ilvl="2" w:tentative="0">
      <w:start w:val="0"/>
      <w:numFmt w:val="bullet"/>
      <w:lvlText w:val="•"/>
      <w:lvlJc w:val="left"/>
      <w:pPr>
        <w:ind w:left="1918" w:hanging="212"/>
      </w:pPr>
      <w:rPr>
        <w:rFonts w:hint="default"/>
        <w:lang w:val="zh-CN" w:eastAsia="zh-CN" w:bidi="zh-CN"/>
      </w:rPr>
    </w:lvl>
    <w:lvl w:ilvl="3" w:tentative="0">
      <w:start w:val="0"/>
      <w:numFmt w:val="bullet"/>
      <w:lvlText w:val="•"/>
      <w:lvlJc w:val="left"/>
      <w:pPr>
        <w:ind w:left="2717" w:hanging="212"/>
      </w:pPr>
      <w:rPr>
        <w:rFonts w:hint="default"/>
        <w:lang w:val="zh-CN" w:eastAsia="zh-CN" w:bidi="zh-CN"/>
      </w:rPr>
    </w:lvl>
    <w:lvl w:ilvl="4" w:tentative="0">
      <w:start w:val="0"/>
      <w:numFmt w:val="bullet"/>
      <w:lvlText w:val="•"/>
      <w:lvlJc w:val="left"/>
      <w:pPr>
        <w:ind w:left="3517" w:hanging="212"/>
      </w:pPr>
      <w:rPr>
        <w:rFonts w:hint="default"/>
        <w:lang w:val="zh-CN" w:eastAsia="zh-CN" w:bidi="zh-CN"/>
      </w:rPr>
    </w:lvl>
    <w:lvl w:ilvl="5" w:tentative="0">
      <w:start w:val="0"/>
      <w:numFmt w:val="bullet"/>
      <w:lvlText w:val="•"/>
      <w:lvlJc w:val="left"/>
      <w:pPr>
        <w:ind w:left="4316" w:hanging="212"/>
      </w:pPr>
      <w:rPr>
        <w:rFonts w:hint="default"/>
        <w:lang w:val="zh-CN" w:eastAsia="zh-CN" w:bidi="zh-CN"/>
      </w:rPr>
    </w:lvl>
    <w:lvl w:ilvl="6" w:tentative="0">
      <w:start w:val="0"/>
      <w:numFmt w:val="bullet"/>
      <w:lvlText w:val="•"/>
      <w:lvlJc w:val="left"/>
      <w:pPr>
        <w:ind w:left="5115" w:hanging="212"/>
      </w:pPr>
      <w:rPr>
        <w:rFonts w:hint="default"/>
        <w:lang w:val="zh-CN" w:eastAsia="zh-CN" w:bidi="zh-CN"/>
      </w:rPr>
    </w:lvl>
    <w:lvl w:ilvl="7" w:tentative="0">
      <w:start w:val="0"/>
      <w:numFmt w:val="bullet"/>
      <w:lvlText w:val="•"/>
      <w:lvlJc w:val="left"/>
      <w:pPr>
        <w:ind w:left="5915" w:hanging="212"/>
      </w:pPr>
      <w:rPr>
        <w:rFonts w:hint="default"/>
        <w:lang w:val="zh-CN" w:eastAsia="zh-CN" w:bidi="zh-CN"/>
      </w:rPr>
    </w:lvl>
    <w:lvl w:ilvl="8" w:tentative="0">
      <w:start w:val="0"/>
      <w:numFmt w:val="bullet"/>
      <w:lvlText w:val="•"/>
      <w:lvlJc w:val="left"/>
      <w:pPr>
        <w:ind w:left="6714" w:hanging="212"/>
      </w:pPr>
      <w:rPr>
        <w:rFonts w:hint="default"/>
        <w:lang w:val="zh-CN" w:eastAsia="zh-CN" w:bidi="zh-CN"/>
      </w:rPr>
    </w:lvl>
  </w:abstractNum>
  <w:abstractNum w:abstractNumId="66">
    <w:nsid w:val="4A51D704"/>
    <w:multiLevelType w:val="multilevel"/>
    <w:tmpl w:val="4A51D704"/>
    <w:lvl w:ilvl="0" w:tentative="0">
      <w:start w:val="9"/>
      <w:numFmt w:val="decimal"/>
      <w:lvlText w:val="%1"/>
      <w:lvlJc w:val="left"/>
      <w:pPr>
        <w:ind w:left="779" w:hanging="560"/>
        <w:jc w:val="left"/>
      </w:pPr>
      <w:rPr>
        <w:rFonts w:hint="default"/>
        <w:lang w:val="zh-CN" w:eastAsia="zh-CN" w:bidi="zh-CN"/>
      </w:rPr>
    </w:lvl>
    <w:lvl w:ilvl="1" w:tentative="0">
      <w:start w:val="1"/>
      <w:numFmt w:val="decimal"/>
      <w:lvlText w:val="%1.%2"/>
      <w:lvlJc w:val="left"/>
      <w:pPr>
        <w:ind w:left="77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3）"/>
      <w:lvlJc w:val="left"/>
      <w:pPr>
        <w:ind w:left="1301"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2976" w:hanging="601"/>
      </w:pPr>
      <w:rPr>
        <w:rFonts w:hint="default"/>
        <w:lang w:val="zh-CN" w:eastAsia="zh-CN" w:bidi="zh-CN"/>
      </w:rPr>
    </w:lvl>
    <w:lvl w:ilvl="4" w:tentative="0">
      <w:start w:val="0"/>
      <w:numFmt w:val="bullet"/>
      <w:lvlText w:val="•"/>
      <w:lvlJc w:val="left"/>
      <w:pPr>
        <w:ind w:left="3815" w:hanging="601"/>
      </w:pPr>
      <w:rPr>
        <w:rFonts w:hint="default"/>
        <w:lang w:val="zh-CN" w:eastAsia="zh-CN" w:bidi="zh-CN"/>
      </w:rPr>
    </w:lvl>
    <w:lvl w:ilvl="5" w:tentative="0">
      <w:start w:val="0"/>
      <w:numFmt w:val="bullet"/>
      <w:lvlText w:val="•"/>
      <w:lvlJc w:val="left"/>
      <w:pPr>
        <w:ind w:left="4653" w:hanging="601"/>
      </w:pPr>
      <w:rPr>
        <w:rFonts w:hint="default"/>
        <w:lang w:val="zh-CN" w:eastAsia="zh-CN" w:bidi="zh-CN"/>
      </w:rPr>
    </w:lvl>
    <w:lvl w:ilvl="6" w:tentative="0">
      <w:start w:val="0"/>
      <w:numFmt w:val="bullet"/>
      <w:lvlText w:val="•"/>
      <w:lvlJc w:val="left"/>
      <w:pPr>
        <w:ind w:left="5492" w:hanging="601"/>
      </w:pPr>
      <w:rPr>
        <w:rFonts w:hint="default"/>
        <w:lang w:val="zh-CN" w:eastAsia="zh-CN" w:bidi="zh-CN"/>
      </w:rPr>
    </w:lvl>
    <w:lvl w:ilvl="7" w:tentative="0">
      <w:start w:val="0"/>
      <w:numFmt w:val="bullet"/>
      <w:lvlText w:val="•"/>
      <w:lvlJc w:val="left"/>
      <w:pPr>
        <w:ind w:left="6330" w:hanging="601"/>
      </w:pPr>
      <w:rPr>
        <w:rFonts w:hint="default"/>
        <w:lang w:val="zh-CN" w:eastAsia="zh-CN" w:bidi="zh-CN"/>
      </w:rPr>
    </w:lvl>
    <w:lvl w:ilvl="8" w:tentative="0">
      <w:start w:val="0"/>
      <w:numFmt w:val="bullet"/>
      <w:lvlText w:val="•"/>
      <w:lvlJc w:val="left"/>
      <w:pPr>
        <w:ind w:left="7169" w:hanging="601"/>
      </w:pPr>
      <w:rPr>
        <w:rFonts w:hint="default"/>
        <w:lang w:val="zh-CN" w:eastAsia="zh-CN" w:bidi="zh-CN"/>
      </w:rPr>
    </w:lvl>
  </w:abstractNum>
  <w:abstractNum w:abstractNumId="67">
    <w:nsid w:val="4C1BAE26"/>
    <w:multiLevelType w:val="multilevel"/>
    <w:tmpl w:val="4C1BAE26"/>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68">
    <w:nsid w:val="4C3D7A74"/>
    <w:multiLevelType w:val="multilevel"/>
    <w:tmpl w:val="4C3D7A7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69">
    <w:nsid w:val="4CD1E351"/>
    <w:multiLevelType w:val="multilevel"/>
    <w:tmpl w:val="4CD1E351"/>
    <w:lvl w:ilvl="0" w:tentative="0">
      <w:start w:val="7"/>
      <w:numFmt w:val="decimal"/>
      <w:lvlText w:val="%1"/>
      <w:lvlJc w:val="left"/>
      <w:pPr>
        <w:ind w:left="1240" w:hanging="701"/>
        <w:jc w:val="left"/>
      </w:pPr>
      <w:rPr>
        <w:rFonts w:hint="default"/>
        <w:lang w:val="zh-CN" w:eastAsia="zh-CN" w:bidi="zh-CN"/>
      </w:rPr>
    </w:lvl>
    <w:lvl w:ilvl="1" w:tentative="0">
      <w:start w:val="3"/>
      <w:numFmt w:val="decimal"/>
      <w:lvlText w:val="%1.%2"/>
      <w:lvlJc w:val="left"/>
      <w:pPr>
        <w:ind w:left="1240" w:hanging="701"/>
        <w:jc w:val="left"/>
      </w:pPr>
      <w:rPr>
        <w:rFonts w:hint="default"/>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540" w:hanging="601"/>
        <w:jc w:val="left"/>
      </w:pPr>
      <w:rPr>
        <w:rFonts w:hint="default" w:ascii="宋体" w:hAnsi="宋体" w:eastAsia="宋体" w:cs="宋体"/>
        <w:spacing w:val="-60"/>
        <w:w w:val="100"/>
        <w:sz w:val="22"/>
        <w:szCs w:val="22"/>
        <w:lang w:val="zh-CN" w:eastAsia="zh-CN" w:bidi="zh-CN"/>
      </w:rPr>
    </w:lvl>
    <w:lvl w:ilvl="4" w:tentative="0">
      <w:start w:val="0"/>
      <w:numFmt w:val="bullet"/>
      <w:lvlText w:val="•"/>
      <w:lvlJc w:val="left"/>
      <w:pPr>
        <w:ind w:left="3968" w:hanging="601"/>
      </w:pPr>
      <w:rPr>
        <w:rFonts w:hint="default"/>
        <w:lang w:val="zh-CN" w:eastAsia="zh-CN" w:bidi="zh-CN"/>
      </w:rPr>
    </w:lvl>
    <w:lvl w:ilvl="5" w:tentative="0">
      <w:start w:val="0"/>
      <w:numFmt w:val="bullet"/>
      <w:lvlText w:val="•"/>
      <w:lvlJc w:val="left"/>
      <w:pPr>
        <w:ind w:left="4878" w:hanging="601"/>
      </w:pPr>
      <w:rPr>
        <w:rFonts w:hint="default"/>
        <w:lang w:val="zh-CN" w:eastAsia="zh-CN" w:bidi="zh-CN"/>
      </w:rPr>
    </w:lvl>
    <w:lvl w:ilvl="6" w:tentative="0">
      <w:start w:val="0"/>
      <w:numFmt w:val="bullet"/>
      <w:lvlText w:val="•"/>
      <w:lvlJc w:val="left"/>
      <w:pPr>
        <w:ind w:left="5787" w:hanging="601"/>
      </w:pPr>
      <w:rPr>
        <w:rFonts w:hint="default"/>
        <w:lang w:val="zh-CN" w:eastAsia="zh-CN" w:bidi="zh-CN"/>
      </w:rPr>
    </w:lvl>
    <w:lvl w:ilvl="7" w:tentative="0">
      <w:start w:val="0"/>
      <w:numFmt w:val="bullet"/>
      <w:lvlText w:val="•"/>
      <w:lvlJc w:val="left"/>
      <w:pPr>
        <w:ind w:left="6697" w:hanging="601"/>
      </w:pPr>
      <w:rPr>
        <w:rFonts w:hint="default"/>
        <w:lang w:val="zh-CN" w:eastAsia="zh-CN" w:bidi="zh-CN"/>
      </w:rPr>
    </w:lvl>
    <w:lvl w:ilvl="8" w:tentative="0">
      <w:start w:val="0"/>
      <w:numFmt w:val="bullet"/>
      <w:lvlText w:val="•"/>
      <w:lvlJc w:val="left"/>
      <w:pPr>
        <w:ind w:left="7606" w:hanging="601"/>
      </w:pPr>
      <w:rPr>
        <w:rFonts w:hint="default"/>
        <w:lang w:val="zh-CN" w:eastAsia="zh-CN" w:bidi="zh-CN"/>
      </w:rPr>
    </w:lvl>
  </w:abstractNum>
  <w:abstractNum w:abstractNumId="70">
    <w:nsid w:val="4D4DC07F"/>
    <w:multiLevelType w:val="multilevel"/>
    <w:tmpl w:val="4D4DC07F"/>
    <w:lvl w:ilvl="0" w:tentative="0">
      <w:start w:val="2"/>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b/>
        <w:bCs/>
        <w:spacing w:val="-2"/>
        <w:w w:val="100"/>
        <w:lang w:val="zh-CN" w:eastAsia="zh-CN" w:bidi="zh-CN"/>
      </w:rPr>
    </w:lvl>
    <w:lvl w:ilvl="3" w:tentative="0">
      <w:start w:val="1"/>
      <w:numFmt w:val="decimal"/>
      <w:lvlText w:val="（%4）"/>
      <w:lvlJc w:val="left"/>
      <w:pPr>
        <w:ind w:left="540" w:hanging="7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409" w:hanging="701"/>
      </w:pPr>
      <w:rPr>
        <w:rFonts w:hint="default"/>
        <w:lang w:val="zh-CN" w:eastAsia="zh-CN" w:bidi="zh-CN"/>
      </w:rPr>
    </w:lvl>
    <w:lvl w:ilvl="5" w:tentative="0">
      <w:start w:val="0"/>
      <w:numFmt w:val="bullet"/>
      <w:lvlText w:val="•"/>
      <w:lvlJc w:val="left"/>
      <w:pPr>
        <w:ind w:left="3578" w:hanging="701"/>
      </w:pPr>
      <w:rPr>
        <w:rFonts w:hint="default"/>
        <w:lang w:val="zh-CN" w:eastAsia="zh-CN" w:bidi="zh-CN"/>
      </w:rPr>
    </w:lvl>
    <w:lvl w:ilvl="6" w:tentative="0">
      <w:start w:val="0"/>
      <w:numFmt w:val="bullet"/>
      <w:lvlText w:val="•"/>
      <w:lvlJc w:val="left"/>
      <w:pPr>
        <w:ind w:left="4748" w:hanging="701"/>
      </w:pPr>
      <w:rPr>
        <w:rFonts w:hint="default"/>
        <w:lang w:val="zh-CN" w:eastAsia="zh-CN" w:bidi="zh-CN"/>
      </w:rPr>
    </w:lvl>
    <w:lvl w:ilvl="7" w:tentative="0">
      <w:start w:val="0"/>
      <w:numFmt w:val="bullet"/>
      <w:lvlText w:val="•"/>
      <w:lvlJc w:val="left"/>
      <w:pPr>
        <w:ind w:left="5917" w:hanging="701"/>
      </w:pPr>
      <w:rPr>
        <w:rFonts w:hint="default"/>
        <w:lang w:val="zh-CN" w:eastAsia="zh-CN" w:bidi="zh-CN"/>
      </w:rPr>
    </w:lvl>
    <w:lvl w:ilvl="8" w:tentative="0">
      <w:start w:val="0"/>
      <w:numFmt w:val="bullet"/>
      <w:lvlText w:val="•"/>
      <w:lvlJc w:val="left"/>
      <w:pPr>
        <w:ind w:left="7087" w:hanging="701"/>
      </w:pPr>
      <w:rPr>
        <w:rFonts w:hint="default"/>
        <w:lang w:val="zh-CN" w:eastAsia="zh-CN" w:bidi="zh-CN"/>
      </w:rPr>
    </w:lvl>
  </w:abstractNum>
  <w:abstractNum w:abstractNumId="71">
    <w:nsid w:val="58765686"/>
    <w:multiLevelType w:val="multilevel"/>
    <w:tmpl w:val="58765686"/>
    <w:lvl w:ilvl="0" w:tentative="0">
      <w:start w:val="3"/>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72">
    <w:nsid w:val="59EEFD2A"/>
    <w:multiLevelType w:val="multilevel"/>
    <w:tmpl w:val="59EEFD2A"/>
    <w:lvl w:ilvl="0" w:tentative="0">
      <w:start w:val="6"/>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73">
    <w:nsid w:val="5A241D34"/>
    <w:multiLevelType w:val="multilevel"/>
    <w:tmpl w:val="5A241D3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74">
    <w:nsid w:val="5E29AB5A"/>
    <w:multiLevelType w:val="multilevel"/>
    <w:tmpl w:val="5E29AB5A"/>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75">
    <w:nsid w:val="5FFFB1A7"/>
    <w:multiLevelType w:val="multilevel"/>
    <w:tmpl w:val="5FFFB1A7"/>
    <w:lvl w:ilvl="0" w:tentative="0">
      <w:start w:val="3"/>
      <w:numFmt w:val="decimal"/>
      <w:lvlText w:val="%1"/>
      <w:lvlJc w:val="left"/>
      <w:pPr>
        <w:ind w:left="1099" w:hanging="560"/>
        <w:jc w:val="left"/>
      </w:pPr>
      <w:rPr>
        <w:rFonts w:hint="default"/>
        <w:lang w:val="zh-CN" w:eastAsia="zh-CN" w:bidi="zh-CN"/>
      </w:rPr>
    </w:lvl>
    <w:lvl w:ilvl="1" w:tentative="0">
      <w:start w:val="2"/>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3850" w:hanging="601"/>
      </w:pPr>
      <w:rPr>
        <w:rFonts w:hint="default"/>
        <w:lang w:val="zh-CN" w:eastAsia="zh-CN" w:bidi="zh-CN"/>
      </w:rPr>
    </w:lvl>
    <w:lvl w:ilvl="6" w:tentative="0">
      <w:start w:val="0"/>
      <w:numFmt w:val="bullet"/>
      <w:lvlText w:val="•"/>
      <w:lvlJc w:val="left"/>
      <w:pPr>
        <w:ind w:left="4965" w:hanging="601"/>
      </w:pPr>
      <w:rPr>
        <w:rFonts w:hint="default"/>
        <w:lang w:val="zh-CN" w:eastAsia="zh-CN" w:bidi="zh-CN"/>
      </w:rPr>
    </w:lvl>
    <w:lvl w:ilvl="7" w:tentative="0">
      <w:start w:val="0"/>
      <w:numFmt w:val="bullet"/>
      <w:lvlText w:val="•"/>
      <w:lvlJc w:val="left"/>
      <w:pPr>
        <w:ind w:left="6080" w:hanging="601"/>
      </w:pPr>
      <w:rPr>
        <w:rFonts w:hint="default"/>
        <w:lang w:val="zh-CN" w:eastAsia="zh-CN" w:bidi="zh-CN"/>
      </w:rPr>
    </w:lvl>
    <w:lvl w:ilvl="8" w:tentative="0">
      <w:start w:val="0"/>
      <w:numFmt w:val="bullet"/>
      <w:lvlText w:val="•"/>
      <w:lvlJc w:val="left"/>
      <w:pPr>
        <w:ind w:left="7195" w:hanging="601"/>
      </w:pPr>
      <w:rPr>
        <w:rFonts w:hint="default"/>
        <w:lang w:val="zh-CN" w:eastAsia="zh-CN" w:bidi="zh-CN"/>
      </w:rPr>
    </w:lvl>
  </w:abstractNum>
  <w:abstractNum w:abstractNumId="76">
    <w:nsid w:val="60382F6E"/>
    <w:multiLevelType w:val="multilevel"/>
    <w:tmpl w:val="60382F6E"/>
    <w:lvl w:ilvl="0" w:tentative="0">
      <w:start w:val="1"/>
      <w:numFmt w:val="decimal"/>
      <w:lvlText w:val="（%1）"/>
      <w:lvlJc w:val="left"/>
      <w:pPr>
        <w:ind w:left="1621"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77">
    <w:nsid w:val="610EFE5C"/>
    <w:multiLevelType w:val="multilevel"/>
    <w:tmpl w:val="610EFE5C"/>
    <w:lvl w:ilvl="0" w:tentative="0">
      <w:start w:val="9"/>
      <w:numFmt w:val="decimal"/>
      <w:lvlText w:val="%1"/>
      <w:lvlJc w:val="left"/>
      <w:pPr>
        <w:ind w:left="920" w:hanging="701"/>
        <w:jc w:val="left"/>
      </w:pPr>
      <w:rPr>
        <w:rFonts w:hint="default"/>
        <w:lang w:val="zh-CN" w:eastAsia="zh-CN" w:bidi="zh-CN"/>
      </w:rPr>
    </w:lvl>
    <w:lvl w:ilvl="1" w:tentative="0">
      <w:start w:val="4"/>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97" w:hanging="701"/>
      </w:pPr>
      <w:rPr>
        <w:rFonts w:hint="default"/>
        <w:lang w:val="zh-CN" w:eastAsia="zh-CN" w:bidi="zh-CN"/>
      </w:rPr>
    </w:lvl>
    <w:lvl w:ilvl="4" w:tentative="0">
      <w:start w:val="0"/>
      <w:numFmt w:val="bullet"/>
      <w:lvlText w:val="•"/>
      <w:lvlJc w:val="left"/>
      <w:pPr>
        <w:ind w:left="4090" w:hanging="701"/>
      </w:pPr>
      <w:rPr>
        <w:rFonts w:hint="default"/>
        <w:lang w:val="zh-CN" w:eastAsia="zh-CN" w:bidi="zh-CN"/>
      </w:rPr>
    </w:lvl>
    <w:lvl w:ilvl="5" w:tentative="0">
      <w:start w:val="0"/>
      <w:numFmt w:val="bullet"/>
      <w:lvlText w:val="•"/>
      <w:lvlJc w:val="left"/>
      <w:pPr>
        <w:ind w:left="4883" w:hanging="701"/>
      </w:pPr>
      <w:rPr>
        <w:rFonts w:hint="default"/>
        <w:lang w:val="zh-CN" w:eastAsia="zh-CN" w:bidi="zh-CN"/>
      </w:rPr>
    </w:lvl>
    <w:lvl w:ilvl="6" w:tentative="0">
      <w:start w:val="0"/>
      <w:numFmt w:val="bullet"/>
      <w:lvlText w:val="•"/>
      <w:lvlJc w:val="left"/>
      <w:pPr>
        <w:ind w:left="5675" w:hanging="701"/>
      </w:pPr>
      <w:rPr>
        <w:rFonts w:hint="default"/>
        <w:lang w:val="zh-CN" w:eastAsia="zh-CN" w:bidi="zh-CN"/>
      </w:rPr>
    </w:lvl>
    <w:lvl w:ilvl="7" w:tentative="0">
      <w:start w:val="0"/>
      <w:numFmt w:val="bullet"/>
      <w:lvlText w:val="•"/>
      <w:lvlJc w:val="left"/>
      <w:pPr>
        <w:ind w:left="6468" w:hanging="701"/>
      </w:pPr>
      <w:rPr>
        <w:rFonts w:hint="default"/>
        <w:lang w:val="zh-CN" w:eastAsia="zh-CN" w:bidi="zh-CN"/>
      </w:rPr>
    </w:lvl>
    <w:lvl w:ilvl="8" w:tentative="0">
      <w:start w:val="0"/>
      <w:numFmt w:val="bullet"/>
      <w:lvlText w:val="•"/>
      <w:lvlJc w:val="left"/>
      <w:pPr>
        <w:ind w:left="7260" w:hanging="701"/>
      </w:pPr>
      <w:rPr>
        <w:rFonts w:hint="default"/>
        <w:lang w:val="zh-CN" w:eastAsia="zh-CN" w:bidi="zh-CN"/>
      </w:rPr>
    </w:lvl>
  </w:abstractNum>
  <w:abstractNum w:abstractNumId="78">
    <w:nsid w:val="629F7852"/>
    <w:multiLevelType w:val="multilevel"/>
    <w:tmpl w:val="629F7852"/>
    <w:lvl w:ilvl="0" w:tentative="0">
      <w:start w:val="1"/>
      <w:numFmt w:val="decimal"/>
      <w:lvlText w:val="（%1）"/>
      <w:lvlJc w:val="left"/>
      <w:pPr>
        <w:ind w:left="5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79">
    <w:nsid w:val="65CD0074"/>
    <w:multiLevelType w:val="multilevel"/>
    <w:tmpl w:val="65CD007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80">
    <w:nsid w:val="68B298F7"/>
    <w:multiLevelType w:val="multilevel"/>
    <w:tmpl w:val="68B298F7"/>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7"/>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81">
    <w:nsid w:val="700FDCEF"/>
    <w:multiLevelType w:val="multilevel"/>
    <w:tmpl w:val="700FDCEF"/>
    <w:lvl w:ilvl="0" w:tentative="0">
      <w:start w:val="5"/>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1"/>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82">
    <w:nsid w:val="74C28B35"/>
    <w:multiLevelType w:val="multilevel"/>
    <w:tmpl w:val="74C28B35"/>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83">
    <w:nsid w:val="77633216"/>
    <w:multiLevelType w:val="multilevel"/>
    <w:tmpl w:val="77633216"/>
    <w:lvl w:ilvl="0" w:tentative="0">
      <w:start w:val="5"/>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5"/>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562" w:hanging="780"/>
      </w:pPr>
      <w:rPr>
        <w:rFonts w:hint="default"/>
        <w:lang w:val="zh-CN" w:eastAsia="zh-CN" w:bidi="zh-CN"/>
      </w:rPr>
    </w:lvl>
    <w:lvl w:ilvl="5" w:tentative="0">
      <w:start w:val="0"/>
      <w:numFmt w:val="bullet"/>
      <w:lvlText w:val="•"/>
      <w:lvlJc w:val="left"/>
      <w:pPr>
        <w:ind w:left="5373" w:hanging="780"/>
      </w:pPr>
      <w:rPr>
        <w:rFonts w:hint="default"/>
        <w:lang w:val="zh-CN" w:eastAsia="zh-CN" w:bidi="zh-CN"/>
      </w:rPr>
    </w:lvl>
    <w:lvl w:ilvl="6" w:tentative="0">
      <w:start w:val="0"/>
      <w:numFmt w:val="bullet"/>
      <w:lvlText w:val="•"/>
      <w:lvlJc w:val="left"/>
      <w:pPr>
        <w:ind w:left="6183" w:hanging="780"/>
      </w:pPr>
      <w:rPr>
        <w:rFonts w:hint="default"/>
        <w:lang w:val="zh-CN" w:eastAsia="zh-CN" w:bidi="zh-CN"/>
      </w:rPr>
    </w:lvl>
    <w:lvl w:ilvl="7" w:tentative="0">
      <w:start w:val="0"/>
      <w:numFmt w:val="bullet"/>
      <w:lvlText w:val="•"/>
      <w:lvlJc w:val="left"/>
      <w:pPr>
        <w:ind w:left="6994" w:hanging="780"/>
      </w:pPr>
      <w:rPr>
        <w:rFonts w:hint="default"/>
        <w:lang w:val="zh-CN" w:eastAsia="zh-CN" w:bidi="zh-CN"/>
      </w:rPr>
    </w:lvl>
    <w:lvl w:ilvl="8" w:tentative="0">
      <w:start w:val="0"/>
      <w:numFmt w:val="bullet"/>
      <w:lvlText w:val="•"/>
      <w:lvlJc w:val="left"/>
      <w:pPr>
        <w:ind w:left="7804" w:hanging="780"/>
      </w:pPr>
      <w:rPr>
        <w:rFonts w:hint="default"/>
        <w:lang w:val="zh-CN" w:eastAsia="zh-CN" w:bidi="zh-CN"/>
      </w:rPr>
    </w:lvl>
  </w:abstractNum>
  <w:abstractNum w:abstractNumId="84">
    <w:nsid w:val="77ECEA79"/>
    <w:multiLevelType w:val="multilevel"/>
    <w:tmpl w:val="77ECEA79"/>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85">
    <w:nsid w:val="79AA4FA4"/>
    <w:multiLevelType w:val="multilevel"/>
    <w:tmpl w:val="79AA4FA4"/>
    <w:lvl w:ilvl="0" w:tentative="0">
      <w:start w:val="1"/>
      <w:numFmt w:val="decimal"/>
      <w:lvlText w:val="（%1）"/>
      <w:lvlJc w:val="left"/>
      <w:pPr>
        <w:ind w:left="16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86">
    <w:nsid w:val="7C246926"/>
    <w:multiLevelType w:val="multilevel"/>
    <w:tmpl w:val="7C246926"/>
    <w:lvl w:ilvl="0" w:tentative="0">
      <w:start w:val="2"/>
      <w:numFmt w:val="decimal"/>
      <w:lvlText w:val="%1"/>
      <w:lvlJc w:val="left"/>
      <w:pPr>
        <w:ind w:left="1320" w:hanging="780"/>
        <w:jc w:val="left"/>
      </w:pPr>
      <w:rPr>
        <w:rFonts w:hint="default"/>
        <w:lang w:val="zh-CN" w:eastAsia="zh-CN" w:bidi="zh-CN"/>
      </w:rPr>
    </w:lvl>
    <w:lvl w:ilvl="1" w:tentative="0">
      <w:start w:val="4"/>
      <w:numFmt w:val="decimal"/>
      <w:lvlText w:val="%1.%2"/>
      <w:lvlJc w:val="left"/>
      <w:pPr>
        <w:ind w:left="1320" w:hanging="780"/>
        <w:jc w:val="left"/>
      </w:pPr>
      <w:rPr>
        <w:rFonts w:hint="default"/>
        <w:lang w:val="zh-CN" w:eastAsia="zh-CN" w:bidi="zh-CN"/>
      </w:rPr>
    </w:lvl>
    <w:lvl w:ilvl="2" w:tentative="0">
      <w:start w:val="2"/>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6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num w:numId="1">
    <w:abstractNumId w:val="9"/>
  </w:num>
  <w:num w:numId="2">
    <w:abstractNumId w:val="56"/>
  </w:num>
  <w:num w:numId="3">
    <w:abstractNumId w:val="73"/>
  </w:num>
  <w:num w:numId="4">
    <w:abstractNumId w:val="30"/>
  </w:num>
  <w:num w:numId="5">
    <w:abstractNumId w:val="70"/>
  </w:num>
  <w:num w:numId="6">
    <w:abstractNumId w:val="38"/>
  </w:num>
  <w:num w:numId="7">
    <w:abstractNumId w:val="67"/>
  </w:num>
  <w:num w:numId="8">
    <w:abstractNumId w:val="76"/>
  </w:num>
  <w:num w:numId="9">
    <w:abstractNumId w:val="46"/>
  </w:num>
  <w:num w:numId="10">
    <w:abstractNumId w:val="65"/>
  </w:num>
  <w:num w:numId="11">
    <w:abstractNumId w:val="20"/>
  </w:num>
  <w:num w:numId="12">
    <w:abstractNumId w:val="86"/>
  </w:num>
  <w:num w:numId="13">
    <w:abstractNumId w:val="84"/>
  </w:num>
  <w:num w:numId="14">
    <w:abstractNumId w:val="28"/>
  </w:num>
  <w:num w:numId="15">
    <w:abstractNumId w:val="78"/>
  </w:num>
  <w:num w:numId="16">
    <w:abstractNumId w:val="10"/>
  </w:num>
  <w:num w:numId="17">
    <w:abstractNumId w:val="62"/>
  </w:num>
  <w:num w:numId="18">
    <w:abstractNumId w:val="4"/>
  </w:num>
  <w:num w:numId="19">
    <w:abstractNumId w:val="71"/>
  </w:num>
  <w:num w:numId="20">
    <w:abstractNumId w:val="1"/>
  </w:num>
  <w:num w:numId="21">
    <w:abstractNumId w:val="54"/>
  </w:num>
  <w:num w:numId="22">
    <w:abstractNumId w:val="35"/>
  </w:num>
  <w:num w:numId="23">
    <w:abstractNumId w:val="59"/>
  </w:num>
  <w:num w:numId="24">
    <w:abstractNumId w:val="85"/>
  </w:num>
  <w:num w:numId="25">
    <w:abstractNumId w:val="24"/>
  </w:num>
  <w:num w:numId="26">
    <w:abstractNumId w:val="7"/>
  </w:num>
  <w:num w:numId="27">
    <w:abstractNumId w:val="23"/>
  </w:num>
  <w:num w:numId="28">
    <w:abstractNumId w:val="74"/>
  </w:num>
  <w:num w:numId="29">
    <w:abstractNumId w:val="3"/>
  </w:num>
  <w:num w:numId="30">
    <w:abstractNumId w:val="6"/>
  </w:num>
  <w:num w:numId="31">
    <w:abstractNumId w:val="75"/>
  </w:num>
  <w:num w:numId="32">
    <w:abstractNumId w:val="82"/>
  </w:num>
  <w:num w:numId="33">
    <w:abstractNumId w:val="68"/>
  </w:num>
  <w:num w:numId="34">
    <w:abstractNumId w:val="60"/>
  </w:num>
  <w:num w:numId="35">
    <w:abstractNumId w:val="79"/>
  </w:num>
  <w:num w:numId="36">
    <w:abstractNumId w:val="44"/>
  </w:num>
  <w:num w:numId="37">
    <w:abstractNumId w:val="45"/>
  </w:num>
  <w:num w:numId="38">
    <w:abstractNumId w:val="32"/>
  </w:num>
  <w:num w:numId="39">
    <w:abstractNumId w:val="61"/>
  </w:num>
  <w:num w:numId="40">
    <w:abstractNumId w:val="53"/>
  </w:num>
  <w:num w:numId="41">
    <w:abstractNumId w:val="64"/>
  </w:num>
  <w:num w:numId="42">
    <w:abstractNumId w:val="55"/>
  </w:num>
  <w:num w:numId="43">
    <w:abstractNumId w:val="43"/>
  </w:num>
  <w:num w:numId="44">
    <w:abstractNumId w:val="48"/>
  </w:num>
  <w:num w:numId="45">
    <w:abstractNumId w:val="21"/>
  </w:num>
  <w:num w:numId="46">
    <w:abstractNumId w:val="63"/>
  </w:num>
  <w:num w:numId="47">
    <w:abstractNumId w:val="16"/>
  </w:num>
  <w:num w:numId="48">
    <w:abstractNumId w:val="40"/>
  </w:num>
  <w:num w:numId="49">
    <w:abstractNumId w:val="58"/>
  </w:num>
  <w:num w:numId="50">
    <w:abstractNumId w:val="41"/>
  </w:num>
  <w:num w:numId="51">
    <w:abstractNumId w:val="50"/>
  </w:num>
  <w:num w:numId="52">
    <w:abstractNumId w:val="81"/>
  </w:num>
  <w:num w:numId="53">
    <w:abstractNumId w:val="36"/>
  </w:num>
  <w:num w:numId="54">
    <w:abstractNumId w:val="29"/>
  </w:num>
  <w:num w:numId="55">
    <w:abstractNumId w:val="15"/>
  </w:num>
  <w:num w:numId="56">
    <w:abstractNumId w:val="83"/>
  </w:num>
  <w:num w:numId="57">
    <w:abstractNumId w:val="33"/>
  </w:num>
  <w:num w:numId="58">
    <w:abstractNumId w:val="22"/>
  </w:num>
  <w:num w:numId="59">
    <w:abstractNumId w:val="57"/>
  </w:num>
  <w:num w:numId="60">
    <w:abstractNumId w:val="37"/>
  </w:num>
  <w:num w:numId="61">
    <w:abstractNumId w:val="12"/>
  </w:num>
  <w:num w:numId="62">
    <w:abstractNumId w:val="72"/>
  </w:num>
  <w:num w:numId="63">
    <w:abstractNumId w:val="26"/>
  </w:num>
  <w:num w:numId="64">
    <w:abstractNumId w:val="19"/>
  </w:num>
  <w:num w:numId="65">
    <w:abstractNumId w:val="11"/>
  </w:num>
  <w:num w:numId="66">
    <w:abstractNumId w:val="14"/>
  </w:num>
  <w:num w:numId="67">
    <w:abstractNumId w:val="18"/>
  </w:num>
  <w:num w:numId="68">
    <w:abstractNumId w:val="8"/>
  </w:num>
  <w:num w:numId="69">
    <w:abstractNumId w:val="52"/>
  </w:num>
  <w:num w:numId="70">
    <w:abstractNumId w:val="27"/>
  </w:num>
  <w:num w:numId="71">
    <w:abstractNumId w:val="49"/>
  </w:num>
  <w:num w:numId="72">
    <w:abstractNumId w:val="31"/>
  </w:num>
  <w:num w:numId="73">
    <w:abstractNumId w:val="80"/>
  </w:num>
  <w:num w:numId="74">
    <w:abstractNumId w:val="0"/>
  </w:num>
  <w:num w:numId="75">
    <w:abstractNumId w:val="25"/>
  </w:num>
  <w:num w:numId="76">
    <w:abstractNumId w:val="39"/>
  </w:num>
  <w:num w:numId="77">
    <w:abstractNumId w:val="69"/>
  </w:num>
  <w:num w:numId="78">
    <w:abstractNumId w:val="47"/>
  </w:num>
  <w:num w:numId="79">
    <w:abstractNumId w:val="13"/>
  </w:num>
  <w:num w:numId="80">
    <w:abstractNumId w:val="34"/>
  </w:num>
  <w:num w:numId="81">
    <w:abstractNumId w:val="51"/>
  </w:num>
  <w:num w:numId="82">
    <w:abstractNumId w:val="66"/>
  </w:num>
  <w:num w:numId="83">
    <w:abstractNumId w:val="17"/>
  </w:num>
  <w:num w:numId="84">
    <w:abstractNumId w:val="77"/>
  </w:num>
  <w:num w:numId="85">
    <w:abstractNumId w:val="2"/>
  </w:num>
  <w:num w:numId="86">
    <w:abstractNumId w:val="5"/>
  </w:num>
  <w:num w:numId="8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1864838"/>
    <w:rsid w:val="04435FD3"/>
    <w:rsid w:val="07916933"/>
    <w:rsid w:val="09457D54"/>
    <w:rsid w:val="09A835F4"/>
    <w:rsid w:val="0AB97FED"/>
    <w:rsid w:val="0C344CE8"/>
    <w:rsid w:val="103E2438"/>
    <w:rsid w:val="12FA5EC8"/>
    <w:rsid w:val="153E265A"/>
    <w:rsid w:val="1B2A4523"/>
    <w:rsid w:val="1FDE4241"/>
    <w:rsid w:val="223E05B2"/>
    <w:rsid w:val="23DD75E4"/>
    <w:rsid w:val="26FB19B0"/>
    <w:rsid w:val="2E7F04F9"/>
    <w:rsid w:val="38922369"/>
    <w:rsid w:val="50E219F6"/>
    <w:rsid w:val="55EB54F8"/>
    <w:rsid w:val="581C2013"/>
    <w:rsid w:val="5939428C"/>
    <w:rsid w:val="62CC40D5"/>
    <w:rsid w:val="667C475E"/>
    <w:rsid w:val="68374E58"/>
    <w:rsid w:val="69A000BC"/>
    <w:rsid w:val="6B012F68"/>
    <w:rsid w:val="72FB7432"/>
    <w:rsid w:val="79EF2D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143"/>
      <w:ind w:right="32"/>
      <w:jc w:val="center"/>
      <w:outlineLvl w:val="1"/>
    </w:pPr>
    <w:rPr>
      <w:rFonts w:ascii="宋体" w:hAnsi="宋体" w:eastAsia="宋体" w:cs="宋体"/>
      <w:b/>
      <w:bCs/>
      <w:sz w:val="36"/>
      <w:szCs w:val="36"/>
      <w:lang w:val="zh-CN" w:eastAsia="zh-CN" w:bidi="zh-CN"/>
    </w:rPr>
  </w:style>
  <w:style w:type="paragraph" w:styleId="4">
    <w:name w:val="heading 2"/>
    <w:basedOn w:val="1"/>
    <w:next w:val="1"/>
    <w:qFormat/>
    <w:uiPriority w:val="1"/>
    <w:pPr>
      <w:ind w:left="1099" w:hanging="560"/>
      <w:outlineLvl w:val="2"/>
    </w:pPr>
    <w:rPr>
      <w:rFonts w:ascii="宋体" w:hAnsi="宋体" w:eastAsia="宋体" w:cs="宋体"/>
      <w:b/>
      <w:bCs/>
      <w:sz w:val="32"/>
      <w:szCs w:val="32"/>
      <w:lang w:val="zh-CN" w:eastAsia="zh-CN" w:bidi="zh-CN"/>
    </w:rPr>
  </w:style>
  <w:style w:type="paragraph" w:styleId="5">
    <w:name w:val="heading 3"/>
    <w:basedOn w:val="1"/>
    <w:next w:val="1"/>
    <w:qFormat/>
    <w:uiPriority w:val="1"/>
    <w:pPr>
      <w:ind w:left="1240" w:hanging="701"/>
      <w:outlineLvl w:val="3"/>
    </w:pPr>
    <w:rPr>
      <w:rFonts w:ascii="宋体" w:hAnsi="宋体" w:eastAsia="宋体" w:cs="宋体"/>
      <w:b/>
      <w:bCs/>
      <w:sz w:val="28"/>
      <w:szCs w:val="28"/>
      <w:lang w:val="zh-CN" w:eastAsia="zh-CN" w:bidi="zh-CN"/>
    </w:rPr>
  </w:style>
  <w:style w:type="paragraph" w:styleId="2">
    <w:name w:val="heading 4"/>
    <w:basedOn w:val="1"/>
    <w:next w:val="1"/>
    <w:qFormat/>
    <w:uiPriority w:val="1"/>
    <w:pPr>
      <w:jc w:val="center"/>
      <w:outlineLvl w:val="4"/>
    </w:pPr>
    <w:rPr>
      <w:rFonts w:ascii="宋体" w:hAnsi="宋体" w:eastAsia="宋体" w:cs="宋体"/>
      <w:b/>
      <w:bCs/>
      <w:sz w:val="24"/>
      <w:szCs w:val="24"/>
      <w:lang w:val="zh-CN" w:eastAsia="zh-CN" w:bidi="zh-CN"/>
    </w:rPr>
  </w:style>
  <w:style w:type="character" w:default="1" w:styleId="16">
    <w:name w:val="Default Paragraph Font"/>
    <w:semiHidden/>
    <w:unhideWhenUsed/>
    <w:qFormat/>
    <w:uiPriority w:val="1"/>
  </w:style>
  <w:style w:type="table" w:default="1" w:styleId="15">
    <w:name w:val="Normal Table"/>
    <w:semiHidden/>
    <w:qFormat/>
    <w:uiPriority w:val="0"/>
    <w:tblPr>
      <w:tblCellMar>
        <w:top w:w="0" w:type="dxa"/>
        <w:left w:w="108" w:type="dxa"/>
        <w:bottom w:w="0" w:type="dxa"/>
        <w:right w:w="108" w:type="dxa"/>
      </w:tblCellMar>
    </w:tblPr>
  </w:style>
  <w:style w:type="paragraph" w:styleId="6">
    <w:name w:val="caption"/>
    <w:basedOn w:val="1"/>
    <w:next w:val="1"/>
    <w:qFormat/>
    <w:uiPriority w:val="0"/>
    <w:rPr>
      <w:rFonts w:ascii="Arial" w:hAnsi="Arial" w:eastAsia="黑体" w:cs="Arial"/>
      <w:sz w:val="20"/>
      <w:szCs w:val="20"/>
    </w:rPr>
  </w:style>
  <w:style w:type="paragraph" w:styleId="7">
    <w:name w:val="Body Text"/>
    <w:basedOn w:val="1"/>
    <w:qFormat/>
    <w:uiPriority w:val="1"/>
    <w:pPr>
      <w:ind w:left="540"/>
    </w:pPr>
    <w:rPr>
      <w:rFonts w:ascii="宋体" w:hAnsi="宋体" w:eastAsia="宋体" w:cs="宋体"/>
      <w:sz w:val="24"/>
      <w:szCs w:val="24"/>
      <w:lang w:val="zh-CN" w:eastAsia="zh-CN" w:bidi="zh-CN"/>
    </w:rPr>
  </w:style>
  <w:style w:type="paragraph" w:styleId="8">
    <w:name w:val="Body Text Indent"/>
    <w:basedOn w:val="1"/>
    <w:qFormat/>
    <w:uiPriority w:val="0"/>
    <w:pPr>
      <w:spacing w:after="120"/>
      <w:ind w:left="420" w:leftChars="200"/>
    </w:pPr>
  </w:style>
  <w:style w:type="paragraph" w:styleId="9">
    <w:name w:val="toc 3"/>
    <w:basedOn w:val="1"/>
    <w:next w:val="1"/>
    <w:qFormat/>
    <w:uiPriority w:val="1"/>
    <w:pPr>
      <w:spacing w:before="121"/>
      <w:ind w:left="1440" w:hanging="420"/>
    </w:pPr>
    <w:rPr>
      <w:rFonts w:ascii="宋体" w:hAnsi="宋体" w:eastAsia="宋体" w:cs="宋体"/>
      <w:sz w:val="24"/>
      <w:szCs w:val="24"/>
      <w:lang w:val="zh-CN" w:eastAsia="zh-CN" w:bidi="zh-CN"/>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1"/>
    <w:pPr>
      <w:spacing w:before="94"/>
      <w:ind w:right="576"/>
      <w:jc w:val="right"/>
    </w:pPr>
    <w:rPr>
      <w:rFonts w:ascii="宋体" w:hAnsi="宋体" w:eastAsia="宋体" w:cs="宋体"/>
      <w:b/>
      <w:bCs/>
      <w:sz w:val="28"/>
      <w:szCs w:val="28"/>
      <w:lang w:val="zh-CN" w:eastAsia="zh-CN" w:bidi="zh-CN"/>
    </w:rPr>
  </w:style>
  <w:style w:type="paragraph" w:styleId="13">
    <w:name w:val="toc 2"/>
    <w:basedOn w:val="1"/>
    <w:next w:val="1"/>
    <w:qFormat/>
    <w:uiPriority w:val="1"/>
    <w:pPr>
      <w:spacing w:before="132"/>
      <w:ind w:left="1440" w:right="577" w:hanging="1440"/>
      <w:jc w:val="right"/>
    </w:pPr>
    <w:rPr>
      <w:rFonts w:ascii="宋体" w:hAnsi="宋体" w:eastAsia="宋体" w:cs="宋体"/>
      <w:sz w:val="24"/>
      <w:szCs w:val="24"/>
      <w:lang w:val="zh-CN" w:eastAsia="zh-CN" w:bidi="zh-CN"/>
    </w:rPr>
  </w:style>
  <w:style w:type="paragraph" w:styleId="14">
    <w:name w:val="Body Text First Indent 2"/>
    <w:basedOn w:val="8"/>
    <w:qFormat/>
    <w:uiPriority w:val="0"/>
    <w:pPr>
      <w:ind w:firstLine="420" w:firstLineChars="200"/>
    </w:pPr>
    <w:rPr>
      <w:rFonts w:eastAsia="仿宋_GB2312"/>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1621" w:hanging="601"/>
    </w:pPr>
    <w:rPr>
      <w:rFonts w:ascii="宋体" w:hAnsi="宋体" w:eastAsia="宋体" w:cs="宋体"/>
      <w:lang w:val="zh-CN" w:eastAsia="zh-CN" w:bidi="zh-CN"/>
    </w:rPr>
  </w:style>
  <w:style w:type="paragraph" w:customStyle="1" w:styleId="19">
    <w:name w:val="Table Paragraph"/>
    <w:basedOn w:val="1"/>
    <w:qFormat/>
    <w:uiPriority w:val="1"/>
    <w:pPr>
      <w:jc w:val="center"/>
    </w:pPr>
    <w:rPr>
      <w:rFonts w:ascii="宋体" w:hAnsi="宋体" w:eastAsia="宋体" w:cs="宋体"/>
      <w:lang w:val="zh-CN" w:eastAsia="zh-CN" w:bidi="zh-CN"/>
    </w:rPr>
  </w:style>
  <w:style w:type="paragraph" w:customStyle="1" w:styleId="20">
    <w:name w:val="正文(首行缩进)"/>
    <w:basedOn w:val="1"/>
    <w:next w:val="1"/>
    <w:qFormat/>
    <w:uiPriority w:val="0"/>
    <w:pPr>
      <w:spacing w:line="360" w:lineRule="auto"/>
      <w:ind w:firstLine="540" w:firstLineChars="225"/>
    </w:pPr>
    <w:rPr>
      <w:snapToGrid w:val="0"/>
      <w:color w:val="000000"/>
      <w:kern w:val="0"/>
      <w:sz w:val="24"/>
    </w:rPr>
  </w:style>
  <w:style w:type="paragraph" w:customStyle="1" w:styleId="21">
    <w:name w:val="5-表标题"/>
    <w:basedOn w:val="1"/>
    <w:qFormat/>
    <w:uiPriority w:val="0"/>
    <w:pPr>
      <w:spacing w:before="156" w:beforeLines="50" w:line="240" w:lineRule="auto"/>
      <w:ind w:firstLine="0" w:firstLineChars="0"/>
      <w:jc w:val="center"/>
    </w:pPr>
    <w:rPr>
      <w:b/>
    </w:rPr>
  </w:style>
  <w:style w:type="character" w:customStyle="1" w:styleId="22">
    <w:name w:val="font21"/>
    <w:basedOn w:val="16"/>
    <w:qFormat/>
    <w:uiPriority w:val="0"/>
    <w:rPr>
      <w:rFonts w:hint="eastAsia" w:ascii="宋体" w:hAnsi="宋体" w:eastAsia="宋体" w:cs="宋体"/>
      <w:color w:val="000000"/>
      <w:sz w:val="21"/>
      <w:szCs w:val="21"/>
      <w:u w:val="none"/>
    </w:rPr>
  </w:style>
  <w:style w:type="character" w:customStyle="1" w:styleId="23">
    <w:name w:val="font11"/>
    <w:basedOn w:val="16"/>
    <w:qFormat/>
    <w:uiPriority w:val="0"/>
    <w:rPr>
      <w:rFonts w:hint="default" w:ascii="Times New Roman" w:hAnsi="Times New Roman" w:cs="Times New Roman"/>
      <w:color w:val="000000"/>
      <w:sz w:val="21"/>
      <w:szCs w:val="21"/>
      <w:u w:val="none"/>
    </w:rPr>
  </w:style>
  <w:style w:type="character" w:customStyle="1" w:styleId="24">
    <w:name w:val="font41"/>
    <w:basedOn w:val="16"/>
    <w:qFormat/>
    <w:uiPriority w:val="0"/>
    <w:rPr>
      <w:rFonts w:ascii="Arial" w:hAnsi="Arial" w:cs="Arial"/>
      <w:color w:val="000000"/>
      <w:sz w:val="21"/>
      <w:szCs w:val="21"/>
      <w:u w:val="none"/>
    </w:rPr>
  </w:style>
  <w:style w:type="character" w:customStyle="1" w:styleId="25">
    <w:name w:val="font01"/>
    <w:basedOn w:val="16"/>
    <w:qFormat/>
    <w:uiPriority w:val="0"/>
    <w:rPr>
      <w:rFonts w:hint="eastAsia" w:ascii="宋体" w:hAnsi="宋体" w:eastAsia="宋体" w:cs="宋体"/>
      <w:color w:val="000000"/>
      <w:sz w:val="21"/>
      <w:szCs w:val="21"/>
      <w:u w:val="none"/>
    </w:rPr>
  </w:style>
  <w:style w:type="character" w:customStyle="1" w:styleId="26">
    <w:name w:val="font31"/>
    <w:basedOn w:val="16"/>
    <w:qFormat/>
    <w:uiPriority w:val="0"/>
    <w:rPr>
      <w:rFonts w:hint="eastAsia" w:ascii="宋体" w:hAnsi="宋体" w:eastAsia="宋体" w:cs="宋体"/>
      <w:color w:val="000000"/>
      <w:sz w:val="21"/>
      <w:szCs w:val="21"/>
      <w:u w:val="none"/>
    </w:rPr>
  </w:style>
  <w:style w:type="paragraph" w:customStyle="1" w:styleId="27">
    <w:name w:val="WPSOffice手动目录 3"/>
    <w:qFormat/>
    <w:uiPriority w:val="0"/>
    <w:pPr>
      <w:ind w:leftChars="400"/>
    </w:pPr>
    <w:rPr>
      <w:rFonts w:ascii="Times New Roman" w:hAnsi="Times New Roman" w:eastAsia="宋体" w:cs="Times New Roman"/>
      <w:sz w:val="20"/>
      <w:szCs w:val="20"/>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26.jpeg"/><Relationship Id="rId6" Type="http://schemas.openxmlformats.org/officeDocument/2006/relationships/header" Target="header3.xml"/><Relationship Id="rId59" Type="http://schemas.openxmlformats.org/officeDocument/2006/relationships/image" Target="media/image25.jpeg"/><Relationship Id="rId58" Type="http://schemas.openxmlformats.org/officeDocument/2006/relationships/image" Target="media/image24.jpeg"/><Relationship Id="rId57" Type="http://schemas.openxmlformats.org/officeDocument/2006/relationships/image" Target="media/image23.jpeg"/><Relationship Id="rId56" Type="http://schemas.openxmlformats.org/officeDocument/2006/relationships/image" Target="media/image22.jpeg"/><Relationship Id="rId55" Type="http://schemas.openxmlformats.org/officeDocument/2006/relationships/image" Target="media/image21.jpeg"/><Relationship Id="rId54" Type="http://schemas.openxmlformats.org/officeDocument/2006/relationships/image" Target="media/image20.jpeg"/><Relationship Id="rId53" Type="http://schemas.openxmlformats.org/officeDocument/2006/relationships/image" Target="media/image19.jpeg"/><Relationship Id="rId52" Type="http://schemas.openxmlformats.org/officeDocument/2006/relationships/image" Target="media/image18.jpe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header" Target="header2.xml"/><Relationship Id="rId49" Type="http://schemas.openxmlformats.org/officeDocument/2006/relationships/image" Target="media/image15.png"/><Relationship Id="rId48" Type="http://schemas.openxmlformats.org/officeDocument/2006/relationships/image" Target="media/image14.jpeg"/><Relationship Id="rId47" Type="http://schemas.openxmlformats.org/officeDocument/2006/relationships/image" Target="media/image13.wmf"/><Relationship Id="rId46" Type="http://schemas.openxmlformats.org/officeDocument/2006/relationships/image" Target="media/image12.wmf"/><Relationship Id="rId45" Type="http://schemas.openxmlformats.org/officeDocument/2006/relationships/image" Target="media/image11.wmf"/><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jpe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1.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header" Target="header6.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186"/>
    <customShpInfo spid="_x0000_s2187"/>
    <customShpInfo spid="_x0000_s2185" textRotate="1"/>
    <customShpInfo spid="_x0000_s2159" textRotate="1"/>
    <customShpInfo spid="_x0000_s2076" textRotate="1"/>
    <customShpInfo spid="_x0000_s2160" textRotate="1"/>
    <customShpInfo spid="_x0000_s2161" textRotate="1"/>
    <customShpInfo spid="_x0000_s2052"/>
    <customShpInfo spid="_x0000_s2162" textRotate="1"/>
    <customShpInfo spid="_x0000_s2077"/>
    <customShpInfo spid="_x0000_s2163" textRotate="1"/>
    <customShpInfo spid="_x0000_s2156"/>
    <customShpInfo spid="_x0000_s2164" textRotate="1"/>
    <customShpInfo spid="_x0000_s2165" textRotate="1"/>
    <customShpInfo spid="_x0000_s2166" textRotate="1"/>
    <customShpInfo spid="_x0000_s2169" textRotate="1"/>
    <customShpInfo spid="_x0000_s2171" textRotate="1"/>
    <customShpInfo spid="_x0000_s2172" textRotate="1"/>
    <customShpInfo spid="_x0000_s2173" textRotate="1"/>
    <customShpInfo spid="_x0000_s2174" textRotate="1"/>
    <customShpInfo spid="_x0000_s2175" textRotate="1"/>
    <customShpInfo spid="_x0000_s2176" textRotate="1"/>
    <customShpInfo spid="_x0000_s2177" textRotate="1"/>
    <customShpInfo spid="_x0000_s2178" textRotate="1"/>
    <customShpInfo spid="_x0000_s2179" textRotate="1"/>
    <customShpInfo spid="_x0000_s2069"/>
    <customShpInfo spid="_x0000_s2070"/>
    <customShpInfo spid="_x0000_s2180" textRotate="1"/>
    <customShpInfo spid="_x0000_s2181" textRotate="1"/>
    <customShpInfo spid="_x0000_s2182"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26"/>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42"/>
    <customShpInfo spid="_x0000_s1054"/>
    <customShpInfo spid="_x0000_s1055"/>
    <customShpInfo spid="_x0000_s1211"/>
    <customShpInfo spid="_x0000_s1057"/>
    <customShpInfo spid="_x0000_s1058"/>
    <customShpInfo spid="_x0000_s1059"/>
    <customShpInfo spid="_x0000_s1060"/>
    <customShpInfo spid="_x0000_s1061"/>
    <customShpInfo spid="_x0000_s1062"/>
    <customShpInfo spid="_x0000_s1064"/>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66"/>
    <customShpInfo spid="_x0000_s1215"/>
    <customShpInfo spid="_x0000_s1214"/>
    <customShpInfo spid="_x0000_s1213"/>
    <customShpInfo spid="_x0000_s1209"/>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078"/>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19"/>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31"/>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45"/>
    <customShpInfo spid="_x0000_s1165"/>
    <customShpInfo spid="_x0000_s1167"/>
    <customShpInfo spid="_x0000_s1168"/>
    <customShpInfo spid="_x0000_s1169"/>
    <customShpInfo spid="_x0000_s1170"/>
    <customShpInfo spid="_x0000_s1171"/>
    <customShpInfo spid="_x0000_s1172"/>
    <customShpInfo spid="_x0000_s1174"/>
    <customShpInfo spid="_x0000_s1173"/>
    <customShpInfo spid="_x0000_s1176"/>
    <customShpInfo spid="_x0000_s1177"/>
    <customShpInfo spid="_x0000_s1178"/>
    <customShpInfo spid="_x0000_s1179"/>
    <customShpInfo spid="_x0000_s1180"/>
    <customShpInfo spid="_x0000_s1181"/>
    <customShpInfo spid="_x0000_s11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ScaleCrop>false</ScaleCrop>
  <LinksUpToDate>false</LinksUpToDate>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2020-06-03T04:52:00Z</dcterms:created>
  <dc:creator>QQ1404835872</dc:creator>
  <cp:lastModifiedBy>天道酬勤</cp:lastModifiedBy>
  <dcterms:modified xsi:type="dcterms:W3CDTF">2020-06-08T02:55:21Z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2020-04-15T00:00:00Z</vt:filetime>
  </property>
  <property fmtid="{D5CDD505-2E9C-101B-9397-08002B2CF9AE}" pid="3" name="Creator">
    <vt:lpwstr>WPS 文字</vt:lpwstr>
  </property>
  <property fmtid="{D5CDD505-2E9C-101B-9397-08002B2CF9AE}" pid="4" name="LastSaved">
    <vt:filetime>2020-06-03T00:00:00Z</vt:filetime>
  </property>
  <property fmtid="{D5CDD505-2E9C-101B-9397-08002B2CF9AE}" pid="5" name="KSOProductBuildVer">
    <vt:lpwstr>2052-11.1.0.9740</vt:lpwstr>
  </property>
</Properties>
</file>